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1241-2021-O-2022</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杭州特种纸业有限公司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O:ISC-O-2022-1216,E:ISC-E-2022-1337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913301837368823842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O:未认可,E:未认可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O:340,E:350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杭州特种纸业有限公司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O：化学分析滤纸（定性滤纸、定量滤纸）、汽车滤纸和钢纸（绝缘钢纸、研磨钢纸、钢纸原纸）的生产所涉及场所的职业健康安全管理</w:t>
            </w:r>
          </w:p>
          <w:p w:rsidR="001A196B">
            <w:pPr>
              <w:snapToGrid w:val="0"/>
              <w:spacing w:line="0" w:lineRule="atLeast"/>
              <w:jc w:val="left"/>
              <w:rPr>
                <w:sz w:val="22"/>
                <w:szCs w:val="22"/>
              </w:rPr>
            </w:pPr>
            <w:r>
              <w:rPr>
                <w:sz w:val="22"/>
                <w:szCs w:val="22"/>
              </w:rPr>
              <w:t>E：化学分析滤纸（定性滤纸、定量滤纸）、汽车滤纸和钢纸（绝缘钢纸、研磨钢纸）的生产所涉及场所的相关环境管理活动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浙江省杭州市富阳区鹿山街道上里工业区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浙江省杭州市富阳区鹿山街道上里工业区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杭州特种纸业有限公司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O:ISC-O-2022-1216,E:ISC-E-2022-1337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浙江省杭州市富阳区鹿山街道上里工业区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