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1298-2021-EO-2022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松江机电集团有限公司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松江机电集团有限公司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重庆市沙坪坝区山洞工业园区碑口92号</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重庆市沙坪坝区山洞工业园区碑口92号</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周一鑫</w:t>
            </w:r>
            <w:bookmarkEnd w:id="10"/>
          </w:p>
        </w:tc>
        <w:tc>
          <w:tcPr>
            <w:tcW w:w="1313" w:type="dxa"/>
            <w:vAlign w:val="center"/>
          </w:tcPr>
          <w:p>
            <w:r>
              <w:rPr>
                <w:rFonts w:hint="eastAsia"/>
              </w:rPr>
              <w:t>电话.</w:t>
            </w:r>
          </w:p>
        </w:tc>
        <w:tc>
          <w:tcPr>
            <w:tcW w:w="2180" w:type="dxa"/>
            <w:vAlign w:val="center"/>
          </w:tcPr>
          <w:p>
            <w:bookmarkStart w:id="11" w:name="联系人电话"/>
            <w:r>
              <w:t>18616650066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周丹</w:t>
            </w:r>
            <w:bookmarkEnd w:id="13"/>
          </w:p>
        </w:tc>
        <w:tc>
          <w:tcPr>
            <w:tcW w:w="1313" w:type="dxa"/>
            <w:vAlign w:val="center"/>
          </w:tcPr>
          <w:p>
            <w:r>
              <w:rPr>
                <w:rFonts w:hint="eastAsia"/>
              </w:rPr>
              <w:t>管理者代表</w:t>
            </w:r>
          </w:p>
        </w:tc>
        <w:tc>
          <w:tcPr>
            <w:tcW w:w="2180" w:type="dxa"/>
          </w:tcPr>
          <w:p>
            <w:bookmarkStart w:id="14" w:name="管理者代表"/>
            <w:r>
              <w:t>周一鑫</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ascii="宋体" w:hAnsi="宋体"/>
                <w:szCs w:val="21"/>
              </w:rPr>
            </w:pPr>
            <w:r>
              <w:rPr>
                <w:rFonts w:hint="eastAsia" w:ascii="宋体" w:hAnsi="宋体"/>
                <w:szCs w:val="21"/>
              </w:rPr>
              <w:t>销售流程：</w:t>
            </w:r>
          </w:p>
          <w:p>
            <w:pPr>
              <w:tabs>
                <w:tab w:val="left" w:pos="1080"/>
              </w:tabs>
              <w:spacing w:line="400" w:lineRule="exact"/>
              <w:rPr>
                <w:rFonts w:ascii="宋体" w:hAnsi="宋体"/>
                <w:szCs w:val="21"/>
              </w:rPr>
            </w:pPr>
            <w:r>
              <w:rPr>
                <w:rFonts w:hint="eastAsia" w:ascii="宋体" w:hAnsi="宋体"/>
                <w:szCs w:val="21"/>
              </w:rPr>
              <w:t>市场需求－－客户确认－－采购产品－－销售产品－－客户确认</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lang w:eastAsia="zh-CN"/>
              </w:rPr>
              <w:t>2022年12月16日</w:t>
            </w:r>
            <w:r>
              <w:rPr>
                <w:rFonts w:hint="eastAsia"/>
              </w:rPr>
              <w:t xml:space="preserve"> 上午至</w:t>
            </w:r>
            <w:r>
              <w:rPr>
                <w:rFonts w:hint="eastAsia"/>
                <w:lang w:eastAsia="zh-CN"/>
              </w:rPr>
              <w:t>2022年12月16日</w:t>
            </w:r>
            <w:r>
              <w:rPr>
                <w:rFonts w:hint="eastAsia"/>
              </w:rPr>
              <w:t xml:space="preserve">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宋体" w:hAnsi="宋体" w:cs="宋体"/>
                <w:color w:val="000000"/>
                <w:kern w:val="0"/>
                <w:szCs w:val="21"/>
              </w:rPr>
              <w:t>重庆市沙坪坝区山洞工业园区碑口92号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E：减震器、阀门的销售所涉及场所的相关环境管理活动</w:t>
            </w:r>
          </w:p>
          <w:p>
            <w:r>
              <w:t>O：减震器、阀门的销售所涉及场所的相关职业健康安全管理活动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E：29.10.07</w:t>
            </w:r>
          </w:p>
          <w:p>
            <w:r>
              <w:t>O：29.10.07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rPr>
              <w:t>2021年8月1日</w:t>
            </w:r>
          </w:p>
          <w:p/>
        </w:tc>
        <w:tc>
          <w:tcPr>
            <w:tcW w:w="1883" w:type="dxa"/>
            <w:vAlign w:val="center"/>
          </w:tcPr>
          <w:p>
            <w:r>
              <w:rPr>
                <w:rFonts w:hint="eastAsia"/>
              </w:rPr>
              <w:t>管理体系运行已超过3个月</w:t>
            </w:r>
          </w:p>
        </w:tc>
        <w:tc>
          <w:tcPr>
            <w:tcW w:w="3215" w:type="dxa"/>
            <w:vAlign w:val="center"/>
          </w:tcPr>
          <w:p>
            <w:r>
              <w:rPr>
                <w:rFonts w:hint="eastAsia" w:ascii="宋体" w:hAnsi="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14</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12</w:t>
            </w:r>
            <w:r>
              <w:rPr>
                <w:rFonts w:hint="eastAsia"/>
              </w:rPr>
              <w:t>月</w:t>
            </w:r>
            <w:r>
              <w:rPr>
                <w:rFonts w:hint="eastAsia"/>
                <w:lang w:val="en-US" w:eastAsia="zh-CN"/>
              </w:rPr>
              <w:t>20</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lang w:val="de-DE" w:eastAsia="ja-JP"/>
              </w:rPr>
            </w:pPr>
            <w:r>
              <w:rPr>
                <w:rFonts w:hint="eastAsia"/>
                <w:szCs w:val="21"/>
              </w:rPr>
              <w:t>松江机电集团有限公司/</w:t>
            </w:r>
            <w:r>
              <w:rPr>
                <w:rFonts w:asciiTheme="minorEastAsia" w:hAnsiTheme="minorEastAsia" w:eastAsiaTheme="minorEastAsia"/>
                <w:sz w:val="20"/>
              </w:rPr>
              <w:t>重庆市沙坪坝区山洞工业园区碑口92号</w:t>
            </w:r>
          </w:p>
        </w:tc>
        <w:tc>
          <w:tcPr>
            <w:tcW w:w="2267" w:type="dxa"/>
            <w:vAlign w:val="top"/>
          </w:tcPr>
          <w:p>
            <w:pPr>
              <w:rPr>
                <w:lang w:val="de-DE" w:eastAsia="ja-JP"/>
              </w:rPr>
            </w:pPr>
            <w:r>
              <w:rPr>
                <w:rFonts w:asciiTheme="minorEastAsia" w:hAnsiTheme="minorEastAsia" w:eastAsiaTheme="minorEastAsia"/>
                <w:sz w:val="20"/>
              </w:rPr>
              <w:t>重庆市沙坪坝区山洞工业园区碑口92号</w:t>
            </w:r>
          </w:p>
        </w:tc>
        <w:tc>
          <w:tcPr>
            <w:tcW w:w="571" w:type="dxa"/>
            <w:vAlign w:val="center"/>
          </w:tcPr>
          <w:p>
            <w:pPr>
              <w:rPr>
                <w:lang w:eastAsia="ja-JP"/>
              </w:rPr>
            </w:pPr>
            <w:r>
              <w:rPr>
                <w:rFonts w:hint="eastAsia"/>
              </w:rPr>
              <w:t>10</w:t>
            </w:r>
          </w:p>
        </w:tc>
        <w:tc>
          <w:tcPr>
            <w:tcW w:w="2803" w:type="dxa"/>
            <w:vAlign w:val="center"/>
          </w:tcPr>
          <w:p>
            <w:pPr>
              <w:rPr>
                <w:lang w:eastAsia="ja-JP"/>
              </w:rPr>
            </w:pPr>
            <w:r>
              <w:rPr>
                <w:sz w:val="20"/>
              </w:rPr>
              <w:t>减震器、阀门的销售所涉及场所的相关环境管理活动</w:t>
            </w:r>
          </w:p>
        </w:tc>
        <w:tc>
          <w:tcPr>
            <w:tcW w:w="669" w:type="dxa"/>
            <w:vAlign w:val="center"/>
          </w:tcPr>
          <w:p>
            <w:pPr>
              <w:spacing w:before="40" w:after="40"/>
              <w:rPr>
                <w:lang w:eastAsia="ja-JP"/>
              </w:rPr>
            </w:pPr>
            <w:r>
              <w:rPr>
                <w:rFonts w:hint="eastAsia" w:ascii="宋体" w:hAnsi="宋体"/>
                <w:bCs/>
                <w:szCs w:val="21"/>
              </w:rPr>
              <w:t>GB/T24001-2016</w:t>
            </w:r>
          </w:p>
        </w:tc>
        <w:tc>
          <w:tcPr>
            <w:tcW w:w="668" w:type="dxa"/>
            <w:shd w:val="clear" w:color="auto" w:fill="FFFFFF"/>
            <w:vAlign w:val="top"/>
          </w:tcPr>
          <w:p>
            <w:r>
              <w:rPr>
                <w:rFonts w:hint="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lang w:eastAsia="ja-JP"/>
              </w:rPr>
            </w:pPr>
            <w:r>
              <w:rPr>
                <w:rFonts w:hint="eastAsia"/>
                <w:szCs w:val="21"/>
              </w:rPr>
              <w:t>松江机电集团有限公司/</w:t>
            </w:r>
            <w:r>
              <w:rPr>
                <w:rFonts w:asciiTheme="minorEastAsia" w:hAnsiTheme="minorEastAsia" w:eastAsiaTheme="minorEastAsia"/>
                <w:sz w:val="20"/>
              </w:rPr>
              <w:t>重庆市沙坪坝区山洞工业园区碑口92号</w:t>
            </w:r>
          </w:p>
        </w:tc>
        <w:tc>
          <w:tcPr>
            <w:tcW w:w="2267" w:type="dxa"/>
            <w:vAlign w:val="top"/>
          </w:tcPr>
          <w:p>
            <w:pPr>
              <w:rPr>
                <w:lang w:eastAsia="ja-JP"/>
              </w:rPr>
            </w:pPr>
            <w:r>
              <w:rPr>
                <w:rFonts w:asciiTheme="minorEastAsia" w:hAnsiTheme="minorEastAsia" w:eastAsiaTheme="minorEastAsia"/>
                <w:sz w:val="20"/>
              </w:rPr>
              <w:t>重庆市沙坪坝区山洞工业园区碑口92号</w:t>
            </w:r>
          </w:p>
        </w:tc>
        <w:tc>
          <w:tcPr>
            <w:tcW w:w="571" w:type="dxa"/>
            <w:vAlign w:val="center"/>
          </w:tcPr>
          <w:p>
            <w:pPr>
              <w:rPr>
                <w:lang w:eastAsia="ja-JP"/>
              </w:rPr>
            </w:pPr>
            <w:r>
              <w:rPr>
                <w:rFonts w:hint="eastAsia"/>
              </w:rPr>
              <w:t>10</w:t>
            </w:r>
          </w:p>
        </w:tc>
        <w:tc>
          <w:tcPr>
            <w:tcW w:w="2803" w:type="dxa"/>
            <w:vAlign w:val="center"/>
          </w:tcPr>
          <w:p>
            <w:pPr>
              <w:rPr>
                <w:lang w:eastAsia="ja-JP"/>
              </w:rPr>
            </w:pPr>
            <w:r>
              <w:rPr>
                <w:sz w:val="20"/>
              </w:rPr>
              <w:t>减震器、阀门的销售所涉及场所的相关职业健康安全管理活动</w:t>
            </w:r>
          </w:p>
        </w:tc>
        <w:tc>
          <w:tcPr>
            <w:tcW w:w="669" w:type="dxa"/>
            <w:vAlign w:val="center"/>
          </w:tcPr>
          <w:p>
            <w:pPr>
              <w:spacing w:before="40" w:after="40"/>
              <w:rPr>
                <w:lang w:eastAsia="ja-JP"/>
              </w:rPr>
            </w:pPr>
            <w:r>
              <w:rPr>
                <w:rFonts w:hint="eastAsia" w:ascii="宋体" w:hAnsi="宋体"/>
                <w:bCs/>
                <w:szCs w:val="21"/>
              </w:rPr>
              <w:t>GB/T45001-2020</w:t>
            </w:r>
          </w:p>
        </w:tc>
        <w:tc>
          <w:tcPr>
            <w:tcW w:w="668" w:type="dxa"/>
            <w:shd w:val="clear" w:color="auto" w:fill="FFFFFF"/>
            <w:vAlign w:val="top"/>
          </w:tcPr>
          <w:p>
            <w:r>
              <w:rPr>
                <w:rFonts w:hint="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2021-N1EMS-2230067</w:t>
            </w:r>
          </w:p>
          <w:p>
            <w:r>
              <w:t>2021-N1OHSMS-2230067</w:t>
            </w:r>
          </w:p>
        </w:tc>
        <w:tc>
          <w:tcPr>
            <w:tcW w:w="2179" w:type="dxa"/>
            <w:vAlign w:val="center"/>
          </w:tcPr>
          <w:p>
            <w:r>
              <w:t>E:29.10.07</w:t>
            </w:r>
          </w:p>
          <w:p>
            <w: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2020-N1EMS-1267598</w:t>
            </w:r>
          </w:p>
          <w:p>
            <w:r>
              <w:t>2021-N1OHSMS-1267598</w:t>
            </w:r>
          </w:p>
        </w:tc>
        <w:tc>
          <w:tcPr>
            <w:tcW w:w="2179" w:type="dxa"/>
            <w:vAlign w:val="center"/>
          </w:tcPr>
          <w:p>
            <w:r>
              <w:t>E:29.10.07</w:t>
            </w:r>
          </w:p>
          <w:p>
            <w: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Times New Roman" w:hAnsi="Times New Roman" w:eastAsia="宋体" w:cs="Times New Roman"/>
                <w:color w:val="000000" w:themeColor="text1"/>
                <w:highlight w:val="none"/>
                <w:lang w:val="en-US" w:eastAsia="zh-CN"/>
              </w:rPr>
              <w:t>上次不符合为行政部E08.2条款，经本次审核验证均整改且无类似不符合情况出现。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default"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vAlign w:val="top"/>
          </w:tcPr>
          <w:p>
            <w:pPr>
              <w:rPr>
                <w:highlight w:val="none"/>
              </w:rPr>
            </w:pPr>
            <w:r>
              <w:rPr>
                <w:rFonts w:hint="eastAsia"/>
                <w:highlight w:val="none"/>
                <w:lang w:val="en-US" w:eastAsia="zh-CN"/>
              </w:rPr>
              <w:t>1</w:t>
            </w:r>
          </w:p>
        </w:tc>
        <w:tc>
          <w:tcPr>
            <w:tcW w:w="1717" w:type="dxa"/>
            <w:vAlign w:val="top"/>
          </w:tcPr>
          <w:p>
            <w:pPr>
              <w:rPr>
                <w:highlight w:val="none"/>
              </w:rPr>
            </w:pPr>
            <w:r>
              <w:rPr>
                <w:rFonts w:hint="eastAsia"/>
                <w:highlight w:val="none"/>
                <w:lang w:val="en-US" w:eastAsia="zh-CN"/>
              </w:rPr>
              <w:t>0</w:t>
            </w:r>
          </w:p>
        </w:tc>
        <w:tc>
          <w:tcPr>
            <w:tcW w:w="1560" w:type="dxa"/>
            <w:vAlign w:val="top"/>
          </w:tcPr>
          <w:p>
            <w:pPr>
              <w:rPr>
                <w:highlight w:val="none"/>
              </w:rPr>
            </w:pPr>
            <w:r>
              <w:rPr>
                <w:rFonts w:hint="eastAsia"/>
                <w:highlight w:val="none"/>
                <w:lang w:val="en-US" w:eastAsia="zh-CN"/>
              </w:rPr>
              <w:t>1</w:t>
            </w:r>
          </w:p>
        </w:tc>
        <w:tc>
          <w:tcPr>
            <w:tcW w:w="2965" w:type="dxa"/>
            <w:vAlign w:val="top"/>
          </w:tcPr>
          <w:p>
            <w:pPr>
              <w:rPr>
                <w:highlight w:val="none"/>
              </w:rPr>
            </w:pPr>
            <w:r>
              <w:rPr>
                <w:rFonts w:hint="eastAsia"/>
                <w:highlight w:val="none"/>
                <w:lang w:eastAsia="zh-CN"/>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rPr>
          <w:highlight w:val="none"/>
        </w:rPr>
      </w:pPr>
      <w:r>
        <w:rPr>
          <w:rFonts w:hint="eastAsia"/>
        </w:rPr>
        <w:t>注2：本次审核开具的不符合项，分布见相关管理体系附件。</w:t>
      </w:r>
    </w:p>
    <w:p>
      <w:pPr>
        <w:ind w:firstLine="210" w:firstLineChars="100"/>
        <w:rPr>
          <w:highlight w:val="none"/>
        </w:rPr>
      </w:pPr>
      <w:r>
        <w:rPr>
          <w:rFonts w:hint="eastAsia"/>
          <w:highlight w:val="none"/>
        </w:rPr>
        <w:t>注3：本次审核发现不符合及存在问题对管理体系实现目标的影响□较大</w:t>
      </w:r>
      <w:r>
        <w:rPr>
          <w:rFonts w:hint="eastAsia"/>
          <w:highlight w:val="none"/>
          <w:lang w:eastAsia="zh-CN"/>
        </w:rPr>
        <w:t>■</w:t>
      </w:r>
      <w:r>
        <w:rPr>
          <w:rFonts w:hint="eastAsia"/>
          <w:highlight w:val="none"/>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top"/>
          </w:tcPr>
          <w:p>
            <w:r>
              <w:rPr>
                <w:sz w:val="20"/>
              </w:rPr>
              <w:t>减震器、阀门的销售所涉及场所的相关环境管理活动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top"/>
          </w:tcPr>
          <w:p>
            <w:r>
              <w:rPr>
                <w:sz w:val="20"/>
              </w:rPr>
              <w:t>减震器、阀门的销售所涉及场所的相关职业健康安全管理活动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highlight w:val="none"/>
                <w:lang w:eastAsia="zh-CN"/>
              </w:rPr>
              <w:t>■</w:t>
            </w:r>
            <w:r>
              <w:rPr>
                <w:rFonts w:hint="eastAsia"/>
                <w:highlight w:val="none"/>
              </w:rPr>
              <w:t>在完成纠正措施后推荐保持认证注册(</w:t>
            </w:r>
            <w:r>
              <w:rPr>
                <w:rFonts w:hint="eastAsia"/>
                <w:highlight w:val="none"/>
                <w:lang w:eastAsia="zh-CN"/>
              </w:rPr>
              <w:t>■</w:t>
            </w:r>
            <w:r>
              <w:rPr>
                <w:rFonts w:hint="eastAsia"/>
                <w:highlight w:val="none"/>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top"/>
          </w:tcPr>
          <w:p>
            <w:r>
              <w:rPr>
                <w:rFonts w:hint="eastAsia"/>
              </w:rPr>
              <w:t>审核组长签字</w:t>
            </w:r>
          </w:p>
        </w:tc>
        <w:tc>
          <w:tcPr>
            <w:tcW w:w="2764" w:type="dxa"/>
            <w:tcMar>
              <w:left w:w="113" w:type="dxa"/>
            </w:tcMar>
            <w:vAlign w:val="top"/>
          </w:tcPr>
          <w:p>
            <w:pPr>
              <w:rPr>
                <w:rFonts w:hint="eastAsia" w:eastAsia="宋体"/>
                <w:lang w:eastAsia="zh-CN"/>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445135</wp:posOffset>
                  </wp:positionH>
                  <wp:positionV relativeFrom="paragraph">
                    <wp:posOffset>25400</wp:posOffset>
                  </wp:positionV>
                  <wp:extent cx="812800" cy="400050"/>
                  <wp:effectExtent l="0" t="0" r="6350" b="0"/>
                  <wp:wrapNone/>
                  <wp:docPr id="2" name="图片 2"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p>
          <w:p/>
        </w:tc>
        <w:tc>
          <w:tcPr>
            <w:tcW w:w="2764" w:type="dxa"/>
            <w:tcMar>
              <w:left w:w="113" w:type="dxa"/>
            </w:tcMar>
            <w:vAlign w:val="top"/>
          </w:tcPr>
          <w:p>
            <w:r>
              <w:rPr>
                <w:rFonts w:hint="eastAsia"/>
              </w:rPr>
              <w:t>日期</w:t>
            </w:r>
          </w:p>
        </w:tc>
        <w:tc>
          <w:tcPr>
            <w:tcW w:w="2766" w:type="dxa"/>
            <w:tcMar>
              <w:left w:w="113" w:type="dxa"/>
            </w:tcMar>
            <w:vAlign w:val="center"/>
          </w:tcPr>
          <w:p>
            <w:pPr>
              <w:rPr>
                <w:rFonts w:hint="eastAsia" w:ascii="宋体" w:eastAsia="宋体"/>
                <w:b/>
                <w:color w:val="0000FF"/>
                <w:szCs w:val="21"/>
                <w:lang w:eastAsia="zh-CN"/>
              </w:rPr>
            </w:pPr>
            <w:r>
              <w:rPr>
                <w:rFonts w:hint="eastAsia" w:ascii="宋体" w:hAnsi="宋体" w:cs="宋体"/>
                <w:color w:val="000000"/>
                <w:kern w:val="0"/>
                <w:szCs w:val="21"/>
                <w:lang w:eastAsia="zh-CN"/>
              </w:rPr>
              <w:t>2022年12月16日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ascii="宋体" w:hAnsi="宋体" w:cs="宋体"/>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 xml:space="preserve">■法律法规 ■技术 ■竞争 ■市场 □文化 □社会 ■经济环境 </w:t>
                  </w:r>
                </w:p>
                <w:p>
                  <w:pPr>
                    <w:shd w:val="clear" w:color="auto" w:fill="EBF1DE" w:themeFill="accent3" w:themeFillTint="32"/>
                  </w:pP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□文化  □知识 ■绩效 ■工艺 □设备 ■人员能力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■采购 ■人力资源■营销和市场  □生产 □检验 </w:t>
            </w:r>
            <w:r>
              <w:rPr>
                <w:rFonts w:hint="eastAsia" w:ascii="宋体" w:hAnsi="宋体" w:cs="宋体"/>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■达标排放 ■消防控制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rPr>
                <w:highlight w:val="red"/>
                <w:u w:val="single"/>
              </w:rPr>
            </w:pPr>
            <w:r>
              <w:rPr>
                <w:rFonts w:hint="eastAsia"/>
              </w:rPr>
              <w:t>最高管理者制定了文件化的管理体系方针：</w:t>
            </w:r>
            <w:r>
              <w:rPr>
                <w:rFonts w:hint="eastAsia" w:ascii="宋体" w:hAnsi="宋体" w:cs="宋体"/>
                <w:u w:val="single"/>
              </w:rPr>
              <w:t>“以品质赢得客户；以绿色、环保、健康、安全生产占有市场。”</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9"/>
              <w:gridCol w:w="439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pPr>
                  <w:r>
                    <w:rPr>
                      <w:rFonts w:hint="eastAsia"/>
                    </w:rPr>
                    <w:t>主要的风险或机遇描述</w:t>
                  </w:r>
                </w:p>
              </w:tc>
              <w:tc>
                <w:tcPr>
                  <w:tcW w:w="4396"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pPr>
                  <w:r>
                    <w:rPr>
                      <w:rFonts w:hint="eastAsia" w:asciiTheme="minorEastAsia" w:hAnsiTheme="minorEastAsia" w:eastAsiaTheme="minorEastAsia"/>
                      <w:szCs w:val="21"/>
                    </w:rPr>
                    <w:t>潜在火灾</w:t>
                  </w:r>
                </w:p>
              </w:tc>
              <w:tc>
                <w:tcPr>
                  <w:tcW w:w="4396" w:type="dxa"/>
                </w:tcPr>
                <w:p>
                  <w:pPr>
                    <w:shd w:val="clear" w:color="auto" w:fill="EBF1DE" w:themeFill="accent3" w:themeFillTint="32"/>
                  </w:pPr>
                  <w:r>
                    <w:rPr>
                      <w:rFonts w:hint="eastAsia" w:asciiTheme="minorEastAsia" w:hAnsiTheme="minorEastAsia" w:eastAsiaTheme="minorEastAsia"/>
                      <w:szCs w:val="21"/>
                    </w:rPr>
                    <w:t>通过管理方案和预案措施、应急演练进行管理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pPr>
                  <w:r>
                    <w:rPr>
                      <w:rFonts w:hint="eastAsia"/>
                    </w:rPr>
                    <w:t>固体废弃物</w:t>
                  </w:r>
                </w:p>
              </w:tc>
              <w:tc>
                <w:tcPr>
                  <w:tcW w:w="4396" w:type="dxa"/>
                </w:tcPr>
                <w:p>
                  <w:pPr>
                    <w:shd w:val="clear" w:color="auto" w:fill="EBF1DE" w:themeFill="accent3" w:themeFillTint="32"/>
                  </w:pPr>
                  <w:r>
                    <w:rPr>
                      <w:rFonts w:hint="eastAsia" w:asciiTheme="minorEastAsia" w:hAnsiTheme="minorEastAsia" w:eastAsiaTheme="minorEastAsia"/>
                      <w:szCs w:val="21"/>
                    </w:rPr>
                    <w:t>采取分类收集、管理方案进行管理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pPr>
                </w:p>
              </w:tc>
              <w:tc>
                <w:tcPr>
                  <w:tcW w:w="4396"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pPr>
                </w:p>
              </w:tc>
              <w:tc>
                <w:tcPr>
                  <w:tcW w:w="4396"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  ■资源消耗 □废水排放  □废气排放 □粉尘排放  □危废排放 □噪声排放  □危化品泄露 □压力容器爆炸  ■火灾  ■其他：固体废弃物排放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290"/>
              <w:gridCol w:w="1196"/>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290"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96"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固废分类回收率100%</w:t>
                  </w:r>
                </w:p>
              </w:tc>
              <w:tc>
                <w:tcPr>
                  <w:tcW w:w="3290" w:type="dxa"/>
                  <w:shd w:val="clear" w:color="auto" w:fill="auto"/>
                  <w:vAlign w:val="center"/>
                </w:tcPr>
                <w:p>
                  <w:pPr>
                    <w:shd w:val="clear" w:color="auto" w:fill="EBF1DE" w:themeFill="accent3" w:themeFillTint="32"/>
                    <w:rPr>
                      <w:rFonts w:hint="eastAsia" w:cs="Times New Roman" w:asciiTheme="minorEastAsia" w:hAnsiTheme="minorEastAsia" w:eastAsiaTheme="minorEastAsia"/>
                      <w:szCs w:val="21"/>
                      <w:lang w:val="en-GB"/>
                    </w:rPr>
                  </w:pPr>
                  <w:r>
                    <w:rPr>
                      <w:rFonts w:hint="eastAsia" w:cs="Times New Roman" w:asciiTheme="minorEastAsia" w:hAnsiTheme="minorEastAsia" w:eastAsiaTheme="minorEastAsia"/>
                      <w:szCs w:val="21"/>
                    </w:rPr>
                    <w:t>采取分类收集、管理方案进行管理</w:t>
                  </w:r>
                </w:p>
              </w:tc>
              <w:tc>
                <w:tcPr>
                  <w:tcW w:w="1196" w:type="dxa"/>
                  <w:shd w:val="clear" w:color="auto" w:fill="auto"/>
                  <w:vAlign w:val="center"/>
                </w:tcPr>
                <w:p>
                  <w:pPr>
                    <w:shd w:val="clear" w:color="auto" w:fill="EBF1DE" w:themeFill="accent3" w:themeFillTint="32"/>
                  </w:pPr>
                  <w:r>
                    <w:rPr>
                      <w:rFonts w:hint="eastAsia"/>
                    </w:rPr>
                    <w:t>行政部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bottom"/>
                </w:tcPr>
                <w:p>
                  <w:pPr>
                    <w:shd w:val="clear" w:color="auto" w:fill="EBF1DE" w:themeFill="accent3" w:themeFillTint="32"/>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火灾事故为零</w:t>
                  </w:r>
                </w:p>
              </w:tc>
              <w:tc>
                <w:tcPr>
                  <w:tcW w:w="3290" w:type="dxa"/>
                  <w:shd w:val="clear" w:color="auto" w:fill="auto"/>
                  <w:vAlign w:val="center"/>
                </w:tcPr>
                <w:p>
                  <w:pPr>
                    <w:shd w:val="clear" w:color="auto" w:fill="EBF1DE" w:themeFill="accent3" w:themeFillTint="32"/>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通过管理方案和预案措施、应急演练进行管理</w:t>
                  </w:r>
                </w:p>
              </w:tc>
              <w:tc>
                <w:tcPr>
                  <w:tcW w:w="1196" w:type="dxa"/>
                  <w:shd w:val="clear" w:color="auto" w:fill="auto"/>
                  <w:vAlign w:val="center"/>
                </w:tcPr>
                <w:p>
                  <w:pPr>
                    <w:shd w:val="clear" w:color="auto" w:fill="EBF1DE" w:themeFill="accent3" w:themeFillTint="32"/>
                  </w:pPr>
                  <w:r>
                    <w:rPr>
                      <w:rFonts w:hint="eastAsia"/>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290" w:type="dxa"/>
                  <w:shd w:val="clear" w:color="auto" w:fill="auto"/>
                  <w:vAlign w:val="center"/>
                </w:tcPr>
                <w:p>
                  <w:pPr>
                    <w:shd w:val="clear" w:color="auto" w:fill="EBF1DE" w:themeFill="accent3" w:themeFillTint="32"/>
                    <w:rPr>
                      <w:rFonts w:ascii="宋体" w:hAnsi="宋体"/>
                    </w:rPr>
                  </w:pPr>
                </w:p>
              </w:tc>
              <w:tc>
                <w:tcPr>
                  <w:tcW w:w="1196"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290" w:type="dxa"/>
                  <w:shd w:val="clear" w:color="auto" w:fill="auto"/>
                  <w:vAlign w:val="center"/>
                </w:tcPr>
                <w:p>
                  <w:pPr>
                    <w:shd w:val="clear" w:color="auto" w:fill="EBF1DE" w:themeFill="accent3" w:themeFillTint="32"/>
                    <w:rPr>
                      <w:rFonts w:ascii="宋体" w:hAnsi="宋体"/>
                    </w:rPr>
                  </w:pPr>
                </w:p>
              </w:tc>
              <w:tc>
                <w:tcPr>
                  <w:tcW w:w="1196"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t>■组织现有人力资源的能力可满足环境管理体系运行；</w:t>
            </w:r>
          </w:p>
          <w:p>
            <w:pPr>
              <w:shd w:val="clear" w:color="auto" w:fill="EBF1DE" w:themeFill="accent3" w:themeFillTint="32"/>
            </w:pPr>
            <w:r>
              <w:rPr>
                <w:rFonts w:hint="eastAsia"/>
              </w:rPr>
              <w:t xml:space="preserve">□组织现有人力资源的能力可基本环境环境管理体系运行，但是还有不足需要补充：      </w:t>
            </w:r>
          </w:p>
          <w:p>
            <w:pPr>
              <w:shd w:val="clear" w:color="auto" w:fill="EBF1DE" w:themeFill="accent3" w:themeFillTint="32"/>
            </w:pPr>
            <w:r>
              <w:rPr>
                <w:rFonts w:hint="eastAsia"/>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办公面积200平方米左右；生产车间</w:t>
            </w:r>
            <w:r>
              <w:rPr>
                <w:rFonts w:hint="eastAsia"/>
                <w:u w:val="single"/>
              </w:rPr>
              <w:t xml:space="preserve">  </w:t>
            </w:r>
            <w:r>
              <w:rPr>
                <w:rFonts w:hint="eastAsia"/>
              </w:rPr>
              <w:t>个；库房</w:t>
            </w:r>
            <w:r>
              <w:rPr>
                <w:rFonts w:hint="eastAsia"/>
                <w:u w:val="single"/>
              </w:rPr>
              <w:t xml:space="preserve"> 300平方米   </w:t>
            </w:r>
            <w:r>
              <w:rPr>
                <w:rFonts w:hint="eastAsia"/>
              </w:rPr>
              <w:t>；实验室</w:t>
            </w:r>
            <w:r>
              <w:rPr>
                <w:rFonts w:hint="eastAsia"/>
                <w:u w:val="single"/>
              </w:rPr>
              <w:t xml:space="preserve">   </w:t>
            </w:r>
            <w:r>
              <w:rPr>
                <w:rFonts w:hint="eastAsia"/>
              </w:rPr>
              <w:t>个；</w:t>
            </w:r>
          </w:p>
          <w:p>
            <w:pPr>
              <w:shd w:val="clear" w:color="auto" w:fill="EBF1DE" w:themeFill="accent3" w:themeFillTint="32"/>
              <w:rPr>
                <w:highlight w:val="red"/>
              </w:rPr>
            </w:pPr>
            <w:r>
              <w:rPr>
                <w:rFonts w:hint="eastAsia"/>
              </w:rPr>
              <w:t>主要生产设备有：</w:t>
            </w:r>
            <w:r>
              <w:rPr>
                <w:rFonts w:hint="eastAsia"/>
                <w:u w:val="single"/>
              </w:rPr>
              <w:t>电脑、打印机、复印机及空调、办公桌椅等</w:t>
            </w:r>
            <w:r>
              <w:rPr>
                <w:rFonts w:hint="eastAsia"/>
              </w:rPr>
              <w:t>。</w:t>
            </w:r>
          </w:p>
          <w:p>
            <w:pPr>
              <w:shd w:val="clear" w:color="auto" w:fill="EBF1DE" w:themeFill="accent3" w:themeFillTint="32"/>
            </w:pPr>
            <w:r>
              <w:rPr>
                <w:rFonts w:hint="eastAsia"/>
              </w:rPr>
              <w:t xml:space="preserve">特种设备：□叉车 □行车 □锅炉 □电梯  □压力容器  □压力管道  ■不适用 </w:t>
            </w:r>
          </w:p>
          <w:p>
            <w:pPr>
              <w:shd w:val="clear" w:color="auto" w:fill="EBF1DE" w:themeFill="accent3" w:themeFillTint="32"/>
            </w:pPr>
            <w:r>
              <w:rPr>
                <w:rFonts w:hint="eastAsia"/>
              </w:rPr>
              <w:t xml:space="preserve">辅助场所：□高压配电室 □低压配电室 □空压站 □锅炉房 □食堂  □危化品库  </w:t>
            </w:r>
          </w:p>
          <w:p>
            <w:pPr>
              <w:shd w:val="clear" w:color="auto" w:fill="EBF1DE" w:themeFill="accent3" w:themeFillTint="32"/>
            </w:pPr>
            <w:r>
              <w:rPr>
                <w:rFonts w:hint="eastAsia"/>
              </w:rPr>
              <w:t>□危废库  □建筑施工 □污水处理站  □其他</w:t>
            </w:r>
          </w:p>
          <w:p>
            <w:pPr>
              <w:shd w:val="clear" w:color="auto" w:fill="EBF1DE" w:themeFill="accent3" w:themeFillTint="32"/>
            </w:pPr>
            <w:r>
              <w:rPr>
                <w:rFonts w:hint="eastAsia"/>
              </w:rPr>
              <w:t>■组织现有基础设施可满足环境管理体系运行；</w:t>
            </w:r>
          </w:p>
          <w:p>
            <w:pPr>
              <w:shd w:val="clear" w:color="auto" w:fill="EBF1DE" w:themeFill="accent3" w:themeFillTint="32"/>
            </w:pPr>
            <w:r>
              <w:rPr>
                <w:rFonts w:hint="eastAsia"/>
              </w:rPr>
              <w:t xml:space="preserve">□组织现有基础设施可基本满足环境管理体系运行，但是还有不足需要补充：           </w:t>
            </w:r>
          </w:p>
          <w:p>
            <w:pPr>
              <w:shd w:val="clear" w:color="auto" w:fill="EBF1DE" w:themeFill="accent3" w:themeFillTint="32"/>
            </w:pPr>
            <w:r>
              <w:rPr>
                <w:rFonts w:hint="eastAsia"/>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 ■招聘 □换岗 ■培训  ■考核   □辅导  □其他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内部沟通方式：■文件发放 ■会议 ■标语  ■展板   □其他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3594"/>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Pr>
                <w:p>
                  <w:pPr>
                    <w:shd w:val="clear" w:color="auto" w:fill="EBF1DE" w:themeFill="accent3" w:themeFillTint="32"/>
                    <w:jc w:val="left"/>
                  </w:pPr>
                  <w:r>
                    <w:rPr>
                      <w:rFonts w:hint="eastAsia"/>
                    </w:rPr>
                    <w:t>重要环境因素</w:t>
                  </w:r>
                </w:p>
              </w:tc>
              <w:tc>
                <w:tcPr>
                  <w:tcW w:w="3594"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Pr>
                <w:p>
                  <w:pPr>
                    <w:widowControl/>
                    <w:spacing w:before="40"/>
                    <w:jc w:val="left"/>
                    <w:rPr>
                      <w:color w:val="000000" w:themeColor="text1"/>
                      <w:szCs w:val="18"/>
                    </w:rPr>
                  </w:pPr>
                  <w:r>
                    <w:rPr>
                      <w:rFonts w:hint="eastAsia"/>
                      <w:color w:val="000000" w:themeColor="text1"/>
                      <w:szCs w:val="18"/>
                    </w:rPr>
                    <w:t>固体废弃物</w:t>
                  </w:r>
                </w:p>
              </w:tc>
              <w:tc>
                <w:tcPr>
                  <w:tcW w:w="3594" w:type="dxa"/>
                </w:tcPr>
                <w:p>
                  <w:pPr>
                    <w:shd w:val="clear" w:color="auto" w:fill="EBF1DE" w:themeFill="accent3" w:themeFillTint="32"/>
                    <w:jc w:val="left"/>
                    <w:rPr>
                      <w:color w:val="000000" w:themeColor="text1"/>
                    </w:rPr>
                  </w:pPr>
                  <w:r>
                    <w:rPr>
                      <w:rFonts w:hint="eastAsia" w:asciiTheme="minorEastAsia" w:hAnsiTheme="minorEastAsia" w:eastAsiaTheme="minorEastAsia"/>
                      <w:color w:val="000000" w:themeColor="text1"/>
                      <w:szCs w:val="21"/>
                    </w:rPr>
                    <w:t>采取分类收集、管理方案进行管理</w:t>
                  </w:r>
                </w:p>
              </w:tc>
              <w:tc>
                <w:tcPr>
                  <w:tcW w:w="3265"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Pr>
                <w:p>
                  <w:pPr>
                    <w:widowControl/>
                    <w:spacing w:before="40"/>
                    <w:jc w:val="left"/>
                    <w:rPr>
                      <w:color w:val="000000" w:themeColor="text1"/>
                      <w:szCs w:val="18"/>
                    </w:rPr>
                  </w:pPr>
                  <w:r>
                    <w:rPr>
                      <w:rFonts w:hint="eastAsia"/>
                      <w:color w:val="000000" w:themeColor="text1"/>
                      <w:szCs w:val="18"/>
                    </w:rPr>
                    <w:t>潜在火灾</w:t>
                  </w:r>
                </w:p>
              </w:tc>
              <w:tc>
                <w:tcPr>
                  <w:tcW w:w="3594" w:type="dxa"/>
                </w:tcPr>
                <w:p>
                  <w:pPr>
                    <w:shd w:val="clear" w:color="auto" w:fill="EBF1DE" w:themeFill="accent3" w:themeFillTint="32"/>
                    <w:jc w:val="left"/>
                    <w:rPr>
                      <w:color w:val="000000" w:themeColor="text1"/>
                    </w:rPr>
                  </w:pPr>
                  <w:r>
                    <w:rPr>
                      <w:rFonts w:hint="eastAsia" w:asciiTheme="minorEastAsia" w:hAnsiTheme="minorEastAsia" w:eastAsiaTheme="minorEastAsia"/>
                      <w:color w:val="000000" w:themeColor="text1"/>
                      <w:szCs w:val="21"/>
                    </w:rPr>
                    <w:t>通过管理方案和预案措施、应急演练进行管理</w:t>
                  </w:r>
                </w:p>
              </w:tc>
              <w:tc>
                <w:tcPr>
                  <w:tcW w:w="3265"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Pr>
                <w:p>
                  <w:pPr>
                    <w:shd w:val="clear" w:color="auto" w:fill="EBF1DE" w:themeFill="accent3" w:themeFillTint="32"/>
                    <w:jc w:val="left"/>
                  </w:pPr>
                  <w:r>
                    <w:rPr>
                      <w:rFonts w:hint="eastAsia"/>
                    </w:rPr>
                    <w:t>其他</w:t>
                  </w:r>
                </w:p>
              </w:tc>
              <w:tc>
                <w:tcPr>
                  <w:tcW w:w="3594"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宋体" w:hAnsi="宋体" w:cs="宋体"/>
              </w:rPr>
              <w:t>■</w:t>
            </w:r>
            <w:r>
              <w:rPr>
                <w:rFonts w:hint="eastAsia"/>
              </w:rPr>
              <w:t>其他：售后服务</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已发生的更改包括：无</w:t>
            </w:r>
          </w:p>
          <w:p>
            <w:pPr>
              <w:shd w:val="clear" w:color="auto" w:fill="EBF1DE" w:themeFill="accent3" w:themeFillTint="32"/>
            </w:pPr>
            <w:r>
              <w:rPr>
                <w:rFonts w:hint="eastAsia" w:ascii="Wingdings" w:hAnsi="Wingdings"/>
              </w:rPr>
              <w:t>□</w:t>
            </w:r>
            <w:r>
              <w:rPr>
                <w:rFonts w:hint="eastAsia"/>
              </w:rPr>
              <w:t xml:space="preserve">重要原材料 □设备 □检测设备 </w:t>
            </w:r>
            <w:r>
              <w:rPr>
                <w:rFonts w:hint="eastAsia" w:ascii="Wingdings" w:hAnsi="Wingdings"/>
              </w:rPr>
              <w:t>□</w:t>
            </w:r>
            <w:r>
              <w:rPr>
                <w:rFonts w:hint="eastAsia"/>
              </w:rPr>
              <w:t xml:space="preserve">图纸 </w:t>
            </w:r>
            <w:r>
              <w:rPr>
                <w:rFonts w:hint="eastAsia" w:ascii="Wingdings" w:hAnsi="Wingdings"/>
              </w:rPr>
              <w:t>□</w:t>
            </w:r>
            <w:r>
              <w:rPr>
                <w:rFonts w:hint="eastAsia"/>
              </w:rPr>
              <w:t>工艺 □加工场所 □其他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cs="宋体"/>
                <w:szCs w:val="21"/>
              </w:rPr>
              <w:t>》</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 xml:space="preserve">审核周期内发生过紧急情况：■未发生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于202</w:t>
            </w:r>
            <w:r>
              <w:rPr>
                <w:rFonts w:hint="eastAsia"/>
                <w:lang w:val="en-US" w:eastAsia="zh-CN"/>
              </w:rPr>
              <w:t>2</w:t>
            </w:r>
            <w:r>
              <w:rPr>
                <w:rFonts w:hint="eastAsia"/>
              </w:rPr>
              <w:t>年9月2</w:t>
            </w:r>
            <w:r>
              <w:rPr>
                <w:rFonts w:hint="eastAsia"/>
                <w:lang w:val="en-US" w:eastAsia="zh-CN"/>
              </w:rPr>
              <w:t>9</w:t>
            </w:r>
            <w:r>
              <w:rPr>
                <w:rFonts w:hint="eastAsia"/>
              </w:rPr>
              <w:t>日</w:t>
            </w:r>
            <w:r>
              <w:rPr>
                <w:rFonts w:hint="eastAsia"/>
                <w:lang w:val="en-US" w:eastAsia="zh-CN"/>
              </w:rPr>
              <w:t>和</w:t>
            </w:r>
            <w:r>
              <w:rPr>
                <w:rFonts w:hint="eastAsia"/>
              </w:rPr>
              <w:t>202</w:t>
            </w:r>
            <w:r>
              <w:rPr>
                <w:rFonts w:hint="eastAsia"/>
                <w:lang w:val="en-US" w:eastAsia="zh-CN"/>
              </w:rPr>
              <w:t>2</w:t>
            </w:r>
            <w:r>
              <w:rPr>
                <w:rFonts w:hint="eastAsia"/>
              </w:rPr>
              <w:t>年9月</w:t>
            </w:r>
            <w:r>
              <w:rPr>
                <w:rFonts w:hint="eastAsia"/>
                <w:lang w:val="en-US" w:eastAsia="zh-CN"/>
              </w:rPr>
              <w:t>30</w:t>
            </w:r>
            <w:r>
              <w:rPr>
                <w:rFonts w:hint="eastAsia"/>
              </w:rPr>
              <w:t>日</w:t>
            </w:r>
            <w:r>
              <w:rPr>
                <w:rFonts w:hint="eastAsia"/>
                <w:lang w:val="en-US" w:eastAsia="zh-CN"/>
              </w:rPr>
              <w:t>分别</w:t>
            </w:r>
            <w:r>
              <w:rPr>
                <w:rFonts w:hint="eastAsia"/>
              </w:rPr>
              <w:t>进行了火灾消防</w:t>
            </w:r>
            <w:r>
              <w:rPr>
                <w:rFonts w:hint="eastAsia"/>
                <w:lang w:val="en-US" w:eastAsia="zh-CN"/>
              </w:rPr>
              <w:t>和触电急救</w:t>
            </w:r>
            <w:r>
              <w:rPr>
                <w:rFonts w:hint="eastAsia"/>
              </w:rPr>
              <w:t>的演练；</w:t>
            </w:r>
            <w:r>
              <w:rPr>
                <w:rFonts w:hint="eastAsia"/>
              </w:rPr>
              <w:t xml:space="preserve">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 xml:space="preserve">应急准备和响应控制：■符合要求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eastAsia="宋体"/>
                <w:lang w:eastAsia="zh-CN"/>
              </w:rPr>
            </w:pPr>
            <w:r>
              <w:rPr>
                <w:rFonts w:hint="eastAsia"/>
              </w:rPr>
              <w:t>■定期（每年） ：</w:t>
            </w:r>
            <w:r>
              <w:rPr>
                <w:rFonts w:hint="eastAsia"/>
                <w:highlight w:val="none"/>
                <w:u w:val="single"/>
                <w:lang w:eastAsia="zh-CN"/>
              </w:rPr>
              <w:t>2022年9月20日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highlight w:val="none"/>
              </w:rPr>
              <w:t>策划于</w:t>
            </w:r>
            <w:r>
              <w:rPr>
                <w:rFonts w:hint="eastAsia"/>
                <w:color w:val="000000"/>
                <w:szCs w:val="18"/>
                <w:highlight w:val="none"/>
                <w:u w:val="single"/>
              </w:rPr>
              <w:t xml:space="preserve"> 202</w:t>
            </w:r>
            <w:r>
              <w:rPr>
                <w:rFonts w:hint="eastAsia"/>
                <w:color w:val="000000"/>
                <w:szCs w:val="18"/>
                <w:highlight w:val="none"/>
                <w:u w:val="single"/>
                <w:lang w:val="en-US" w:eastAsia="zh-CN"/>
              </w:rPr>
              <w:t>2</w:t>
            </w:r>
            <w:r>
              <w:rPr>
                <w:rFonts w:hint="eastAsia"/>
                <w:color w:val="000000"/>
                <w:szCs w:val="18"/>
                <w:highlight w:val="none"/>
                <w:u w:val="single"/>
              </w:rPr>
              <w:t>年1</w:t>
            </w:r>
            <w:r>
              <w:rPr>
                <w:rFonts w:hint="eastAsia"/>
                <w:color w:val="000000"/>
                <w:szCs w:val="18"/>
                <w:highlight w:val="none"/>
                <w:u w:val="single"/>
                <w:lang w:val="en-US" w:eastAsia="zh-CN"/>
              </w:rPr>
              <w:t>0</w:t>
            </w:r>
            <w:r>
              <w:rPr>
                <w:rFonts w:hint="eastAsia"/>
                <w:color w:val="000000"/>
                <w:szCs w:val="18"/>
                <w:highlight w:val="none"/>
                <w:u w:val="single"/>
              </w:rPr>
              <w:t>月</w:t>
            </w:r>
            <w:r>
              <w:rPr>
                <w:rFonts w:hint="eastAsia"/>
                <w:color w:val="000000"/>
                <w:szCs w:val="18"/>
                <w:highlight w:val="none"/>
                <w:u w:val="single"/>
                <w:lang w:val="en-US" w:eastAsia="zh-CN"/>
              </w:rPr>
              <w:t>25</w:t>
            </w:r>
            <w:r>
              <w:rPr>
                <w:rFonts w:hint="eastAsia"/>
                <w:color w:val="000000"/>
                <w:szCs w:val="18"/>
                <w:highlight w:val="none"/>
                <w:u w:val="single"/>
              </w:rPr>
              <w:t>日</w:t>
            </w:r>
            <w:r>
              <w:rPr>
                <w:rFonts w:hint="eastAsia"/>
                <w:highlight w:val="none"/>
              </w:rPr>
              <w:t xml:space="preserve">实施了环境管理体系内部审核，对环境管理体系的符合性和有效性进行了审核。内审发现的 </w:t>
            </w:r>
            <w:r>
              <w:rPr>
                <w:rFonts w:hint="eastAsia"/>
                <w:highlight w:val="none"/>
                <w:u w:val="single"/>
              </w:rPr>
              <w:t xml:space="preserve">1 </w:t>
            </w:r>
            <w:r>
              <w:rPr>
                <w:rFonts w:hint="eastAsia"/>
                <w:highlight w:val="none"/>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w:t>
            </w:r>
            <w:r>
              <w:rPr>
                <w:rFonts w:hint="eastAsia"/>
                <w:highlight w:val="none"/>
              </w:rPr>
              <w:t>在</w:t>
            </w:r>
            <w:r>
              <w:rPr>
                <w:rFonts w:hint="eastAsia"/>
                <w:color w:val="000000"/>
                <w:szCs w:val="18"/>
                <w:highlight w:val="none"/>
                <w:u w:val="single"/>
                <w:lang w:eastAsia="zh-CN"/>
              </w:rPr>
              <w:t>2022年11月5日</w:t>
            </w:r>
            <w:r>
              <w:rPr>
                <w:rFonts w:hint="eastAsia"/>
                <w:highlight w:val="none"/>
              </w:rPr>
              <w:t>对组</w:t>
            </w:r>
            <w:r>
              <w:rPr>
                <w:rFonts w:hint="eastAsia"/>
              </w:rPr>
              <w:t>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rPr>
              <w:t xml:space="preserve">■不合格产品/服务 □自我验证的结果  ■顾客投诉  ■顾客满意调查 </w:t>
            </w:r>
          </w:p>
          <w:p>
            <w:pPr>
              <w:shd w:val="clear" w:color="auto" w:fill="EBF1DE" w:themeFill="accent3" w:themeFillTint="32"/>
            </w:pPr>
            <w:r>
              <w:rPr>
                <w:rFonts w:hint="eastAsia"/>
              </w:rPr>
              <w:t xml:space="preserve">■内审不符合项   □外审不符合项  ■管理评审   </w:t>
            </w:r>
            <w:r>
              <w:rPr>
                <w:rFonts w:hint="eastAsia" w:ascii="宋体" w:hAnsi="宋体" w:cs="宋体"/>
              </w:rPr>
              <w:t>■</w:t>
            </w:r>
            <w:r>
              <w:rPr>
                <w:rFonts w:hint="eastAsia"/>
              </w:rPr>
              <w:t>目标统计分析结果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tcPr>
          <w:p>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eastAsia="zh-CN"/>
              </w:rPr>
            </w:pPr>
            <w:r>
              <w:rPr>
                <w:rFonts w:hint="eastAsia"/>
                <w:lang w:val="en-US" w:eastAsia="zh-CN"/>
              </w:rPr>
              <w:t>2</w:t>
            </w:r>
          </w:p>
        </w:tc>
        <w:tc>
          <w:tcPr>
            <w:tcW w:w="780" w:type="dxa"/>
            <w:shd w:val="clear" w:color="auto" w:fill="EBF1DE" w:themeFill="accent3" w:themeFillTint="32"/>
          </w:tcPr>
          <w:p>
            <w:pPr>
              <w:shd w:val="clear" w:color="auto" w:fill="EBF1DE" w:themeFill="accent3" w:themeFillTint="32"/>
              <w:rPr>
                <w:rFonts w:hint="eastAsia" w:eastAsia="宋体"/>
                <w:lang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spacing w:val="-2"/>
                <w:sz w:val="20"/>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■价值观  □文化  □知识 ■绩效 □工艺 □设备 ■人员能力 </w:t>
                  </w:r>
                </w:p>
                <w:p>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rPr>
                <w:u w:val="single"/>
              </w:rPr>
            </w:pPr>
            <w:r>
              <w:rPr>
                <w:rFonts w:hint="eastAsia"/>
              </w:rPr>
              <w:t>最高管理者制定了文件化的职业健康安全管理体系方针：</w:t>
            </w:r>
            <w:r>
              <w:rPr>
                <w:rFonts w:hint="eastAsia" w:ascii="宋体" w:hAnsi="宋体" w:cs="宋体"/>
                <w:u w:val="single"/>
              </w:rPr>
              <w:t>“以品质赢得客户；以绿色、环保、健康、安全生产占有市场</w:t>
            </w:r>
            <w:r>
              <w:rPr>
                <w:rFonts w:hint="eastAsia"/>
                <w:color w:val="000000"/>
                <w:szCs w:val="18"/>
                <w:u w:val="single"/>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职业健康的主管部门是——行政部</w:t>
            </w:r>
          </w:p>
          <w:p>
            <w:r>
              <w:rPr>
                <w:rFonts w:hint="eastAsia"/>
              </w:rPr>
              <w:t>安全的主管部门是——行政部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员工代表是——石金桥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spacing w:before="40"/>
                    <w:jc w:val="left"/>
                    <w:rPr>
                      <w:color w:val="000000"/>
                      <w:szCs w:val="18"/>
                    </w:rPr>
                  </w:pPr>
                  <w:r>
                    <w:rPr>
                      <w:rFonts w:hint="eastAsia"/>
                      <w:color w:val="000000"/>
                      <w:szCs w:val="18"/>
                    </w:rPr>
                    <w:t>意外伤害事故</w:t>
                  </w:r>
                </w:p>
              </w:tc>
              <w:tc>
                <w:tcPr>
                  <w:tcW w:w="3965" w:type="dxa"/>
                </w:tcPr>
                <w:p>
                  <w:r>
                    <w:rPr>
                      <w:rFonts w:hint="eastAsia" w:asciiTheme="minorEastAsia" w:hAnsiTheme="minorEastAsia" w:eastAsiaTheme="minorEastAsia"/>
                      <w:szCs w:val="21"/>
                    </w:rPr>
                    <w:t>通过管理方案和预案措施、应急演练进行管理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spacing w:before="40"/>
                    <w:jc w:val="left"/>
                    <w:rPr>
                      <w:color w:val="000000"/>
                      <w:szCs w:val="18"/>
                    </w:rPr>
                  </w:pPr>
                  <w:r>
                    <w:rPr>
                      <w:rFonts w:hint="eastAsia"/>
                      <w:color w:val="000000"/>
                      <w:szCs w:val="18"/>
                    </w:rPr>
                    <w:t>火灾事故</w:t>
                  </w:r>
                </w:p>
              </w:tc>
              <w:tc>
                <w:tcPr>
                  <w:tcW w:w="3965" w:type="dxa"/>
                </w:tcPr>
                <w:p>
                  <w:r>
                    <w:rPr>
                      <w:rFonts w:hint="eastAsia" w:asciiTheme="minorEastAsia" w:hAnsiTheme="minorEastAsia" w:eastAsiaTheme="minorEastAsia"/>
                      <w:szCs w:val="21"/>
                    </w:rPr>
                    <w:t>通过管理方案和预案措施、应急演练进行管理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 xml:space="preserve">□机械伤害  </w:t>
            </w:r>
            <w:r>
              <w:rPr>
                <w:rFonts w:hint="eastAsia"/>
                <w:lang w:eastAsia="zh-CN"/>
              </w:rPr>
              <w:t>■</w:t>
            </w:r>
            <w:bookmarkStart w:id="34" w:name="_GoBack"/>
            <w:bookmarkEnd w:id="34"/>
            <w:r>
              <w:rPr>
                <w:rFonts w:hint="eastAsia"/>
              </w:rPr>
              <w:t>触电 □化学伤害  □噪声 □粉尘  □危险作业 □高低温  □危化品泄露 □压力容器爆炸  ■火灾  ■其他：人身</w:t>
            </w:r>
            <w:r>
              <w:rPr>
                <w:rFonts w:hint="eastAsia" w:ascii="宋体" w:hAnsi="宋体" w:cs="宋体"/>
                <w:szCs w:val="21"/>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  □除尘设备 □漏电保护  □穿戴劳保用品 □作业票管理  □挂牌上锁管理</w:t>
            </w:r>
          </w:p>
          <w:p>
            <w:pPr>
              <w:rPr>
                <w:highlight w:val="cyan"/>
              </w:rPr>
            </w:pPr>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1418"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color w:val="000000" w:themeColor="text1"/>
                    </w:rPr>
                  </w:pPr>
                  <w:r>
                    <w:rPr>
                      <w:rFonts w:hint="eastAsia"/>
                      <w:color w:val="000000" w:themeColor="text1"/>
                    </w:rPr>
                    <w:t>职业健康安全</w:t>
                  </w:r>
                  <w:r>
                    <w:rPr>
                      <w:rFonts w:hint="eastAsia" w:ascii="宋体" w:hAnsi="宋体"/>
                      <w:color w:val="000000" w:themeColor="text1"/>
                    </w:rPr>
                    <w:t>目标</w:t>
                  </w:r>
                </w:p>
              </w:tc>
              <w:tc>
                <w:tcPr>
                  <w:tcW w:w="3136" w:type="dxa"/>
                  <w:shd w:val="clear" w:color="auto" w:fill="auto"/>
                </w:tcPr>
                <w:p>
                  <w:pPr>
                    <w:rPr>
                      <w:rFonts w:ascii="宋体" w:hAnsi="宋体"/>
                      <w:color w:val="000000" w:themeColor="text1"/>
                    </w:rPr>
                  </w:pPr>
                  <w:r>
                    <w:rPr>
                      <w:rFonts w:hint="eastAsia" w:ascii="宋体" w:hAnsi="宋体"/>
                      <w:color w:val="000000" w:themeColor="text1"/>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bottom"/>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火灾事故为零</w:t>
                  </w:r>
                </w:p>
              </w:tc>
              <w:tc>
                <w:tcPr>
                  <w:tcW w:w="3136" w:type="dxa"/>
                  <w:shd w:val="clear" w:color="auto" w:fill="auto"/>
                  <w:vAlign w:val="center"/>
                </w:tcPr>
                <w:p>
                  <w:pPr>
                    <w:rPr>
                      <w:color w:val="000000" w:themeColor="text1"/>
                      <w:lang w:val="en-GB"/>
                    </w:rPr>
                  </w:pPr>
                  <w:r>
                    <w:rPr>
                      <w:rFonts w:hint="eastAsia" w:asciiTheme="minorEastAsia" w:hAnsiTheme="minorEastAsia" w:eastAsiaTheme="minorEastAsia"/>
                      <w:color w:val="000000" w:themeColor="text1"/>
                      <w:szCs w:val="21"/>
                    </w:rPr>
                    <w:t>通过管理方案和预案措施、应急演练进行管理</w:t>
                  </w:r>
                </w:p>
              </w:tc>
              <w:tc>
                <w:tcPr>
                  <w:tcW w:w="1350" w:type="dxa"/>
                  <w:shd w:val="clear" w:color="auto" w:fill="auto"/>
                  <w:vAlign w:val="center"/>
                </w:tcPr>
                <w:p>
                  <w:r>
                    <w:rPr>
                      <w:rFonts w:hint="eastAsia"/>
                    </w:rPr>
                    <w:t>行政部</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bottom"/>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人身意外伤害为0</w:t>
                  </w:r>
                </w:p>
              </w:tc>
              <w:tc>
                <w:tcPr>
                  <w:tcW w:w="3136" w:type="dxa"/>
                  <w:shd w:val="clear" w:color="auto" w:fill="auto"/>
                  <w:vAlign w:val="center"/>
                </w:tcPr>
                <w:p>
                  <w:pPr>
                    <w:rPr>
                      <w:rFonts w:ascii="宋体" w:hAnsi="宋体"/>
                      <w:color w:val="000000" w:themeColor="text1"/>
                      <w:highlight w:val="red"/>
                    </w:rPr>
                  </w:pPr>
                  <w:r>
                    <w:rPr>
                      <w:rFonts w:hint="eastAsia" w:asciiTheme="minorEastAsia" w:hAnsiTheme="minorEastAsia" w:eastAsiaTheme="minorEastAsia"/>
                      <w:color w:val="000000" w:themeColor="text1"/>
                      <w:szCs w:val="21"/>
                    </w:rPr>
                    <w:t>通过管理方案和预案措施、应急演练进行管理</w:t>
                  </w:r>
                </w:p>
              </w:tc>
              <w:tc>
                <w:tcPr>
                  <w:tcW w:w="1350" w:type="dxa"/>
                  <w:shd w:val="clear" w:color="auto" w:fill="auto"/>
                  <w:vAlign w:val="center"/>
                </w:tcPr>
                <w:p>
                  <w:r>
                    <w:rPr>
                      <w:rFonts w:hint="eastAsia"/>
                    </w:rPr>
                    <w:t>行政部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未发生</w:t>
                  </w:r>
                  <w:r>
                    <w:rPr>
                      <w:rFonts w:hint="eastAsia" w:ascii="宋体" w:hAnsi="宋体" w:cs="宋体"/>
                      <w:kern w:val="0"/>
                      <w:sz w:val="21"/>
                      <w:szCs w:val="21"/>
                    </w:rPr>
                    <w:t>人身意外伤害</w:t>
                  </w:r>
                  <w:r>
                    <w:rPr>
                      <w:rFonts w:hint="eastAsia" w:ascii="宋体" w:hAnsi="宋体" w:cs="宋体"/>
                      <w:kern w:val="0"/>
                      <w:sz w:val="21"/>
                      <w:szCs w:val="21"/>
                      <w:lang w:val="en-US" w:eastAsia="zh-CN"/>
                    </w:rPr>
                    <w:t>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办公面积200平方米左右；生产车间  个；库房 300平方米   ；实验室   个</w:t>
            </w:r>
          </w:p>
          <w:p>
            <w:r>
              <w:rPr>
                <w:rFonts w:hint="eastAsia"/>
              </w:rPr>
              <w:t>主要生产设备有：</w:t>
            </w:r>
            <w:r>
              <w:rPr>
                <w:rFonts w:hint="eastAsia"/>
                <w:u w:val="single"/>
              </w:rPr>
              <w:t>电脑、打印机、复印机及空调、办公桌椅等</w:t>
            </w:r>
            <w:r>
              <w:rPr>
                <w:rFonts w:hint="eastAsia"/>
              </w:rPr>
              <w:t>。</w:t>
            </w:r>
          </w:p>
          <w:p>
            <w:r>
              <w:rPr>
                <w:rFonts w:hint="eastAsia"/>
              </w:rPr>
              <w:t>主要安全装置有：</w:t>
            </w:r>
          </w:p>
          <w:p>
            <w:r>
              <w:rPr>
                <w:rFonts w:hint="eastAsia" w:ascii="Wingdings" w:hAnsi="Wingdings"/>
              </w:rPr>
              <w:t>□</w:t>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rPr>
                <w:rFonts w:hint="eastAsia" w:eastAsia="宋体"/>
                <w:lang w:val="en-US" w:eastAsia="zh-CN"/>
              </w:rPr>
            </w:pPr>
            <w:r>
              <w:rPr>
                <w:rFonts w:hint="eastAsia"/>
              </w:rPr>
              <w:t>职业健康安全监测的计量器具有：</w:t>
            </w:r>
          </w:p>
          <w:p>
            <w:r>
              <w:rPr>
                <w:rFonts w:hint="eastAsia" w:ascii="Wingdings" w:hAnsi="Wingdings"/>
              </w:rPr>
              <w:t>□</w:t>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 ■招聘 □换岗 ■培训  ■考核   □辅导  □其他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内部沟通方式：■文件发放 ■会议 ■标语  ■展板   □其他</w:t>
            </w:r>
          </w:p>
          <w:p>
            <w:r>
              <w:rPr>
                <w:rFonts w:hint="eastAsia"/>
              </w:rPr>
              <w:t>外部沟通方式：</w:t>
            </w:r>
            <w:r>
              <w:rPr>
                <w:rFonts w:hint="eastAsia" w:ascii="Wingdings" w:hAnsi="Wingdings"/>
              </w:rPr>
              <w:t>■</w:t>
            </w:r>
            <w:r>
              <w:rPr>
                <w:rFonts w:hint="eastAsia"/>
              </w:rPr>
              <w:t xml:space="preserve">宣传材料 ■网站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用低危害材料、工艺、运行或设备替代；</w:t>
            </w:r>
          </w:p>
          <w:p>
            <w:r>
              <w:rPr>
                <w:rFonts w:hint="eastAsia"/>
              </w:rPr>
              <w:t xml:space="preserve"> </w:t>
            </w:r>
            <w:r>
              <w:rPr>
                <w:rFonts w:hint="eastAsia" w:ascii="Wingdings" w:hAnsi="Wingdings"/>
              </w:rPr>
              <w:t>□</w:t>
            </w:r>
            <w:r>
              <w:rPr>
                <w:rFonts w:hint="eastAsia"/>
              </w:rPr>
              <w:t>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u w:val="single"/>
              </w:rPr>
            </w:pPr>
            <w:r>
              <w:rPr>
                <w:rFonts w:hint="eastAsia"/>
              </w:rPr>
              <w:t xml:space="preserve">审核期间内，设计和开发新产品/项目名称： </w:t>
            </w:r>
            <w:r>
              <w:rPr>
                <w:rFonts w:hint="eastAsia"/>
                <w:u w:val="single"/>
              </w:rPr>
              <w:t xml:space="preserve">          （举1例）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ascii="宋体" w:hAnsi="宋体" w:cs="宋体"/>
                    </w:rPr>
                    <w:t>■</w:t>
                  </w:r>
                  <w:r>
                    <w:rPr>
                      <w:rFonts w:hint="eastAsia"/>
                    </w:rPr>
                    <w:t>漏电保护 □绝缘用具检测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 xml:space="preserve">□除尘装置  </w:t>
                  </w:r>
                  <w:r>
                    <w:rPr>
                      <w:rFonts w:hint="eastAsia" w:ascii="Wingdings" w:hAnsi="Wingdings"/>
                    </w:rPr>
                    <w:t>□</w:t>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火灾</w:t>
                  </w:r>
                </w:p>
              </w:tc>
              <w:tc>
                <w:tcPr>
                  <w:tcW w:w="4725" w:type="dxa"/>
                </w:tcPr>
                <w:p>
                  <w:pPr>
                    <w:jc w:val="left"/>
                  </w:pPr>
                  <w:r>
                    <w:rPr>
                      <w:rFonts w:hint="eastAsia"/>
                    </w:rPr>
                    <w:t>通知应急预案演练及管理方案进行控制</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r>
              <w:rPr>
                <w:rFonts w:hint="eastAsia"/>
              </w:rPr>
              <w:t xml:space="preserve">安全装置检查：□进行了定期检查  □未进行定期检查的有：                 </w:t>
            </w:r>
          </w:p>
          <w:p>
            <w:r>
              <w:rPr>
                <w:rFonts w:hint="eastAsia"/>
              </w:rPr>
              <w:t xml:space="preserve">特种设备管理：□进行了定期检验  □未进行定期检验的有：                 </w:t>
            </w:r>
          </w:p>
          <w:p>
            <w:r>
              <w:rPr>
                <w:rFonts w:hint="eastAsia"/>
              </w:rPr>
              <w:t>特种设备检测报告，如：</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最终处置 ■其他：售后服务</w:t>
            </w:r>
          </w:p>
          <w:p>
            <w:r>
              <w:rPr>
                <w:rFonts w:hint="eastAsia"/>
              </w:rPr>
              <w:t xml:space="preserve">交付后活动：■符合要求 □存在不足，说明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r>
              <w:rPr>
                <w:rFonts w:hint="eastAsia"/>
              </w:rPr>
              <w:t xml:space="preserve"> </w:t>
            </w:r>
          </w:p>
          <w:p>
            <w:r>
              <w:rPr>
                <w:rFonts w:hint="eastAsia"/>
              </w:rPr>
              <w:t>于202</w:t>
            </w:r>
            <w:r>
              <w:rPr>
                <w:rFonts w:hint="eastAsia"/>
                <w:lang w:val="en-US" w:eastAsia="zh-CN"/>
              </w:rPr>
              <w:t>2</w:t>
            </w:r>
            <w:r>
              <w:rPr>
                <w:rFonts w:hint="eastAsia"/>
              </w:rPr>
              <w:t>年9月2</w:t>
            </w:r>
            <w:r>
              <w:rPr>
                <w:rFonts w:hint="eastAsia"/>
                <w:lang w:val="en-US" w:eastAsia="zh-CN"/>
              </w:rPr>
              <w:t>9</w:t>
            </w:r>
            <w:r>
              <w:rPr>
                <w:rFonts w:hint="eastAsia"/>
              </w:rPr>
              <w:t>日</w:t>
            </w:r>
            <w:r>
              <w:rPr>
                <w:rFonts w:hint="eastAsia"/>
                <w:lang w:val="en-US" w:eastAsia="zh-CN"/>
              </w:rPr>
              <w:t>和</w:t>
            </w:r>
            <w:r>
              <w:rPr>
                <w:rFonts w:hint="eastAsia"/>
              </w:rPr>
              <w:t>202</w:t>
            </w:r>
            <w:r>
              <w:rPr>
                <w:rFonts w:hint="eastAsia"/>
                <w:lang w:val="en-US" w:eastAsia="zh-CN"/>
              </w:rPr>
              <w:t>2</w:t>
            </w:r>
            <w:r>
              <w:rPr>
                <w:rFonts w:hint="eastAsia"/>
              </w:rPr>
              <w:t>年9月</w:t>
            </w:r>
            <w:r>
              <w:rPr>
                <w:rFonts w:hint="eastAsia"/>
                <w:lang w:val="en-US" w:eastAsia="zh-CN"/>
              </w:rPr>
              <w:t>30</w:t>
            </w:r>
            <w:r>
              <w:rPr>
                <w:rFonts w:hint="eastAsia"/>
              </w:rPr>
              <w:t>日</w:t>
            </w:r>
            <w:r>
              <w:rPr>
                <w:rFonts w:hint="eastAsia"/>
                <w:lang w:val="en-US" w:eastAsia="zh-CN"/>
              </w:rPr>
              <w:t>分别</w:t>
            </w:r>
            <w:r>
              <w:rPr>
                <w:rFonts w:hint="eastAsia"/>
              </w:rPr>
              <w:t>进行了火灾消防</w:t>
            </w:r>
            <w:r>
              <w:rPr>
                <w:rFonts w:hint="eastAsia"/>
                <w:lang w:val="en-US" w:eastAsia="zh-CN"/>
              </w:rPr>
              <w:t>和触电急救</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rPr>
              <w:t xml:space="preserve">■定期（每年） </w:t>
            </w:r>
            <w:r>
              <w:rPr>
                <w:rFonts w:hint="eastAsia"/>
                <w:highlight w:val="none"/>
              </w:rPr>
              <w:t>：</w:t>
            </w:r>
            <w:r>
              <w:rPr>
                <w:rFonts w:hint="eastAsia"/>
                <w:highlight w:val="none"/>
                <w:lang w:eastAsia="zh-CN"/>
              </w:rPr>
              <w:t>2022年9月20日</w:t>
            </w:r>
          </w:p>
          <w:p>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w:t>
            </w:r>
            <w:r>
              <w:rPr>
                <w:rFonts w:hint="eastAsia"/>
                <w:highlight w:val="none"/>
              </w:rPr>
              <w:t>划于</w:t>
            </w:r>
            <w:r>
              <w:rPr>
                <w:rFonts w:hint="eastAsia"/>
                <w:color w:val="000000"/>
                <w:szCs w:val="18"/>
                <w:highlight w:val="none"/>
                <w:u w:val="single"/>
              </w:rPr>
              <w:t xml:space="preserve"> 202</w:t>
            </w:r>
            <w:r>
              <w:rPr>
                <w:rFonts w:hint="eastAsia"/>
                <w:color w:val="000000"/>
                <w:szCs w:val="18"/>
                <w:highlight w:val="none"/>
                <w:u w:val="single"/>
                <w:lang w:val="en-US" w:eastAsia="zh-CN"/>
              </w:rPr>
              <w:t>2</w:t>
            </w:r>
            <w:r>
              <w:rPr>
                <w:rFonts w:hint="eastAsia"/>
                <w:color w:val="000000"/>
                <w:szCs w:val="18"/>
                <w:highlight w:val="none"/>
                <w:u w:val="single"/>
              </w:rPr>
              <w:t>年1</w:t>
            </w:r>
            <w:r>
              <w:rPr>
                <w:rFonts w:hint="eastAsia"/>
                <w:color w:val="000000"/>
                <w:szCs w:val="18"/>
                <w:highlight w:val="none"/>
                <w:u w:val="single"/>
                <w:lang w:val="en-US" w:eastAsia="zh-CN"/>
              </w:rPr>
              <w:t>0</w:t>
            </w:r>
            <w:r>
              <w:rPr>
                <w:rFonts w:hint="eastAsia"/>
                <w:color w:val="000000"/>
                <w:szCs w:val="18"/>
                <w:highlight w:val="none"/>
                <w:u w:val="single"/>
              </w:rPr>
              <w:t>月</w:t>
            </w:r>
            <w:r>
              <w:rPr>
                <w:rFonts w:hint="eastAsia"/>
                <w:color w:val="000000"/>
                <w:szCs w:val="18"/>
                <w:highlight w:val="none"/>
                <w:u w:val="single"/>
                <w:lang w:val="en-US" w:eastAsia="zh-CN"/>
              </w:rPr>
              <w:t>25</w:t>
            </w:r>
            <w:r>
              <w:rPr>
                <w:rFonts w:hint="eastAsia"/>
                <w:color w:val="000000"/>
                <w:szCs w:val="18"/>
                <w:highlight w:val="none"/>
                <w:u w:val="single"/>
              </w:rPr>
              <w:t>日</w:t>
            </w:r>
            <w:r>
              <w:rPr>
                <w:rFonts w:hint="eastAsia"/>
                <w:highlight w:val="none"/>
              </w:rPr>
              <w:t>实施了职业健康安全管理体系内部审核，对职业健康安全管理体系的符合性和有效性进行了审核。内审发现的</w:t>
            </w:r>
            <w:r>
              <w:rPr>
                <w:rFonts w:hint="eastAsia"/>
                <w:highlight w:val="none"/>
                <w:u w:val="single"/>
              </w:rPr>
              <w:t xml:space="preserve"> 1 项</w:t>
            </w:r>
            <w:r>
              <w:rPr>
                <w:rFonts w:hint="eastAsia"/>
                <w:highlight w:val="none"/>
              </w:rPr>
              <w:t>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w:t>
            </w:r>
            <w:r>
              <w:rPr>
                <w:rFonts w:hint="eastAsia"/>
                <w:highlight w:val="none"/>
              </w:rPr>
              <w:t>间隔，在</w:t>
            </w:r>
            <w:r>
              <w:rPr>
                <w:rFonts w:hint="eastAsia"/>
                <w:color w:val="000000"/>
                <w:szCs w:val="18"/>
                <w:highlight w:val="none"/>
                <w:u w:val="single"/>
                <w:lang w:eastAsia="zh-CN"/>
              </w:rPr>
              <w:t>2022年11月5日</w:t>
            </w:r>
            <w:r>
              <w:rPr>
                <w:rFonts w:hint="eastAsia"/>
                <w:highlight w:val="none"/>
              </w:rPr>
              <w:t>对组织</w:t>
            </w:r>
            <w:r>
              <w:rPr>
                <w:rFonts w:hint="eastAsia"/>
              </w:rPr>
              <w:t>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9"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9"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9" w:type="dxa"/>
            <w:shd w:val="clear" w:color="auto" w:fill="F2DCDC" w:themeFill="accent2" w:themeFillTint="32"/>
            <w:vAlign w:val="center"/>
          </w:tcPr>
          <w:p>
            <w:pPr>
              <w:rPr>
                <w:lang w:eastAsia="ja-JP"/>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eastAsia="zh-CN"/>
              </w:rPr>
            </w:pPr>
            <w:r>
              <w:rPr>
                <w:rFonts w:hint="eastAsia"/>
                <w:lang w:val="en-US" w:eastAsia="zh-CN"/>
              </w:rPr>
              <w:t>2</w:t>
            </w:r>
          </w:p>
        </w:tc>
        <w:tc>
          <w:tcPr>
            <w:tcW w:w="769"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rFonts w:hint="eastAsia" w:eastAsia="宋体"/>
                <w:lang w:eastAsia="zh-CN"/>
              </w:rPr>
            </w:pPr>
            <w:r>
              <w:rPr>
                <w:rFonts w:hint="eastAsia"/>
                <w:lang w:val="en-US" w:eastAsia="zh-CN"/>
              </w:rPr>
              <w:t>2</w:t>
            </w:r>
          </w:p>
        </w:tc>
        <w:tc>
          <w:tcPr>
            <w:tcW w:w="768" w:type="dxa"/>
            <w:shd w:val="clear" w:color="auto" w:fill="F2DCDC" w:themeFill="accent2" w:themeFillTint="32"/>
            <w:vAlign w:val="center"/>
          </w:tcPr>
          <w:p>
            <w:pPr>
              <w:rPr>
                <w:lang w:eastAsia="ja-JP"/>
              </w:rPr>
            </w:pPr>
            <w:r>
              <w:rPr>
                <w:rFonts w:hint="eastAsia"/>
              </w:rPr>
              <w:t>1</w:t>
            </w:r>
          </w:p>
        </w:tc>
        <w:tc>
          <w:tcPr>
            <w:tcW w:w="769" w:type="dxa"/>
            <w:shd w:val="clear" w:color="auto" w:fill="F2DCDC" w:themeFill="accent2" w:themeFillTint="32"/>
            <w:vAlign w:val="center"/>
          </w:tcPr>
          <w:p>
            <w:pPr>
              <w:rPr>
                <w:rFonts w:hint="eastAsia" w:eastAsia="宋体"/>
                <w:lang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eastAsia="zh-CN"/>
              </w:rPr>
            </w:pPr>
            <w:r>
              <w:rPr>
                <w:rFonts w:hint="eastAsia"/>
                <w:lang w:val="en-US" w:eastAsia="zh-CN"/>
              </w:rPr>
              <w:t>3</w:t>
            </w:r>
          </w:p>
        </w:tc>
        <w:tc>
          <w:tcPr>
            <w:tcW w:w="768" w:type="dxa"/>
            <w:shd w:val="clear" w:color="auto" w:fill="F2DCDC" w:themeFill="accent2" w:themeFillTint="32"/>
            <w:vAlign w:val="center"/>
          </w:tcPr>
          <w:p>
            <w:pPr>
              <w:rPr>
                <w:lang w:eastAsia="ja-JP"/>
              </w:rPr>
            </w:pPr>
            <w:r>
              <w:rPr>
                <w:rFonts w:hint="eastAsia"/>
              </w:rPr>
              <w:t>1</w:t>
            </w:r>
          </w:p>
        </w:tc>
        <w:tc>
          <w:tcPr>
            <w:tcW w:w="769" w:type="dxa"/>
            <w:shd w:val="clear" w:color="auto" w:fill="F2DCDC" w:themeFill="accent2" w:themeFillTint="32"/>
            <w:vAlign w:val="center"/>
          </w:tcPr>
          <w:p>
            <w:pPr>
              <w:rPr>
                <w:lang w:eastAsia="ja-JP"/>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highlight w:val="red"/>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0F9A5D17"/>
    <w:rsid w:val="2CE865F3"/>
    <w:rsid w:val="52125FB3"/>
    <w:rsid w:val="546D093D"/>
    <w:rsid w:val="5C114E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14861</Words>
  <Characters>15624</Characters>
  <Lines>150</Lines>
  <Paragraphs>42</Paragraphs>
  <TotalTime>4</TotalTime>
  <ScaleCrop>false</ScaleCrop>
  <LinksUpToDate>false</LinksUpToDate>
  <CharactersWithSpaces>17817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2022-12-17T02:09:49Z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2052-11.1.0.12980</vt:lpwstr>
  </property>
</Properties>
</file>