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539"/>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539" w:type="dxa"/>
            <w:vAlign w:val="center"/>
          </w:tcPr>
          <w:p>
            <w:pPr>
              <w:spacing w:line="360" w:lineRule="auto"/>
              <w:rPr>
                <w:rFonts w:ascii="楷体" w:hAnsi="楷体" w:eastAsia="楷体"/>
                <w:sz w:val="24"/>
                <w:szCs w:val="24"/>
              </w:rPr>
            </w:pPr>
            <w:r>
              <w:rPr>
                <w:rFonts w:hint="eastAsia" w:ascii="楷体" w:hAnsi="楷体" w:eastAsia="楷体"/>
                <w:sz w:val="24"/>
                <w:szCs w:val="24"/>
              </w:rPr>
              <w:t>受审核部门：综合管理部     主管领导：东昕     陪同人员：柴灵芝</w:t>
            </w:r>
          </w:p>
        </w:tc>
        <w:tc>
          <w:tcPr>
            <w:tcW w:w="1050"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539" w:type="dxa"/>
            <w:vAlign w:val="center"/>
          </w:tcPr>
          <w:p>
            <w:pPr>
              <w:spacing w:before="120" w:line="360" w:lineRule="auto"/>
              <w:rPr>
                <w:rFonts w:ascii="楷体" w:hAnsi="楷体" w:eastAsia="楷体"/>
                <w:sz w:val="24"/>
                <w:szCs w:val="24"/>
              </w:rPr>
            </w:pPr>
            <w:r>
              <w:rPr>
                <w:rFonts w:hint="eastAsia" w:ascii="楷体" w:hAnsi="楷体" w:eastAsia="楷体"/>
                <w:sz w:val="24"/>
                <w:szCs w:val="24"/>
              </w:rPr>
              <w:t xml:space="preserve">审核员：姜海军       审核时间：2022.12.13    </w:t>
            </w:r>
            <w:r>
              <w:rPr>
                <w:rFonts w:hint="eastAsia"/>
                <w:b/>
                <w:sz w:val="20"/>
              </w:rPr>
              <w:t>远程审核沟通工具：微信、电话</w:t>
            </w:r>
          </w:p>
        </w:tc>
        <w:tc>
          <w:tcPr>
            <w:tcW w:w="1050"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539" w:type="dxa"/>
            <w:vAlign w:val="center"/>
          </w:tcPr>
          <w:p>
            <w:pPr>
              <w:adjustRightInd w:val="0"/>
              <w:snapToGrid w:val="0"/>
              <w:ind w:right="105" w:rightChars="50"/>
              <w:jc w:val="left"/>
              <w:textAlignment w:val="baseline"/>
              <w:rPr>
                <w:rFonts w:ascii="楷体" w:hAnsi="楷体" w:eastAsia="楷体" w:cs="Arial"/>
                <w:szCs w:val="21"/>
              </w:rPr>
            </w:pPr>
            <w:r>
              <w:rPr>
                <w:rFonts w:hint="eastAsia" w:ascii="楷体" w:hAnsi="楷体" w:eastAsia="楷体"/>
                <w:szCs w:val="21"/>
              </w:rPr>
              <w:t>审核条款：</w:t>
            </w:r>
            <w:r>
              <w:rPr>
                <w:rFonts w:hint="eastAsia" w:ascii="楷体" w:hAnsi="楷体" w:eastAsia="楷体" w:cs="Arial"/>
                <w:szCs w:val="21"/>
              </w:rPr>
              <w:t xml:space="preserve"> </w:t>
            </w:r>
          </w:p>
          <w:p>
            <w:pPr>
              <w:adjustRightInd w:val="0"/>
              <w:snapToGrid w:val="0"/>
              <w:ind w:right="105" w:rightChars="50"/>
              <w:textAlignment w:val="baseline"/>
              <w:rPr>
                <w:rFonts w:ascii="楷体" w:hAnsi="楷体" w:eastAsia="楷体"/>
                <w:sz w:val="24"/>
                <w:szCs w:val="24"/>
              </w:rPr>
            </w:pPr>
            <w:r>
              <w:rPr>
                <w:rFonts w:hint="eastAsia" w:ascii="楷体" w:hAnsi="楷体" w:eastAsia="楷体" w:cs="Arial"/>
                <w:szCs w:val="21"/>
              </w:rPr>
              <w:t>E/OMS: 5.3组织的岗位、职责和权限、6.2.1环境/职业健康安全目标、6.2.2实现环境/职业健康安全目标措施的策划、7.2能力、7.3意识、7.4沟通/信息交流、7.5.1形成文件的信息总则、7.5.2形成文件的信息的创建和更新、7.5.3形成文件的信息的控制、9.2 内部审核、10.2不符合/事件和纠正措施，</w:t>
            </w:r>
          </w:p>
        </w:tc>
        <w:tc>
          <w:tcPr>
            <w:tcW w:w="1050"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EO 5.3</w:t>
            </w:r>
          </w:p>
        </w:tc>
        <w:tc>
          <w:tcPr>
            <w:tcW w:w="10539" w:type="dxa"/>
          </w:tcPr>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审核时了解到部门主要负责：</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行政事务，</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1.负责建立和完善公司管理制度体系；</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2.负责董事会、经理层日常事务及大型会议、专题活动的组织、实施、统筹协调、记录归档；</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3.负责公司固定资产专项资金上报工作，做好固定资产的盘点、采买、报废等工作；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4.负责公司行政公章、法人印章、合同印章、业务印章的保管、使用、变更工作；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5.负责公司营业执照、质量管理体系证、资质证书等证照年检、续期、内容变更等工作；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6.负责控制公司办公、差旅、会议、招待等各项费用支出；</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7.负责公司报销费用的登记、审核工作；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8.负责公司行政领导讲话、报告、述职述廉、工作总结、文件等文字材料的撰写和审核工作；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9.负责公司对外联络及相关协会信息上报，做好会务通知、会费缴纳、定额书籍领发等工作；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10.负责档案管理工作；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11.负责公文管理工作；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党群工作，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1.负责落实公司党的建设、思想政治工作；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2.负责统筹协调落实公司支部建设、党员管理、组织发展、党员教育、新闻宣传、组织生活会、纪检监察、工会等工作；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3.负责公司中层干部的选拔、培训、建档、考核工作；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4.负责政工系列职称的评审、申报工作；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5.负责公司党建报刊、杂志等宣传、学习资料的征订、购买工作。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人力资源管理，</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1.负责公司定岗、定编和定员工作；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2.负责公司员工的日常考勤工作；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3.拟定公司薪酬制度，负责公司全员工资总额申报、薪酬计算审核、工资总额控制等工作；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4.负责公司劳动关系管理、社会保险管理相关工作；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5.负责公司员工职称评定和注册造价师继续教育、证章管理等相关工作；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6.负责公司各项人力资源报表填报工作。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安全环保管理，</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1.制订公司安全、职业健康及环保相关的制度、规范、标准和目标，组织重大安全等方面的专项措施，组织相关领域对外合作，监督指导落实情况；</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2.制订公司年度安全目标和考核指标，监督执行;</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3.组织建立公司应急管理体系，制订安全事故应急预案，监督指导落实情况；</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4.制定和维护安全与环保管理体系，包括体系建设的理念相关角色及职责、内容、方法等；</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5.通过系统化的预防管理机制，彻底消除各种环境隐患，最大限度地减少环境污染的发生。</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企业文化宣传与管理，</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1.宣传、观察、落实党的路线、方针、政策、正确把握舆论导向，负责公司对内、对外宣传活动的策划与实施；</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2.负责支部主题党日、民主生活会、中心组学习及集中研讨、支委会、党课、中心组学习、民主生活会、支部标准化及党建相关工作等；</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3.负责公司党建、行政重要材料的撰写、审核、修改；</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4.负责公司宣传展板、微信公众号等宣传管理工作；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5.负责外发稿件的编辑、审核、把关、登记及稿费计算工作；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6.负责公司共青团日常工作，组织青年团员深入开展志愿者服务活动，做好青年入党积极分子的培养、推优工作。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工会与纪检，</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1.根据工会章程和条例，组织召开职工大会。制定工作计划，做好工会经费的预算、决算、支出管理工作，组织开展工会活动，购买发放职工福利品，慰问职工，做好职工体检等；</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2.负责公司纪检监察工作，按时制定工作计划，负责党风廉政目标责任书签订及“三公”经费报送工作；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3.负责党员干部党风廉政教育、纪检监察监督，物资集团“企廉网”管理工作。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财务与风险管理，</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1.负责季度产权登记表、各类财务报表的上报、审核工作；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2.负责公司各类费用、成本的核算、控制工作；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3.负责公司各类专项审计工作；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4.负责公司各项法律事务管理；</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5.负责公司信息化管理的各项工作。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后勤保障，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1.负责公司办公用品、低值易耗品的申请、采购、领用、管理等工作；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2.负责公司车辆管理工作。</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其他事项，</w:t>
            </w:r>
          </w:p>
          <w:p>
            <w:pPr>
              <w:spacing w:line="360" w:lineRule="auto"/>
              <w:ind w:firstLine="480" w:firstLineChars="200"/>
              <w:rPr>
                <w:rFonts w:ascii="楷体" w:hAnsi="楷体" w:eastAsia="楷体"/>
                <w:sz w:val="24"/>
                <w:szCs w:val="24"/>
              </w:rPr>
            </w:pPr>
            <w:r>
              <w:rPr>
                <w:rFonts w:hint="eastAsia" w:ascii="楷体" w:hAnsi="楷体" w:eastAsia="楷体" w:cs="宋体"/>
                <w:sz w:val="24"/>
                <w:szCs w:val="24"/>
              </w:rPr>
              <w:t>负责领导安排的其他工作。等。</w:t>
            </w:r>
          </w:p>
        </w:tc>
        <w:tc>
          <w:tcPr>
            <w:tcW w:w="1050" w:type="dxa"/>
          </w:tcPr>
          <w:p>
            <w:pPr>
              <w:spacing w:line="360" w:lineRule="auto"/>
              <w:rPr>
                <w:rFonts w:ascii="楷体" w:hAnsi="楷体" w:eastAsia="楷体" w:cs="宋体"/>
                <w:sz w:val="24"/>
                <w:szCs w:val="24"/>
              </w:rPr>
            </w:pPr>
            <w:r>
              <w:rPr>
                <w:rFonts w:hint="eastAsia" w:ascii="楷体" w:hAnsi="楷体" w:eastAsia="楷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09" w:type="dxa"/>
            <w:vAlign w:val="center"/>
          </w:tcPr>
          <w:p>
            <w:pPr>
              <w:spacing w:line="360" w:lineRule="auto"/>
              <w:rPr>
                <w:rFonts w:ascii="楷体" w:hAnsi="楷体" w:eastAsia="楷体" w:cs="华文楷体"/>
                <w:sz w:val="24"/>
                <w:szCs w:val="24"/>
              </w:rPr>
            </w:pPr>
            <w:r>
              <w:rPr>
                <w:rFonts w:hint="eastAsia" w:ascii="楷体" w:hAnsi="楷体" w:eastAsia="楷体" w:cs="华文楷体"/>
                <w:sz w:val="24"/>
                <w:szCs w:val="24"/>
              </w:rPr>
              <w:t>目标和方案</w:t>
            </w:r>
          </w:p>
        </w:tc>
        <w:tc>
          <w:tcPr>
            <w:tcW w:w="1311" w:type="dxa"/>
            <w:vAlign w:val="center"/>
          </w:tcPr>
          <w:p>
            <w:pPr>
              <w:autoSpaceDE w:val="0"/>
              <w:autoSpaceDN w:val="0"/>
              <w:spacing w:line="360" w:lineRule="auto"/>
              <w:ind w:firstLine="360" w:firstLineChars="150"/>
              <w:rPr>
                <w:rFonts w:ascii="楷体" w:hAnsi="楷体" w:eastAsia="楷体" w:cs="华文楷体"/>
                <w:sz w:val="24"/>
                <w:szCs w:val="24"/>
              </w:rPr>
            </w:pPr>
            <w:r>
              <w:rPr>
                <w:rFonts w:hint="eastAsia" w:ascii="楷体" w:hAnsi="楷体" w:eastAsia="楷体" w:cs="华文楷体"/>
                <w:sz w:val="24"/>
                <w:szCs w:val="24"/>
              </w:rPr>
              <w:t>EO 6.2</w:t>
            </w:r>
          </w:p>
        </w:tc>
        <w:tc>
          <w:tcPr>
            <w:tcW w:w="10539" w:type="dxa"/>
            <w:vAlign w:val="center"/>
          </w:tcPr>
          <w:p>
            <w:pPr>
              <w:autoSpaceDE w:val="0"/>
              <w:autoSpaceDN w:val="0"/>
              <w:spacing w:line="360" w:lineRule="auto"/>
              <w:ind w:firstLine="360" w:firstLineChars="150"/>
              <w:rPr>
                <w:rFonts w:ascii="楷体" w:hAnsi="楷体" w:eastAsia="楷体" w:cs="华文楷体"/>
                <w:sz w:val="24"/>
                <w:szCs w:val="24"/>
              </w:rPr>
            </w:pPr>
            <w:r>
              <w:rPr>
                <w:rFonts w:hint="eastAsia" w:ascii="楷体" w:hAnsi="楷体" w:eastAsia="楷体" w:cs="华文楷体"/>
                <w:sz w:val="24"/>
                <w:szCs w:val="24"/>
              </w:rPr>
              <w:t>编制了《目标、指标和管理方案管理程序》，</w:t>
            </w:r>
          </w:p>
          <w:p>
            <w:pPr>
              <w:autoSpaceDE w:val="0"/>
              <w:autoSpaceDN w:val="0"/>
              <w:spacing w:line="360" w:lineRule="auto"/>
              <w:ind w:firstLine="360" w:firstLineChars="150"/>
              <w:rPr>
                <w:rFonts w:ascii="楷体" w:hAnsi="楷体" w:eastAsia="楷体" w:cs="华文楷体"/>
                <w:sz w:val="24"/>
                <w:szCs w:val="24"/>
              </w:rPr>
            </w:pPr>
            <w:r>
              <w:rPr>
                <w:rFonts w:hint="eastAsia" w:ascii="楷体" w:hAnsi="楷体" w:eastAsia="楷体" w:cs="华文楷体"/>
                <w:sz w:val="24"/>
                <w:szCs w:val="24"/>
              </w:rPr>
              <w:t>抽查综合管理部目标完成情况：</w:t>
            </w:r>
          </w:p>
          <w:tbl>
            <w:tblPr>
              <w:tblStyle w:val="9"/>
              <w:tblW w:w="10376" w:type="dxa"/>
              <w:tblInd w:w="0" w:type="dxa"/>
              <w:tblLayout w:type="fixed"/>
              <w:tblCellMar>
                <w:top w:w="0" w:type="dxa"/>
                <w:left w:w="108" w:type="dxa"/>
                <w:bottom w:w="0" w:type="dxa"/>
                <w:right w:w="108" w:type="dxa"/>
              </w:tblCellMar>
            </w:tblPr>
            <w:tblGrid>
              <w:gridCol w:w="469"/>
              <w:gridCol w:w="1242"/>
              <w:gridCol w:w="1397"/>
              <w:gridCol w:w="440"/>
              <w:gridCol w:w="569"/>
              <w:gridCol w:w="569"/>
              <w:gridCol w:w="569"/>
              <w:gridCol w:w="569"/>
              <w:gridCol w:w="569"/>
              <w:gridCol w:w="569"/>
              <w:gridCol w:w="569"/>
              <w:gridCol w:w="569"/>
              <w:gridCol w:w="569"/>
              <w:gridCol w:w="569"/>
              <w:gridCol w:w="569"/>
              <w:gridCol w:w="569"/>
            </w:tblGrid>
            <w:tr>
              <w:tblPrEx>
                <w:tblCellMar>
                  <w:top w:w="0" w:type="dxa"/>
                  <w:left w:w="108" w:type="dxa"/>
                  <w:bottom w:w="0" w:type="dxa"/>
                  <w:right w:w="108" w:type="dxa"/>
                </w:tblCellMar>
              </w:tblPrEx>
              <w:trPr>
                <w:trHeight w:val="463"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部门</w:t>
                  </w:r>
                </w:p>
              </w:tc>
              <w:tc>
                <w:tcPr>
                  <w:tcW w:w="2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项        目</w:t>
                  </w:r>
                </w:p>
              </w:tc>
              <w:tc>
                <w:tcPr>
                  <w:tcW w:w="2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计算方式</w:t>
                  </w:r>
                </w:p>
              </w:tc>
              <w:tc>
                <w:tcPr>
                  <w:tcW w:w="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频率</w:t>
                  </w:r>
                </w:p>
              </w:tc>
              <w:tc>
                <w:tcPr>
                  <w:tcW w:w="11520"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2022年</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szCs w:val="24"/>
                    </w:rPr>
                  </w:pPr>
                </w:p>
              </w:tc>
              <w:tc>
                <w:tcPr>
                  <w:tcW w:w="2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szCs w:val="24"/>
                    </w:rPr>
                  </w:pPr>
                </w:p>
              </w:tc>
              <w:tc>
                <w:tcPr>
                  <w:tcW w:w="2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szCs w:val="24"/>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szCs w:val="24"/>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一月</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二月</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三月</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四月</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五月</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六月</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七月</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八月</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九月</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十月</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十一月</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十二月</w:t>
                  </w:r>
                </w:p>
              </w:tc>
            </w:tr>
            <w:tr>
              <w:tblPrEx>
                <w:tblCellMar>
                  <w:top w:w="0" w:type="dxa"/>
                  <w:left w:w="108" w:type="dxa"/>
                  <w:bottom w:w="0" w:type="dxa"/>
                  <w:right w:w="108" w:type="dxa"/>
                </w:tblCellMar>
              </w:tblPrEx>
              <w:trPr>
                <w:trHeight w:val="703"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综合管理部</w:t>
                  </w:r>
                </w:p>
              </w:tc>
              <w:tc>
                <w:tcPr>
                  <w:tcW w:w="24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员工培训计划执行率100％</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按时执行培训项目/计划培训数*100％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年度</w:t>
                  </w:r>
                </w:p>
              </w:tc>
              <w:tc>
                <w:tcPr>
                  <w:tcW w:w="11520"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截止到12月已按计划对员工实施培训</w:t>
                  </w:r>
                </w:p>
              </w:tc>
            </w:tr>
            <w:tr>
              <w:tblPrEx>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 w:hAnsi="楷体" w:eastAsia="楷体" w:cs="宋体"/>
                      <w:color w:val="000000"/>
                      <w:kern w:val="0"/>
                      <w:sz w:val="20"/>
                    </w:rPr>
                  </w:pPr>
                </w:p>
              </w:tc>
              <w:tc>
                <w:tcPr>
                  <w:tcW w:w="24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固废分类处理及时率100%</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固废及时处理次数/处理固废的总次数*100%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月度</w:t>
                  </w:r>
                </w:p>
              </w:tc>
              <w:tc>
                <w:tcPr>
                  <w:tcW w:w="96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2"/>
                      <w:szCs w:val="22"/>
                    </w:rPr>
                  </w:pPr>
                </w:p>
              </w:tc>
              <w:tc>
                <w:tcPr>
                  <w:tcW w:w="96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2"/>
                      <w:szCs w:val="22"/>
                    </w:rPr>
                  </w:pPr>
                </w:p>
              </w:tc>
              <w:tc>
                <w:tcPr>
                  <w:tcW w:w="96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2"/>
                      <w:szCs w:val="22"/>
                    </w:rPr>
                  </w:pPr>
                </w:p>
              </w:tc>
              <w:tc>
                <w:tcPr>
                  <w:tcW w:w="96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2"/>
                      <w:szCs w:val="22"/>
                    </w:rPr>
                  </w:pPr>
                </w:p>
              </w:tc>
              <w:tc>
                <w:tcPr>
                  <w:tcW w:w="96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2"/>
                      <w:szCs w:val="22"/>
                    </w:rPr>
                  </w:pPr>
                </w:p>
              </w:tc>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100%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100%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100%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100%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100%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100%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　</w:t>
                  </w:r>
                </w:p>
              </w:tc>
            </w:tr>
            <w:tr>
              <w:tblPrEx>
                <w:tblCellMar>
                  <w:top w:w="0" w:type="dxa"/>
                  <w:left w:w="108" w:type="dxa"/>
                  <w:bottom w:w="0" w:type="dxa"/>
                  <w:right w:w="108" w:type="dxa"/>
                </w:tblCellMar>
              </w:tblPrEx>
              <w:trPr>
                <w:trHeight w:val="703"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 w:hAnsi="楷体" w:eastAsia="楷体" w:cs="宋体"/>
                      <w:color w:val="000000"/>
                      <w:kern w:val="0"/>
                      <w:sz w:val="20"/>
                    </w:rPr>
                  </w:pPr>
                </w:p>
              </w:tc>
              <w:tc>
                <w:tcPr>
                  <w:tcW w:w="24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火灾事故为零</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实际发生次数</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月度</w:t>
                  </w:r>
                </w:p>
              </w:tc>
              <w:tc>
                <w:tcPr>
                  <w:tcW w:w="96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2"/>
                      <w:szCs w:val="22"/>
                    </w:rPr>
                  </w:pPr>
                </w:p>
              </w:tc>
              <w:tc>
                <w:tcPr>
                  <w:tcW w:w="96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2"/>
                      <w:szCs w:val="22"/>
                    </w:rPr>
                  </w:pPr>
                </w:p>
              </w:tc>
              <w:tc>
                <w:tcPr>
                  <w:tcW w:w="96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2"/>
                      <w:szCs w:val="22"/>
                    </w:rPr>
                  </w:pPr>
                </w:p>
              </w:tc>
              <w:tc>
                <w:tcPr>
                  <w:tcW w:w="96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2"/>
                      <w:szCs w:val="22"/>
                    </w:rPr>
                  </w:pPr>
                </w:p>
              </w:tc>
              <w:tc>
                <w:tcPr>
                  <w:tcW w:w="96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2"/>
                      <w:szCs w:val="22"/>
                    </w:rPr>
                  </w:pPr>
                </w:p>
              </w:tc>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　</w:t>
                  </w:r>
                </w:p>
              </w:tc>
            </w:tr>
            <w:tr>
              <w:tblPrEx>
                <w:tblCellMar>
                  <w:top w:w="0" w:type="dxa"/>
                  <w:left w:w="108" w:type="dxa"/>
                  <w:bottom w:w="0" w:type="dxa"/>
                  <w:right w:w="108" w:type="dxa"/>
                </w:tblCellMar>
              </w:tblPrEx>
              <w:trPr>
                <w:trHeight w:val="703"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 w:hAnsi="楷体" w:eastAsia="楷体" w:cs="宋体"/>
                      <w:color w:val="000000"/>
                      <w:kern w:val="0"/>
                      <w:sz w:val="20"/>
                    </w:rPr>
                  </w:pPr>
                </w:p>
              </w:tc>
              <w:tc>
                <w:tcPr>
                  <w:tcW w:w="24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供方环境/职业健康安全施加影响率100%</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施加影响的供方数量/供方数量*100%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年度</w:t>
                  </w:r>
                </w:p>
              </w:tc>
              <w:tc>
                <w:tcPr>
                  <w:tcW w:w="11520"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楷体" w:hAnsi="楷体" w:eastAsia="楷体" w:cs="宋体"/>
                      <w:kern w:val="0"/>
                      <w:sz w:val="20"/>
                    </w:rPr>
                  </w:pPr>
                  <w:r>
                    <w:rPr>
                      <w:rFonts w:hint="eastAsia" w:ascii="楷体" w:hAnsi="楷体" w:eastAsia="楷体" w:cs="宋体"/>
                      <w:kern w:val="0"/>
                      <w:sz w:val="20"/>
                    </w:rPr>
                    <w:t>截止到12月已对部分供方施加影响</w:t>
                  </w:r>
                </w:p>
              </w:tc>
            </w:tr>
            <w:tr>
              <w:tblPrEx>
                <w:tblCellMar>
                  <w:top w:w="0" w:type="dxa"/>
                  <w:left w:w="108" w:type="dxa"/>
                  <w:bottom w:w="0" w:type="dxa"/>
                  <w:right w:w="108" w:type="dxa"/>
                </w:tblCellMar>
              </w:tblPrEx>
              <w:trPr>
                <w:trHeight w:val="703"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 w:hAnsi="楷体" w:eastAsia="楷体" w:cs="宋体"/>
                      <w:color w:val="000000"/>
                      <w:kern w:val="0"/>
                      <w:sz w:val="20"/>
                    </w:rPr>
                  </w:pPr>
                </w:p>
              </w:tc>
              <w:tc>
                <w:tcPr>
                  <w:tcW w:w="24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触电伤害为零</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统计发生次数</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月度</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　</w:t>
                  </w:r>
                </w:p>
              </w:tc>
            </w:tr>
            <w:tr>
              <w:tblPrEx>
                <w:tblCellMar>
                  <w:top w:w="0" w:type="dxa"/>
                  <w:left w:w="108" w:type="dxa"/>
                  <w:bottom w:w="0" w:type="dxa"/>
                  <w:right w:w="108" w:type="dxa"/>
                </w:tblCellMar>
              </w:tblPrEx>
              <w:trPr>
                <w:trHeight w:val="703"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 w:hAnsi="楷体" w:eastAsia="楷体" w:cs="宋体"/>
                      <w:color w:val="000000"/>
                      <w:kern w:val="0"/>
                      <w:sz w:val="20"/>
                    </w:rPr>
                  </w:pPr>
                </w:p>
              </w:tc>
              <w:tc>
                <w:tcPr>
                  <w:tcW w:w="24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资金投入及时率100%</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及时投入资金的次数/资金投入数*100%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0"/>
                    </w:rPr>
                  </w:pPr>
                  <w:r>
                    <w:rPr>
                      <w:rFonts w:hint="eastAsia" w:ascii="楷体" w:hAnsi="楷体" w:eastAsia="楷体" w:cs="宋体"/>
                      <w:color w:val="000000"/>
                      <w:kern w:val="0"/>
                      <w:sz w:val="20"/>
                    </w:rPr>
                    <w:t>年度</w:t>
                  </w:r>
                </w:p>
              </w:tc>
              <w:tc>
                <w:tcPr>
                  <w:tcW w:w="11520"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楷体" w:hAnsi="楷体" w:eastAsia="楷体" w:cs="宋体"/>
                      <w:kern w:val="0"/>
                      <w:sz w:val="20"/>
                    </w:rPr>
                  </w:pPr>
                  <w:r>
                    <w:rPr>
                      <w:rFonts w:hint="eastAsia" w:ascii="楷体" w:hAnsi="楷体" w:eastAsia="楷体" w:cs="宋体"/>
                      <w:kern w:val="0"/>
                      <w:sz w:val="20"/>
                    </w:rPr>
                    <w:t>截止到12月均按计划及时投入资金</w:t>
                  </w:r>
                </w:p>
              </w:tc>
            </w:tr>
          </w:tbl>
          <w:p>
            <w:pPr>
              <w:autoSpaceDE w:val="0"/>
              <w:autoSpaceDN w:val="0"/>
              <w:spacing w:line="360" w:lineRule="auto"/>
              <w:ind w:firstLine="360" w:firstLineChars="150"/>
              <w:rPr>
                <w:rFonts w:hint="eastAsia" w:ascii="楷体" w:hAnsi="楷体" w:eastAsia="楷体" w:cs="华文楷体"/>
                <w:sz w:val="24"/>
                <w:szCs w:val="24"/>
              </w:rPr>
            </w:pPr>
          </w:p>
          <w:p>
            <w:pPr>
              <w:autoSpaceDE w:val="0"/>
              <w:autoSpaceDN w:val="0"/>
              <w:spacing w:line="360" w:lineRule="auto"/>
              <w:ind w:firstLine="360" w:firstLineChars="150"/>
              <w:rPr>
                <w:rFonts w:ascii="楷体" w:hAnsi="楷体" w:eastAsia="楷体" w:cs="华文楷体"/>
                <w:sz w:val="24"/>
                <w:szCs w:val="24"/>
              </w:rPr>
            </w:pPr>
            <w:r>
              <w:rPr>
                <w:rFonts w:hint="eastAsia" w:ascii="楷体" w:hAnsi="楷体" w:eastAsia="楷体" w:cs="华文楷体"/>
                <w:sz w:val="24"/>
                <w:szCs w:val="24"/>
              </w:rPr>
              <w:t>查到公司制定的“环境管理方案”、“安全管理方案”，2022年共有6个环境管理方案和职业健康安全管理方案，但是以上管理方案未能有效针对环境和职业健康安全目标。</w:t>
            </w:r>
          </w:p>
          <w:p>
            <w:pPr>
              <w:tabs>
                <w:tab w:val="left" w:pos="6597"/>
              </w:tabs>
              <w:autoSpaceDE w:val="0"/>
              <w:autoSpaceDN w:val="0"/>
              <w:spacing w:line="360" w:lineRule="auto"/>
              <w:ind w:firstLine="360" w:firstLineChars="150"/>
              <w:rPr>
                <w:rFonts w:ascii="楷体" w:hAnsi="楷体" w:eastAsia="楷体" w:cs="华文楷体"/>
                <w:sz w:val="24"/>
                <w:szCs w:val="24"/>
              </w:rPr>
            </w:pPr>
            <w:r>
              <w:rPr>
                <w:rFonts w:hint="eastAsia" w:ascii="楷体" w:hAnsi="楷体" w:eastAsia="楷体" w:cs="华文楷体"/>
                <w:sz w:val="24"/>
                <w:szCs w:val="24"/>
              </w:rPr>
              <w:t>抽查火灾事故为零的管理方案，</w:t>
            </w:r>
          </w:p>
          <w:p>
            <w:pPr>
              <w:tabs>
                <w:tab w:val="left" w:pos="6597"/>
              </w:tabs>
              <w:autoSpaceDE w:val="0"/>
              <w:autoSpaceDN w:val="0"/>
              <w:spacing w:line="360" w:lineRule="auto"/>
              <w:ind w:firstLine="360" w:firstLineChars="150"/>
              <w:rPr>
                <w:rFonts w:hint="eastAsia" w:ascii="楷体" w:hAnsi="楷体" w:eastAsia="楷体" w:cs="华文楷体"/>
                <w:sz w:val="24"/>
                <w:szCs w:val="24"/>
              </w:rPr>
            </w:pPr>
            <w:r>
              <w:rPr>
                <w:rFonts w:hint="eastAsia" w:ascii="楷体" w:hAnsi="楷体" w:eastAsia="楷体" w:cs="华文楷体"/>
                <w:sz w:val="24"/>
                <w:szCs w:val="24"/>
              </w:rPr>
              <w:t>管理方案：1、办公室要对消防设施及消防救护组织机构作出具体的规定；</w:t>
            </w:r>
          </w:p>
          <w:p>
            <w:pPr>
              <w:tabs>
                <w:tab w:val="left" w:pos="6597"/>
              </w:tabs>
              <w:autoSpaceDE w:val="0"/>
              <w:autoSpaceDN w:val="0"/>
              <w:spacing w:line="360" w:lineRule="auto"/>
              <w:ind w:firstLine="360" w:firstLineChars="150"/>
              <w:rPr>
                <w:rFonts w:hint="eastAsia" w:ascii="楷体" w:hAnsi="楷体" w:eastAsia="楷体" w:cs="华文楷体"/>
                <w:sz w:val="24"/>
                <w:szCs w:val="24"/>
              </w:rPr>
            </w:pPr>
            <w:r>
              <w:rPr>
                <w:rFonts w:hint="eastAsia" w:ascii="楷体" w:hAnsi="楷体" w:eastAsia="楷体" w:cs="华文楷体"/>
                <w:sz w:val="24"/>
                <w:szCs w:val="24"/>
              </w:rPr>
              <w:t>2、公司要设有灭火器等消防器材，并指定专人管理，落实责任人。</w:t>
            </w:r>
          </w:p>
          <w:p>
            <w:pPr>
              <w:tabs>
                <w:tab w:val="left" w:pos="6597"/>
              </w:tabs>
              <w:autoSpaceDE w:val="0"/>
              <w:autoSpaceDN w:val="0"/>
              <w:spacing w:line="360" w:lineRule="auto"/>
              <w:ind w:firstLine="360" w:firstLineChars="150"/>
              <w:rPr>
                <w:rFonts w:hint="eastAsia" w:ascii="楷体" w:hAnsi="楷体" w:eastAsia="楷体" w:cs="华文楷体"/>
                <w:sz w:val="24"/>
                <w:szCs w:val="24"/>
              </w:rPr>
            </w:pPr>
            <w:r>
              <w:rPr>
                <w:rFonts w:hint="eastAsia" w:ascii="楷体" w:hAnsi="楷体" w:eastAsia="楷体" w:cs="华文楷体"/>
                <w:sz w:val="24"/>
                <w:szCs w:val="24"/>
              </w:rPr>
              <w:t>3、做好消防的宣传教育工作，定期或不定期进行消防演习，提高员工的消防安全意识。</w:t>
            </w:r>
          </w:p>
          <w:p>
            <w:pPr>
              <w:tabs>
                <w:tab w:val="left" w:pos="6597"/>
              </w:tabs>
              <w:autoSpaceDE w:val="0"/>
              <w:autoSpaceDN w:val="0"/>
              <w:spacing w:line="360" w:lineRule="auto"/>
              <w:ind w:firstLine="360" w:firstLineChars="150"/>
              <w:rPr>
                <w:rFonts w:ascii="楷体" w:hAnsi="楷体" w:eastAsia="楷体" w:cs="华文楷体"/>
                <w:sz w:val="24"/>
                <w:szCs w:val="24"/>
              </w:rPr>
            </w:pPr>
            <w:r>
              <w:rPr>
                <w:rFonts w:hint="eastAsia" w:ascii="楷体" w:hAnsi="楷体" w:eastAsia="楷体" w:cs="华文楷体"/>
                <w:sz w:val="24"/>
                <w:szCs w:val="24"/>
              </w:rPr>
              <w:t>费用2000元。</w:t>
            </w:r>
          </w:p>
          <w:p>
            <w:pPr>
              <w:tabs>
                <w:tab w:val="left" w:pos="6597"/>
              </w:tabs>
              <w:autoSpaceDE w:val="0"/>
              <w:autoSpaceDN w:val="0"/>
              <w:spacing w:line="360" w:lineRule="auto"/>
              <w:ind w:firstLine="360" w:firstLineChars="150"/>
              <w:rPr>
                <w:rFonts w:ascii="楷体" w:hAnsi="楷体" w:eastAsia="楷体" w:cs="华文楷体"/>
                <w:sz w:val="24"/>
                <w:szCs w:val="24"/>
              </w:rPr>
            </w:pPr>
            <w:r>
              <w:rPr>
                <w:rFonts w:hint="eastAsia" w:ascii="楷体" w:hAnsi="楷体" w:eastAsia="楷体" w:cs="华文楷体"/>
                <w:sz w:val="24"/>
                <w:szCs w:val="24"/>
              </w:rPr>
              <w:t>完成时间： 2022.12.30日；责任人：刘康；</w:t>
            </w:r>
          </w:p>
          <w:p>
            <w:pPr>
              <w:tabs>
                <w:tab w:val="left" w:pos="6597"/>
              </w:tabs>
              <w:autoSpaceDE w:val="0"/>
              <w:autoSpaceDN w:val="0"/>
              <w:spacing w:line="360" w:lineRule="auto"/>
              <w:ind w:firstLine="360" w:firstLineChars="150"/>
              <w:rPr>
                <w:rFonts w:hint="eastAsia" w:ascii="楷体" w:hAnsi="楷体" w:eastAsia="楷体" w:cs="华文楷体"/>
                <w:sz w:val="24"/>
                <w:szCs w:val="24"/>
              </w:rPr>
            </w:pPr>
            <w:r>
              <w:rPr>
                <w:rFonts w:hint="eastAsia" w:ascii="楷体" w:hAnsi="楷体" w:eastAsia="楷体" w:cs="华文楷体"/>
                <w:sz w:val="24"/>
                <w:szCs w:val="24"/>
              </w:rPr>
              <w:t>编制：东昕，批准：刘康，日期：2022.7.1日。</w:t>
            </w:r>
          </w:p>
          <w:p>
            <w:pPr>
              <w:tabs>
                <w:tab w:val="left" w:pos="6597"/>
              </w:tabs>
              <w:autoSpaceDE w:val="0"/>
              <w:autoSpaceDN w:val="0"/>
              <w:spacing w:line="360" w:lineRule="auto"/>
              <w:ind w:firstLine="360" w:firstLineChars="150"/>
              <w:rPr>
                <w:rFonts w:hint="eastAsia" w:ascii="楷体" w:hAnsi="楷体" w:eastAsia="楷体" w:cs="华文楷体"/>
                <w:sz w:val="24"/>
                <w:szCs w:val="24"/>
              </w:rPr>
            </w:pPr>
            <w:r>
              <w:rPr>
                <w:rFonts w:hint="eastAsia" w:ascii="楷体" w:hAnsi="楷体" w:eastAsia="楷体" w:cs="华文楷体"/>
                <w:sz w:val="24"/>
                <w:szCs w:val="24"/>
              </w:rPr>
              <w:t>再查固废处理及时率100%管理方案：</w:t>
            </w:r>
            <w:r>
              <w:rPr>
                <w:rFonts w:hint="eastAsia" w:ascii="楷体" w:hAnsi="楷体" w:eastAsia="楷体" w:cs="华文楷体"/>
                <w:sz w:val="24"/>
                <w:szCs w:val="24"/>
              </w:rPr>
              <w:tab/>
            </w:r>
          </w:p>
          <w:p>
            <w:pPr>
              <w:tabs>
                <w:tab w:val="left" w:pos="6597"/>
              </w:tabs>
              <w:autoSpaceDE w:val="0"/>
              <w:autoSpaceDN w:val="0"/>
              <w:spacing w:line="360" w:lineRule="auto"/>
              <w:ind w:firstLine="360" w:firstLineChars="150"/>
              <w:rPr>
                <w:rFonts w:hint="eastAsia" w:ascii="楷体" w:hAnsi="楷体" w:eastAsia="楷体" w:cs="华文楷体"/>
                <w:sz w:val="24"/>
                <w:szCs w:val="24"/>
              </w:rPr>
            </w:pPr>
            <w:r>
              <w:rPr>
                <w:rFonts w:hint="eastAsia" w:ascii="楷体" w:hAnsi="楷体" w:eastAsia="楷体" w:cs="华文楷体"/>
                <w:sz w:val="24"/>
                <w:szCs w:val="24"/>
              </w:rPr>
              <w:t>1.购置分类箱，划分存放区域；</w:t>
            </w:r>
          </w:p>
          <w:p>
            <w:pPr>
              <w:tabs>
                <w:tab w:val="left" w:pos="6597"/>
              </w:tabs>
              <w:autoSpaceDE w:val="0"/>
              <w:autoSpaceDN w:val="0"/>
              <w:spacing w:line="360" w:lineRule="auto"/>
              <w:ind w:firstLine="360" w:firstLineChars="150"/>
              <w:rPr>
                <w:rFonts w:hint="eastAsia" w:ascii="楷体" w:hAnsi="楷体" w:eastAsia="楷体" w:cs="华文楷体"/>
                <w:sz w:val="24"/>
                <w:szCs w:val="24"/>
              </w:rPr>
            </w:pPr>
            <w:r>
              <w:rPr>
                <w:rFonts w:hint="eastAsia" w:ascii="楷体" w:hAnsi="楷体" w:eastAsia="楷体" w:cs="华文楷体"/>
                <w:sz w:val="24"/>
                <w:szCs w:val="24"/>
              </w:rPr>
              <w:t>2.可回收类（废包材、废纸、废塑料等）由办公室统一收集给废品收购部门；</w:t>
            </w:r>
          </w:p>
          <w:p>
            <w:pPr>
              <w:tabs>
                <w:tab w:val="left" w:pos="6597"/>
              </w:tabs>
              <w:autoSpaceDE w:val="0"/>
              <w:autoSpaceDN w:val="0"/>
              <w:spacing w:line="360" w:lineRule="auto"/>
              <w:ind w:firstLine="360" w:firstLineChars="150"/>
              <w:rPr>
                <w:rFonts w:hint="eastAsia" w:ascii="楷体" w:hAnsi="楷体" w:eastAsia="楷体" w:cs="华文楷体"/>
                <w:sz w:val="24"/>
                <w:szCs w:val="24"/>
              </w:rPr>
            </w:pPr>
            <w:r>
              <w:rPr>
                <w:rFonts w:hint="eastAsia" w:ascii="楷体" w:hAnsi="楷体" w:eastAsia="楷体" w:cs="华文楷体"/>
                <w:sz w:val="24"/>
                <w:szCs w:val="24"/>
              </w:rPr>
              <w:t>3.不可回收类（生活垃圾）办公区由公司所在地附近环卫站日清；</w:t>
            </w:r>
          </w:p>
          <w:p>
            <w:pPr>
              <w:tabs>
                <w:tab w:val="left" w:pos="6597"/>
              </w:tabs>
              <w:autoSpaceDE w:val="0"/>
              <w:autoSpaceDN w:val="0"/>
              <w:spacing w:line="360" w:lineRule="auto"/>
              <w:ind w:firstLine="360" w:firstLineChars="150"/>
              <w:rPr>
                <w:rFonts w:hint="eastAsia" w:ascii="楷体" w:hAnsi="楷体" w:eastAsia="楷体" w:cs="华文楷体"/>
                <w:sz w:val="24"/>
                <w:szCs w:val="24"/>
              </w:rPr>
            </w:pPr>
            <w:r>
              <w:rPr>
                <w:rFonts w:hint="eastAsia" w:ascii="楷体" w:hAnsi="楷体" w:eastAsia="楷体" w:cs="华文楷体"/>
                <w:sz w:val="24"/>
                <w:szCs w:val="24"/>
              </w:rPr>
              <w:t>4.危险废物统一收集单独存放（废电池、废灯管等）由环卫部门寻找有资质的单位回收或厂家回收。</w:t>
            </w:r>
          </w:p>
          <w:p>
            <w:pPr>
              <w:tabs>
                <w:tab w:val="left" w:pos="6597"/>
              </w:tabs>
              <w:autoSpaceDE w:val="0"/>
              <w:autoSpaceDN w:val="0"/>
              <w:spacing w:line="360" w:lineRule="auto"/>
              <w:ind w:firstLine="360" w:firstLineChars="150"/>
              <w:rPr>
                <w:rFonts w:ascii="楷体" w:hAnsi="楷体" w:eastAsia="楷体" w:cs="华文楷体"/>
                <w:sz w:val="24"/>
                <w:szCs w:val="24"/>
              </w:rPr>
            </w:pPr>
            <w:r>
              <w:rPr>
                <w:rFonts w:hint="eastAsia" w:ascii="楷体" w:hAnsi="楷体" w:eastAsia="楷体" w:cs="华文楷体"/>
                <w:sz w:val="24"/>
                <w:szCs w:val="24"/>
              </w:rPr>
              <w:t>费用2000元。</w:t>
            </w:r>
          </w:p>
          <w:p>
            <w:pPr>
              <w:tabs>
                <w:tab w:val="left" w:pos="6597"/>
              </w:tabs>
              <w:autoSpaceDE w:val="0"/>
              <w:autoSpaceDN w:val="0"/>
              <w:spacing w:line="360" w:lineRule="auto"/>
              <w:ind w:firstLine="360" w:firstLineChars="150"/>
              <w:rPr>
                <w:rFonts w:ascii="楷体" w:hAnsi="楷体" w:eastAsia="楷体" w:cs="华文楷体"/>
                <w:sz w:val="24"/>
                <w:szCs w:val="24"/>
              </w:rPr>
            </w:pPr>
            <w:r>
              <w:rPr>
                <w:rFonts w:hint="eastAsia" w:ascii="楷体" w:hAnsi="楷体" w:eastAsia="楷体" w:cs="华文楷体"/>
                <w:sz w:val="24"/>
                <w:szCs w:val="24"/>
              </w:rPr>
              <w:t>完成时间： 2022.12.30日；责任人：刘康；</w:t>
            </w:r>
          </w:p>
          <w:p>
            <w:pPr>
              <w:tabs>
                <w:tab w:val="left" w:pos="6597"/>
              </w:tabs>
              <w:autoSpaceDE w:val="0"/>
              <w:autoSpaceDN w:val="0"/>
              <w:spacing w:line="360" w:lineRule="auto"/>
              <w:ind w:firstLine="360" w:firstLineChars="150"/>
              <w:rPr>
                <w:rFonts w:hint="eastAsia" w:ascii="楷体" w:hAnsi="楷体" w:eastAsia="楷体" w:cs="华文楷体"/>
                <w:sz w:val="24"/>
                <w:szCs w:val="24"/>
              </w:rPr>
            </w:pPr>
            <w:r>
              <w:rPr>
                <w:rFonts w:hint="eastAsia" w:ascii="楷体" w:hAnsi="楷体" w:eastAsia="楷体" w:cs="华文楷体"/>
                <w:sz w:val="24"/>
                <w:szCs w:val="24"/>
              </w:rPr>
              <w:t>编制：东昕，批准：刘康，日期：2022.7.1日。</w:t>
            </w:r>
          </w:p>
          <w:p>
            <w:pPr>
              <w:tabs>
                <w:tab w:val="left" w:pos="6597"/>
              </w:tabs>
              <w:autoSpaceDE w:val="0"/>
              <w:autoSpaceDN w:val="0"/>
              <w:spacing w:line="360" w:lineRule="auto"/>
              <w:ind w:firstLine="360" w:firstLineChars="150"/>
              <w:rPr>
                <w:rFonts w:ascii="楷体" w:hAnsi="楷体" w:eastAsia="楷体" w:cs="华文楷体"/>
                <w:sz w:val="24"/>
                <w:szCs w:val="24"/>
              </w:rPr>
            </w:pPr>
            <w:r>
              <w:rPr>
                <w:rFonts w:hint="eastAsia" w:ascii="楷体" w:hAnsi="楷体" w:eastAsia="楷体" w:cs="华文楷体"/>
                <w:sz w:val="24"/>
                <w:szCs w:val="24"/>
              </w:rPr>
              <w:t>管理方案由责任部门组织实施，目前在实施中，部分已完成。</w:t>
            </w:r>
          </w:p>
        </w:tc>
        <w:tc>
          <w:tcPr>
            <w:tcW w:w="1050" w:type="dxa"/>
          </w:tcPr>
          <w:p>
            <w:pPr>
              <w:spacing w:line="360" w:lineRule="auto"/>
              <w:rPr>
                <w:rFonts w:ascii="楷体" w:hAnsi="楷体" w:eastAsia="楷体" w:cs="宋体"/>
                <w:sz w:val="24"/>
                <w:szCs w:val="24"/>
              </w:rPr>
            </w:pPr>
            <w:r>
              <w:rPr>
                <w:rFonts w:hint="eastAsia" w:ascii="楷体" w:hAnsi="楷体" w:eastAsia="楷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楷体" w:hAnsi="楷体" w:eastAsia="楷体" w:cs="华文楷体"/>
                <w:sz w:val="24"/>
                <w:szCs w:val="24"/>
              </w:rPr>
            </w:pPr>
            <w:r>
              <w:rPr>
                <w:rFonts w:hint="eastAsia" w:ascii="楷体" w:hAnsi="楷体" w:eastAsia="楷体" w:cs="华文楷体"/>
                <w:sz w:val="24"/>
                <w:szCs w:val="24"/>
              </w:rPr>
              <w:t>人力资源、能力、意识</w:t>
            </w:r>
          </w:p>
        </w:tc>
        <w:tc>
          <w:tcPr>
            <w:tcW w:w="1311" w:type="dxa"/>
          </w:tcPr>
          <w:p>
            <w:pPr>
              <w:spacing w:line="360" w:lineRule="auto"/>
              <w:rPr>
                <w:rFonts w:ascii="楷体" w:hAnsi="楷体" w:eastAsia="楷体" w:cs="华文楷体"/>
                <w:sz w:val="24"/>
                <w:szCs w:val="24"/>
              </w:rPr>
            </w:pPr>
            <w:r>
              <w:rPr>
                <w:rFonts w:hint="eastAsia" w:ascii="楷体" w:hAnsi="楷体" w:eastAsia="楷体" w:cs="华文楷体"/>
                <w:sz w:val="24"/>
                <w:szCs w:val="24"/>
              </w:rPr>
              <w:t>EO7.2、7.3</w:t>
            </w:r>
          </w:p>
        </w:tc>
        <w:tc>
          <w:tcPr>
            <w:tcW w:w="10539" w:type="dxa"/>
          </w:tcPr>
          <w:p>
            <w:pPr>
              <w:spacing w:line="360" w:lineRule="auto"/>
              <w:ind w:firstLine="420"/>
              <w:rPr>
                <w:rFonts w:ascii="楷体" w:hAnsi="楷体" w:eastAsia="楷体" w:cs="华文楷体"/>
                <w:sz w:val="24"/>
                <w:szCs w:val="24"/>
              </w:rPr>
            </w:pPr>
            <w:r>
              <w:rPr>
                <w:rFonts w:hint="eastAsia" w:ascii="楷体" w:hAnsi="楷体" w:eastAsia="楷体" w:cs="华文楷体"/>
                <w:sz w:val="24"/>
                <w:szCs w:val="24"/>
              </w:rPr>
              <w:t>编制了《能力意识控制程序》，规定了人力资源配备、培训计划与实施，考核与认可等予以规定。</w:t>
            </w:r>
          </w:p>
          <w:p>
            <w:pPr>
              <w:spacing w:line="360" w:lineRule="auto"/>
              <w:ind w:firstLine="480" w:firstLineChars="200"/>
              <w:rPr>
                <w:rFonts w:ascii="楷体" w:hAnsi="楷体" w:eastAsia="楷体" w:cs="华文楷体"/>
                <w:sz w:val="24"/>
                <w:szCs w:val="24"/>
              </w:rPr>
            </w:pPr>
            <w:r>
              <w:rPr>
                <w:rFonts w:hint="eastAsia" w:ascii="楷体" w:hAnsi="楷体" w:eastAsia="楷体" w:cs="华文楷体"/>
                <w:sz w:val="24"/>
                <w:szCs w:val="24"/>
              </w:rPr>
              <w:t>企业配置了适宜的人员：如综合管理部人员、管理人员、业务人员、造价咨询人员、审核人员、财务人员等；人员配置基本满足日常管理体系运行要求；经确认该企业未涉及到特殊作业，以及特种作业人员。</w:t>
            </w:r>
          </w:p>
          <w:p>
            <w:pPr>
              <w:spacing w:line="360" w:lineRule="auto"/>
              <w:ind w:firstLine="420"/>
              <w:rPr>
                <w:rFonts w:ascii="楷体" w:hAnsi="楷体" w:eastAsia="楷体" w:cs="华文楷体"/>
                <w:sz w:val="24"/>
                <w:szCs w:val="24"/>
              </w:rPr>
            </w:pPr>
            <w:r>
              <w:rPr>
                <w:rFonts w:hint="eastAsia" w:ascii="楷体" w:hAnsi="楷体" w:eastAsia="楷体" w:cs="华文楷体"/>
                <w:sz w:val="24"/>
                <w:szCs w:val="24"/>
              </w:rPr>
              <w:t>编制了《岗位职责和能力要求》，对总经理、管代、各部门负责人、内审员等岗位规定了年龄、学历、工作经历、工作能力、培训等方面的任职要求及岗位职责。</w:t>
            </w:r>
          </w:p>
          <w:p>
            <w:pPr>
              <w:spacing w:line="360" w:lineRule="auto"/>
              <w:ind w:firstLine="420"/>
              <w:rPr>
                <w:rFonts w:ascii="楷体" w:hAnsi="楷体" w:eastAsia="楷体" w:cs="华文楷体"/>
                <w:sz w:val="24"/>
                <w:szCs w:val="24"/>
              </w:rPr>
            </w:pPr>
            <w:r>
              <w:rPr>
                <w:rFonts w:hint="eastAsia" w:ascii="楷体" w:hAnsi="楷体" w:eastAsia="楷体" w:cs="华文楷体"/>
                <w:sz w:val="24"/>
                <w:szCs w:val="24"/>
              </w:rPr>
              <w:t>综合管理部主任对各岗位人员进行能力考核，根据结果采取措施，通常是采取培训方式。</w:t>
            </w:r>
          </w:p>
          <w:p>
            <w:pPr>
              <w:spacing w:line="360" w:lineRule="auto"/>
              <w:ind w:firstLine="480" w:firstLineChars="200"/>
              <w:rPr>
                <w:rFonts w:hint="eastAsia" w:ascii="楷体" w:hAnsi="楷体" w:eastAsia="楷体" w:cs="华文楷体"/>
                <w:sz w:val="24"/>
                <w:szCs w:val="24"/>
              </w:rPr>
            </w:pPr>
            <w:r>
              <w:rPr>
                <w:rFonts w:hint="eastAsia" w:ascii="楷体" w:hAnsi="楷体" w:eastAsia="楷体" w:cs="华文楷体"/>
                <w:sz w:val="24"/>
                <w:szCs w:val="24"/>
              </w:rPr>
              <w:t>查到“2022年度培训计划”，</w:t>
            </w:r>
            <w:r>
              <w:rPr>
                <w:rFonts w:hint="eastAsia" w:ascii="楷体" w:hAnsi="楷体" w:eastAsia="楷体" w:cs="华文楷体"/>
                <w:sz w:val="24"/>
              </w:rPr>
              <w:t>编写：东昕，批准：刘康，</w:t>
            </w:r>
            <w:r>
              <w:rPr>
                <w:rFonts w:hint="eastAsia" w:ascii="楷体" w:hAnsi="楷体" w:eastAsia="楷体" w:cs="华文楷体"/>
                <w:sz w:val="24"/>
                <w:szCs w:val="24"/>
              </w:rPr>
              <w:t>日期：2022年1月15日。</w:t>
            </w:r>
          </w:p>
          <w:p>
            <w:pPr>
              <w:spacing w:line="360" w:lineRule="auto"/>
              <w:ind w:firstLine="480" w:firstLineChars="200"/>
              <w:rPr>
                <w:rFonts w:ascii="楷体" w:hAnsi="楷体" w:eastAsia="楷体" w:cs="华文楷体"/>
                <w:sz w:val="24"/>
                <w:szCs w:val="24"/>
              </w:rPr>
            </w:pPr>
            <w:r>
              <w:rPr>
                <w:rFonts w:hint="eastAsia" w:ascii="楷体" w:hAnsi="楷体" w:eastAsia="楷体" w:cs="华文楷体"/>
                <w:sz w:val="24"/>
                <w:szCs w:val="24"/>
              </w:rPr>
              <w:t>培训内容涉及：消防知识、应急措施，环境、健康安全标准、体系文件、方针和目标培训，质量、健康安全和环保法规培训，节能知识培训，内审员培训，用电安全操作培训，人员触电和交通伤害急救知识培训，与企业法律法规相关的法律法规培训，健康安全和环保知识培训，传染病预防培训等。</w:t>
            </w:r>
          </w:p>
          <w:p>
            <w:pPr>
              <w:spacing w:line="360" w:lineRule="auto"/>
              <w:ind w:firstLine="480" w:firstLineChars="200"/>
              <w:rPr>
                <w:rFonts w:ascii="楷体" w:hAnsi="楷体" w:eastAsia="楷体" w:cs="华文楷体"/>
                <w:sz w:val="24"/>
                <w:szCs w:val="24"/>
              </w:rPr>
            </w:pPr>
            <w:r>
              <w:rPr>
                <w:rFonts w:hint="eastAsia" w:ascii="楷体" w:hAnsi="楷体" w:eastAsia="楷体" w:cs="华文楷体"/>
                <w:sz w:val="24"/>
                <w:szCs w:val="24"/>
              </w:rPr>
              <w:t>查到：1、《培训记录表》，2022.7.18日消防知识、应急措施培训，焦永宾、辛颖等人参加，记录了培训内容摘要，通过现场提问答辩对培训效果予以考核评价，考核合格率100%。评价人：刘康。</w:t>
            </w:r>
          </w:p>
          <w:p>
            <w:pPr>
              <w:spacing w:line="360" w:lineRule="auto"/>
              <w:ind w:firstLine="480" w:firstLineChars="200"/>
              <w:rPr>
                <w:rFonts w:ascii="楷体" w:hAnsi="楷体" w:eastAsia="楷体" w:cs="华文楷体"/>
                <w:sz w:val="24"/>
                <w:szCs w:val="24"/>
              </w:rPr>
            </w:pPr>
            <w:r>
              <w:rPr>
                <w:rFonts w:hint="eastAsia" w:ascii="楷体" w:hAnsi="楷体" w:eastAsia="楷体" w:cs="华文楷体"/>
                <w:sz w:val="24"/>
                <w:szCs w:val="24"/>
              </w:rPr>
              <w:t>2、2022年7月23日培训题目：环境、健康安全标准、体系文件、方针和目标培训，东昕、缑琳洁等人参加，记录了培训内容摘要，通过现场讨论，考核合格率100%。评价人：刘康。</w:t>
            </w:r>
          </w:p>
          <w:p>
            <w:pPr>
              <w:spacing w:line="360" w:lineRule="auto"/>
              <w:ind w:firstLine="480" w:firstLineChars="200"/>
              <w:rPr>
                <w:rFonts w:ascii="楷体" w:hAnsi="楷体" w:eastAsia="楷体" w:cs="华文楷体"/>
                <w:sz w:val="24"/>
                <w:szCs w:val="24"/>
              </w:rPr>
            </w:pPr>
            <w:r>
              <w:rPr>
                <w:rFonts w:hint="eastAsia" w:ascii="楷体" w:hAnsi="楷体" w:eastAsia="楷体" w:cs="华文楷体"/>
                <w:sz w:val="24"/>
                <w:szCs w:val="24"/>
              </w:rPr>
              <w:t>3、2022年9月22日</w:t>
            </w:r>
            <w:r>
              <w:rPr>
                <w:rFonts w:hint="eastAsia" w:ascii="楷体" w:hAnsi="楷体" w:eastAsia="楷体"/>
                <w:sz w:val="24"/>
              </w:rPr>
              <w:t>用电安全操作</w:t>
            </w:r>
            <w:r>
              <w:rPr>
                <w:rFonts w:hint="eastAsia" w:ascii="楷体" w:hAnsi="楷体" w:eastAsia="楷体" w:cs="华文楷体"/>
                <w:sz w:val="24"/>
                <w:szCs w:val="24"/>
              </w:rPr>
              <w:t>培训，经现场提问，考核合格率100%。 培训老师：刘康。</w:t>
            </w:r>
          </w:p>
          <w:p>
            <w:pPr>
              <w:pStyle w:val="2"/>
              <w:ind w:firstLine="480" w:firstLineChars="200"/>
              <w:rPr>
                <w:rFonts w:ascii="楷体" w:hAnsi="楷体" w:eastAsia="楷体" w:cs="华文楷体"/>
                <w:szCs w:val="24"/>
              </w:rPr>
            </w:pPr>
            <w:r>
              <w:rPr>
                <w:rFonts w:hint="eastAsia" w:ascii="楷体" w:hAnsi="楷体" w:eastAsia="楷体" w:cs="华文楷体"/>
                <w:szCs w:val="24"/>
              </w:rPr>
              <w:t>4、2022年8月18-19日进行内审员培训，经现场讨论，考核合格率100%。 培训老师：张老师。</w:t>
            </w:r>
          </w:p>
          <w:p>
            <w:pPr>
              <w:spacing w:line="360" w:lineRule="auto"/>
              <w:ind w:firstLine="480" w:firstLineChars="200"/>
              <w:rPr>
                <w:rFonts w:hint="eastAsia" w:ascii="楷体" w:hAnsi="楷体" w:eastAsia="楷体" w:cs="华文楷体"/>
                <w:sz w:val="24"/>
                <w:szCs w:val="24"/>
              </w:rPr>
            </w:pPr>
            <w:r>
              <w:rPr>
                <w:rFonts w:hint="eastAsia" w:ascii="楷体" w:hAnsi="楷体" w:eastAsia="楷体" w:cs="华文楷体"/>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autoSpaceDE w:val="0"/>
              <w:autoSpaceDN w:val="0"/>
              <w:spacing w:line="360" w:lineRule="auto"/>
              <w:ind w:firstLine="480" w:firstLineChars="200"/>
              <w:rPr>
                <w:rFonts w:hint="eastAsia" w:ascii="楷体" w:hAnsi="楷体" w:eastAsia="楷体" w:cs="华文楷体"/>
                <w:sz w:val="24"/>
                <w:szCs w:val="24"/>
              </w:rPr>
            </w:pPr>
            <w:r>
              <w:rPr>
                <w:rFonts w:hint="eastAsia" w:ascii="楷体" w:hAnsi="楷体" w:eastAsia="楷体" w:cs="华文楷体"/>
                <w:sz w:val="24"/>
                <w:szCs w:val="24"/>
              </w:rPr>
              <w:t xml:space="preserve">公司特种作业人员：注册造价师，姓名：李云星，发证日期2019.9.6日。 </w:t>
            </w:r>
          </w:p>
          <w:p>
            <w:pPr>
              <w:pStyle w:val="2"/>
              <w:ind w:firstLine="2640" w:firstLineChars="1100"/>
            </w:pPr>
            <w:r>
              <w:rPr>
                <w:rFonts w:hint="eastAsia" w:ascii="楷体" w:hAnsi="楷体" w:eastAsia="楷体" w:cs="华文楷体"/>
                <w:szCs w:val="24"/>
              </w:rPr>
              <w:t>注册造价师，姓名：马海锋，发证日期2021.7.30日。</w:t>
            </w:r>
          </w:p>
          <w:p>
            <w:pPr>
              <w:pStyle w:val="2"/>
              <w:ind w:firstLine="2640" w:firstLineChars="1100"/>
            </w:pPr>
            <w:r>
              <w:rPr>
                <w:rFonts w:hint="eastAsia" w:ascii="楷体" w:hAnsi="楷体" w:eastAsia="楷体" w:cs="华文楷体"/>
                <w:szCs w:val="24"/>
              </w:rPr>
              <w:t>注册造价师，姓名：姬文雷，发证日期2022.7.13日。</w:t>
            </w:r>
          </w:p>
          <w:p>
            <w:pPr>
              <w:tabs>
                <w:tab w:val="left" w:pos="6597"/>
              </w:tabs>
              <w:spacing w:line="360" w:lineRule="auto"/>
              <w:ind w:firstLine="480" w:firstLineChars="200"/>
              <w:rPr>
                <w:rFonts w:ascii="楷体" w:hAnsi="楷体" w:eastAsia="楷体" w:cs="华文楷体"/>
                <w:sz w:val="24"/>
                <w:szCs w:val="24"/>
              </w:rPr>
            </w:pPr>
            <w:r>
              <w:rPr>
                <w:rFonts w:hint="eastAsia" w:ascii="楷体" w:hAnsi="楷体" w:eastAsia="楷体" w:cs="华文楷体"/>
                <w:sz w:val="24"/>
                <w:szCs w:val="24"/>
              </w:rPr>
              <w:t>企业已对人力资源的管理、控制进行了策划，能严格按照策划要求实施。</w:t>
            </w:r>
          </w:p>
          <w:p>
            <w:pPr>
              <w:tabs>
                <w:tab w:val="left" w:pos="6597"/>
              </w:tabs>
              <w:spacing w:line="360" w:lineRule="auto"/>
              <w:ind w:firstLine="480" w:firstLineChars="200"/>
              <w:rPr>
                <w:rFonts w:ascii="楷体" w:hAnsi="楷体" w:eastAsia="楷体" w:cs="华文楷体"/>
                <w:sz w:val="24"/>
                <w:szCs w:val="24"/>
              </w:rPr>
            </w:pPr>
            <w:r>
              <w:rPr>
                <w:rFonts w:hint="eastAsia" w:ascii="楷体" w:hAnsi="楷体" w:eastAsia="楷体"/>
                <w:sz w:val="24"/>
                <w:szCs w:val="24"/>
              </w:rPr>
              <w:t>公司人力资源管理控制基本有效。</w:t>
            </w:r>
          </w:p>
        </w:tc>
        <w:tc>
          <w:tcPr>
            <w:tcW w:w="1050" w:type="dxa"/>
          </w:tcPr>
          <w:p>
            <w:pPr>
              <w:spacing w:line="360" w:lineRule="auto"/>
              <w:rPr>
                <w:rFonts w:ascii="楷体" w:hAnsi="楷体" w:eastAsia="楷体" w:cs="宋体"/>
                <w:sz w:val="24"/>
                <w:szCs w:val="24"/>
              </w:rPr>
            </w:pPr>
            <w:r>
              <w:rPr>
                <w:rFonts w:hint="eastAsia" w:ascii="楷体" w:hAnsi="楷体" w:eastAsia="楷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信息交流、沟通</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EO：7.4 </w:t>
            </w:r>
          </w:p>
          <w:p>
            <w:pPr>
              <w:spacing w:line="360" w:lineRule="auto"/>
              <w:rPr>
                <w:rFonts w:ascii="楷体" w:hAnsi="楷体" w:eastAsia="楷体"/>
                <w:sz w:val="24"/>
                <w:szCs w:val="24"/>
              </w:rPr>
            </w:pPr>
          </w:p>
        </w:tc>
        <w:tc>
          <w:tcPr>
            <w:tcW w:w="10539" w:type="dxa"/>
            <w:vAlign w:val="center"/>
          </w:tcPr>
          <w:p>
            <w:pPr>
              <w:spacing w:line="360" w:lineRule="auto"/>
              <w:ind w:firstLine="468"/>
              <w:rPr>
                <w:rFonts w:ascii="楷体" w:hAnsi="楷体" w:eastAsia="楷体"/>
                <w:sz w:val="24"/>
                <w:szCs w:val="24"/>
              </w:rPr>
            </w:pPr>
            <w:r>
              <w:rPr>
                <w:rFonts w:hint="eastAsia" w:ascii="楷体" w:hAnsi="楷体" w:eastAsia="楷体"/>
                <w:sz w:val="24"/>
                <w:szCs w:val="24"/>
              </w:rPr>
              <w:t xml:space="preserve">编制有《信息沟通与协商程序》。 </w:t>
            </w:r>
          </w:p>
          <w:p>
            <w:pPr>
              <w:spacing w:line="360" w:lineRule="auto"/>
              <w:ind w:firstLine="468"/>
              <w:rPr>
                <w:rFonts w:ascii="楷体" w:hAnsi="楷体" w:eastAsia="楷体"/>
                <w:sz w:val="24"/>
                <w:szCs w:val="24"/>
              </w:rPr>
            </w:pPr>
            <w:r>
              <w:rPr>
                <w:rFonts w:hint="eastAsia" w:ascii="楷体" w:hAnsi="楷体" w:eastAsia="楷体"/>
                <w:sz w:val="24"/>
                <w:szCs w:val="24"/>
              </w:rPr>
              <w:t>组织在各部门之间建立了与体系有关的信息通渠沟道，借助于会议、电话、口头交流等方式使全体员工达到沟通和理解。目前各部门协调一致，工作上的接口基本理顺。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 xml:space="preserve">总经理定期主持经营办公例会，分析公司的发展、市场情况和体系运行是否有效，管理目标完成情况，满足顾客要求和法规程度，改进建议等内部管理存在问题等。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查见会议记录、通知通报、培训记录、文件签收等组织内部培训方式相关记录。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综合管理部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1050"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sz w:val="24"/>
                <w:szCs w:val="24"/>
              </w:rPr>
              <w:t>形成文件的信息</w:t>
            </w: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EO7.5</w:t>
            </w:r>
          </w:p>
        </w:tc>
        <w:tc>
          <w:tcPr>
            <w:tcW w:w="10539"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文件控制程序》、《记录控制程序》，规定了对文件的编制、审批、更新、更改、现行修订状态、文件的发放、保存、使用、借阅、复制以及外来文件的管理、记录的形成和收集、传递和归档、储存和处理、分类和编码、借阅等，基本符合标准控制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企业策划的体系文件主要包括：《环境、职业健康安全管理手册EO/QY-SC-2022》，《环境、职业健康安全管理体系程序文件》，《管理制度文件》，以及相关运行记录等。以上文件发布实施日期2022年7月1日，编制：综合管理部，审核：刘康，批准：万朝气。</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公司体系文件运行良好，能够满足经营需要。</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查见《受控文件清单》，登录有手册、程序、管理制度等受控文件，包含了体系要求的成文信息，文件规定基本符合组织实际，满足标准要求。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抽查以上体系文件，均有编制、审批人员，符合要求。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查文件发放情况：</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提供了《文件发放回收记录》，所有文件均由综合管理部发放，录有管理手册、程序、管理制度文件。</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查外来文件管理：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对外来文件及法律法规进行了收集、识别、分发、控制。外来文件采用了统一保管、借阅使用的方法进行控制。由综合管理部负责通过到主管部门、网上收集、标准发布部门进行购买，并对外来文件的识别、跟踪、控制。查到：《适用法律法规和其他要求清单（环境、职业健康安全）》，外来文件管理符合要求。</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查作废文件控制：根据文审要求修订了管理手册，采取换页的方式，原页面也销毁，其他文件均未修改修订。</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到了“记录汇总表”，记录设置符合公司实施运行要求，基本包含了体系要求的相关记录；“记录汇总表”，内容清晰，规定了记录名称、记录编码、填报部门、归档部门、保存期限等信息。记录以名称、编号进行唯一性标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审核时查阅了《环境因素清单》、《环境/职业健康安全管理方案》、《内审计划》、《培训记录》、《应急预案演练记录》、《管理评审报告》等体系运行记录，记录比较完整，内容规范全面，有填表人、检查人等信息，易于检索，符合要求。</w:t>
            </w:r>
          </w:p>
          <w:p>
            <w:pPr>
              <w:spacing w:line="360" w:lineRule="auto"/>
              <w:rPr>
                <w:rFonts w:ascii="楷体" w:hAnsi="楷体" w:eastAsia="楷体" w:cs="宋体"/>
                <w:sz w:val="24"/>
                <w:szCs w:val="24"/>
              </w:rPr>
            </w:pPr>
            <w:r>
              <w:rPr>
                <w:rFonts w:hint="eastAsia" w:ascii="楷体" w:hAnsi="楷体" w:eastAsia="楷体" w:cs="宋体"/>
                <w:sz w:val="24"/>
                <w:szCs w:val="24"/>
              </w:rPr>
              <w:t>　  察看文件及记录存放处：各类文件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ascii="楷体" w:hAnsi="楷体" w:eastAsia="楷体"/>
                <w:sz w:val="24"/>
                <w:szCs w:val="24"/>
              </w:rPr>
            </w:pPr>
            <w:r>
              <w:rPr>
                <w:rFonts w:hint="eastAsia" w:ascii="楷体" w:hAnsi="楷体" w:eastAsia="楷体" w:cs="宋体"/>
                <w:sz w:val="24"/>
                <w:szCs w:val="24"/>
              </w:rPr>
              <w:t xml:space="preserve">　 </w:t>
            </w:r>
            <w:r>
              <w:rPr>
                <w:rFonts w:hint="eastAsia" w:ascii="楷体" w:hAnsi="楷体" w:eastAsia="楷体"/>
                <w:sz w:val="24"/>
                <w:szCs w:val="24"/>
              </w:rPr>
              <w:t>公司文件化信息控制基本有效。</w:t>
            </w:r>
          </w:p>
        </w:tc>
        <w:tc>
          <w:tcPr>
            <w:tcW w:w="1050" w:type="dxa"/>
          </w:tcPr>
          <w:p>
            <w:pPr>
              <w:spacing w:line="360" w:lineRule="auto"/>
              <w:rPr>
                <w:rFonts w:ascii="楷体" w:hAnsi="楷体" w:eastAsia="楷体" w:cs="宋体"/>
                <w:sz w:val="24"/>
                <w:szCs w:val="24"/>
              </w:rPr>
            </w:pPr>
            <w:r>
              <w:rPr>
                <w:rFonts w:hint="eastAsia" w:ascii="楷体" w:hAnsi="楷体" w:eastAsia="楷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809" w:type="dxa"/>
            <w:vAlign w:val="center"/>
          </w:tcPr>
          <w:p>
            <w:pPr>
              <w:spacing w:line="360" w:lineRule="auto"/>
              <w:rPr>
                <w:rFonts w:ascii="楷体" w:hAnsi="楷体" w:eastAsia="楷体" w:cs="华文楷体"/>
                <w:sz w:val="24"/>
                <w:szCs w:val="24"/>
              </w:rPr>
            </w:pPr>
            <w:r>
              <w:rPr>
                <w:rFonts w:hint="eastAsia" w:ascii="楷体" w:hAnsi="楷体" w:eastAsia="楷体" w:cs="华文楷体"/>
                <w:sz w:val="24"/>
                <w:szCs w:val="24"/>
              </w:rPr>
              <w:t>内部审核</w:t>
            </w:r>
          </w:p>
        </w:tc>
        <w:tc>
          <w:tcPr>
            <w:tcW w:w="1311" w:type="dxa"/>
          </w:tcPr>
          <w:p>
            <w:pPr>
              <w:spacing w:line="360" w:lineRule="auto"/>
              <w:rPr>
                <w:rFonts w:ascii="楷体" w:hAnsi="楷体" w:eastAsia="楷体" w:cs="华文楷体"/>
                <w:sz w:val="24"/>
                <w:szCs w:val="24"/>
              </w:rPr>
            </w:pPr>
            <w:r>
              <w:rPr>
                <w:rFonts w:hint="eastAsia" w:ascii="楷体" w:hAnsi="楷体" w:eastAsia="楷体" w:cs="华文楷体"/>
                <w:sz w:val="24"/>
                <w:szCs w:val="24"/>
              </w:rPr>
              <w:t>EO9.2</w:t>
            </w:r>
          </w:p>
        </w:tc>
        <w:tc>
          <w:tcPr>
            <w:tcW w:w="10539" w:type="dxa"/>
          </w:tcPr>
          <w:p>
            <w:pPr>
              <w:spacing w:line="360" w:lineRule="auto"/>
              <w:ind w:firstLine="480" w:firstLineChars="200"/>
              <w:rPr>
                <w:rFonts w:ascii="楷体" w:hAnsi="楷体" w:eastAsia="楷体" w:cs="华文楷体"/>
                <w:sz w:val="24"/>
                <w:szCs w:val="24"/>
              </w:rPr>
            </w:pPr>
            <w:r>
              <w:rPr>
                <w:rFonts w:hint="eastAsia" w:ascii="楷体" w:hAnsi="楷体" w:eastAsia="楷体" w:cs="华文楷体"/>
                <w:sz w:val="24"/>
                <w:szCs w:val="24"/>
              </w:rPr>
              <w:t>编制了《内审控制程序》，由</w:t>
            </w:r>
            <w:r>
              <w:rPr>
                <w:rFonts w:hint="eastAsia" w:ascii="楷体" w:hAnsi="楷体" w:eastAsia="楷体" w:cs="华文楷体"/>
                <w:bCs/>
                <w:sz w:val="24"/>
                <w:szCs w:val="24"/>
              </w:rPr>
              <w:t>组长</w:t>
            </w:r>
            <w:r>
              <w:rPr>
                <w:rFonts w:hint="eastAsia" w:ascii="楷体" w:hAnsi="楷体" w:eastAsia="楷体" w:cs="华文楷体"/>
                <w:sz w:val="24"/>
                <w:szCs w:val="24"/>
              </w:rPr>
              <w:t>东昕组织内部审核。</w:t>
            </w:r>
          </w:p>
          <w:p>
            <w:pPr>
              <w:spacing w:line="360" w:lineRule="auto"/>
              <w:ind w:firstLine="480" w:firstLineChars="200"/>
              <w:rPr>
                <w:rFonts w:hint="eastAsia" w:ascii="楷体" w:hAnsi="楷体" w:eastAsia="楷体" w:cs="华文楷体"/>
                <w:sz w:val="24"/>
                <w:szCs w:val="24"/>
              </w:rPr>
            </w:pPr>
            <w:r>
              <w:rPr>
                <w:rFonts w:hint="eastAsia" w:ascii="楷体" w:hAnsi="楷体" w:eastAsia="楷体" w:cs="华文楷体"/>
                <w:sz w:val="24"/>
                <w:szCs w:val="24"/>
              </w:rPr>
              <w:t>查最近一次内审：</w:t>
            </w:r>
          </w:p>
          <w:p>
            <w:pPr>
              <w:spacing w:line="360" w:lineRule="auto"/>
              <w:ind w:firstLine="480" w:firstLineChars="200"/>
              <w:rPr>
                <w:rFonts w:ascii="楷体" w:hAnsi="楷体" w:eastAsia="楷体" w:cs="华文楷体"/>
                <w:sz w:val="24"/>
                <w:szCs w:val="24"/>
              </w:rPr>
            </w:pPr>
            <w:r>
              <w:rPr>
                <w:rFonts w:hint="eastAsia" w:ascii="楷体" w:hAnsi="楷体" w:eastAsia="楷体" w:cs="华文楷体"/>
                <w:sz w:val="24"/>
                <w:szCs w:val="24"/>
              </w:rPr>
              <w:t xml:space="preserve">提供《内部审核实施计划》，其内容已包括了审核目的、范围、准则、审核方法，计划编制人：东昕，批准：刘康。   </w:t>
            </w:r>
          </w:p>
          <w:p>
            <w:pPr>
              <w:spacing w:line="360" w:lineRule="auto"/>
              <w:ind w:firstLine="480" w:firstLineChars="200"/>
              <w:rPr>
                <w:rFonts w:ascii="楷体" w:hAnsi="楷体" w:eastAsia="楷体" w:cs="华文楷体"/>
                <w:sz w:val="24"/>
                <w:szCs w:val="24"/>
              </w:rPr>
            </w:pPr>
            <w:r>
              <w:rPr>
                <w:rFonts w:hint="eastAsia" w:ascii="楷体" w:hAnsi="楷体" w:eastAsia="楷体" w:cs="华文楷体"/>
                <w:sz w:val="24"/>
                <w:szCs w:val="24"/>
              </w:rPr>
              <w:t>审核目的：确定环境和职业健康安全管理体系是否符合GB/T24001-2016和GB/T 45001-2020标准的要求，是否适宜和运行有效，以持续改进公司管理体系的有效性。</w:t>
            </w:r>
          </w:p>
          <w:p>
            <w:pPr>
              <w:spacing w:line="360" w:lineRule="auto"/>
              <w:ind w:firstLine="480" w:firstLineChars="200"/>
              <w:rPr>
                <w:rFonts w:ascii="楷体" w:hAnsi="楷体" w:eastAsia="楷体" w:cs="华文楷体"/>
                <w:sz w:val="24"/>
                <w:szCs w:val="24"/>
              </w:rPr>
            </w:pPr>
            <w:r>
              <w:rPr>
                <w:rFonts w:hint="eastAsia" w:ascii="楷体" w:hAnsi="楷体" w:eastAsia="楷体" w:cs="华文楷体"/>
                <w:sz w:val="24"/>
                <w:szCs w:val="24"/>
              </w:rPr>
              <w:t>审核依据GB/T24001-2016和GB/T 45001-2020标准，公司管理手册和程序文件、作业指导文件、相关的法律法规、和相关协议合同等。</w:t>
            </w:r>
          </w:p>
          <w:p>
            <w:pPr>
              <w:numPr>
                <w:ilvl w:val="0"/>
                <w:numId w:val="1"/>
              </w:numPr>
              <w:spacing w:line="360" w:lineRule="auto"/>
              <w:rPr>
                <w:rFonts w:ascii="楷体" w:hAnsi="楷体" w:eastAsia="楷体" w:cs="华文楷体"/>
                <w:sz w:val="24"/>
                <w:szCs w:val="24"/>
              </w:rPr>
            </w:pPr>
            <w:r>
              <w:rPr>
                <w:rFonts w:hint="eastAsia" w:ascii="楷体" w:hAnsi="楷体" w:eastAsia="楷体" w:cs="华文楷体"/>
                <w:sz w:val="24"/>
                <w:szCs w:val="24"/>
              </w:rPr>
              <w:t>内部审核实施：审核组长：（</w:t>
            </w:r>
            <w:r>
              <w:rPr>
                <w:rFonts w:ascii="楷体" w:hAnsi="楷体" w:eastAsia="楷体" w:cs="华文楷体"/>
                <w:sz w:val="24"/>
                <w:szCs w:val="24"/>
              </w:rPr>
              <w:t>A</w:t>
            </w:r>
            <w:r>
              <w:rPr>
                <w:rFonts w:hint="eastAsia" w:ascii="楷体" w:hAnsi="楷体" w:eastAsia="楷体" w:cs="华文楷体"/>
                <w:sz w:val="24"/>
                <w:szCs w:val="24"/>
              </w:rPr>
              <w:t>）东昕，审核组成员：</w:t>
            </w:r>
            <w:r>
              <w:rPr>
                <w:rFonts w:ascii="楷体" w:hAnsi="楷体" w:eastAsia="楷体" w:cs="华文楷体"/>
                <w:sz w:val="24"/>
                <w:szCs w:val="24"/>
              </w:rPr>
              <w:t>(B)</w:t>
            </w:r>
            <w:r>
              <w:rPr>
                <w:rFonts w:hint="eastAsia" w:ascii="楷体" w:hAnsi="楷体" w:eastAsia="楷体" w:cs="华文楷体"/>
                <w:sz w:val="24"/>
                <w:szCs w:val="24"/>
              </w:rPr>
              <w:t>李荣，</w:t>
            </w:r>
          </w:p>
          <w:p>
            <w:pPr>
              <w:numPr>
                <w:ilvl w:val="0"/>
                <w:numId w:val="1"/>
              </w:numPr>
              <w:spacing w:line="360" w:lineRule="auto"/>
              <w:rPr>
                <w:rFonts w:ascii="楷体" w:hAnsi="楷体" w:eastAsia="楷体" w:cs="华文楷体"/>
                <w:sz w:val="24"/>
                <w:szCs w:val="24"/>
              </w:rPr>
            </w:pPr>
            <w:r>
              <w:rPr>
                <w:rFonts w:hint="eastAsia" w:ascii="楷体" w:hAnsi="楷体" w:eastAsia="楷体" w:cs="华文楷体"/>
                <w:sz w:val="24"/>
                <w:szCs w:val="24"/>
              </w:rPr>
              <w:t>审核时间2022年11月21-22日，共2天。</w:t>
            </w:r>
          </w:p>
          <w:p>
            <w:pPr>
              <w:numPr>
                <w:ilvl w:val="0"/>
                <w:numId w:val="1"/>
              </w:numPr>
              <w:spacing w:line="360" w:lineRule="auto"/>
              <w:rPr>
                <w:rFonts w:ascii="楷体" w:hAnsi="楷体" w:eastAsia="楷体" w:cs="华文楷体"/>
                <w:bCs/>
                <w:sz w:val="24"/>
                <w:szCs w:val="24"/>
              </w:rPr>
            </w:pPr>
            <w:r>
              <w:rPr>
                <w:rFonts w:hint="eastAsia" w:ascii="楷体" w:hAnsi="楷体" w:eastAsia="楷体" w:cs="华文楷体"/>
                <w:sz w:val="24"/>
                <w:szCs w:val="24"/>
              </w:rPr>
              <w:t>审核日程安排较为合理，审核按计划进行，抽查检查表综合管理部、造价部、审核部、审计部、后评价部等审核记录与计划相一致，2名内审员经内部培训合格，经交流能力尚需加强。</w:t>
            </w:r>
          </w:p>
          <w:p>
            <w:pPr>
              <w:spacing w:line="360" w:lineRule="auto"/>
              <w:ind w:firstLine="480" w:firstLineChars="200"/>
              <w:rPr>
                <w:rFonts w:ascii="楷体" w:hAnsi="楷体" w:eastAsia="楷体" w:cs="华文楷体"/>
                <w:sz w:val="24"/>
                <w:szCs w:val="24"/>
              </w:rPr>
            </w:pPr>
            <w:r>
              <w:rPr>
                <w:rFonts w:hint="eastAsia" w:ascii="楷体" w:hAnsi="楷体" w:eastAsia="楷体" w:cs="华文楷体"/>
                <w:sz w:val="24"/>
                <w:szCs w:val="24"/>
              </w:rPr>
              <w:t>审核计划已考虑到互查的公正性，无审核员审核本部门的工作，计划内容涉及各部门，条款覆盖整个体系。</w:t>
            </w:r>
          </w:p>
          <w:p>
            <w:pPr>
              <w:spacing w:line="360" w:lineRule="auto"/>
              <w:ind w:firstLine="480" w:firstLineChars="200"/>
              <w:rPr>
                <w:rFonts w:ascii="楷体" w:hAnsi="楷体" w:eastAsia="楷体" w:cs="华文楷体"/>
                <w:sz w:val="24"/>
                <w:szCs w:val="24"/>
              </w:rPr>
            </w:pPr>
            <w:r>
              <w:rPr>
                <w:rFonts w:hint="eastAsia" w:ascii="楷体" w:hAnsi="楷体" w:eastAsia="楷体" w:cs="华文楷体"/>
                <w:sz w:val="24"/>
                <w:szCs w:val="24"/>
              </w:rPr>
              <w:t>提供了内部审核检查证据，其中包括对管理层、综合管理部、造价部等部门的审核记录，电子档，条款与策划一致，记录完整。</w:t>
            </w:r>
          </w:p>
          <w:p>
            <w:pPr>
              <w:spacing w:line="360" w:lineRule="auto"/>
              <w:ind w:firstLine="480" w:firstLineChars="200"/>
              <w:rPr>
                <w:rFonts w:ascii="楷体" w:hAnsi="楷体" w:eastAsia="楷体" w:cs="华文楷体"/>
                <w:sz w:val="24"/>
                <w:szCs w:val="24"/>
              </w:rPr>
            </w:pPr>
            <w:r>
              <w:rPr>
                <w:rFonts w:hint="eastAsia" w:ascii="楷体" w:hAnsi="楷体" w:eastAsia="楷体" w:cs="华文楷体"/>
                <w:sz w:val="24"/>
                <w:szCs w:val="24"/>
              </w:rPr>
              <w:t>本次内审发现1个一般不符合项：未查见消防应急演练后对预案的评审记录。针对这1个不合格，责任部门已分析了原因并采取了纠正措施，按要求进行了整改，2022.11.23日内审员进行了验证，纠正措施实施有效。</w:t>
            </w:r>
          </w:p>
          <w:p>
            <w:pPr>
              <w:spacing w:line="360" w:lineRule="auto"/>
              <w:ind w:firstLine="480" w:firstLineChars="200"/>
              <w:rPr>
                <w:rFonts w:hint="eastAsia" w:ascii="楷体" w:hAnsi="楷体" w:eastAsia="楷体" w:cs="华文楷体"/>
                <w:sz w:val="24"/>
                <w:szCs w:val="24"/>
              </w:rPr>
            </w:pPr>
            <w:r>
              <w:rPr>
                <w:rFonts w:hint="eastAsia" w:ascii="楷体" w:hAnsi="楷体" w:eastAsia="楷体" w:cs="华文楷体"/>
                <w:sz w:val="24"/>
                <w:szCs w:val="24"/>
              </w:rPr>
              <w:t>内部审核结论：提供了2022.11.22日总经理万朝气批准的《内部审核报告》，对现场审核进行了综述，对环境和职业健康安全管理体系进行了符合性的综合评价，最后结论为：公司管理体系运行与GB/T24001-2016、GB/T45001-2020标准要求基本符合，文件控制、目标测量、工作环境、服务过程控制、检测设备控制、监视和测量与顾客沟通持续改进机制等过程受控状态较好。</w:t>
            </w:r>
          </w:p>
          <w:p>
            <w:pPr>
              <w:spacing w:line="360" w:lineRule="auto"/>
              <w:ind w:firstLine="480" w:firstLineChars="200"/>
              <w:rPr>
                <w:rFonts w:ascii="楷体" w:hAnsi="楷体" w:eastAsia="楷体" w:cs="华文楷体"/>
                <w:sz w:val="24"/>
                <w:szCs w:val="24"/>
              </w:rPr>
            </w:pPr>
            <w:r>
              <w:rPr>
                <w:rFonts w:hint="eastAsia" w:ascii="楷体" w:hAnsi="楷体" w:eastAsia="楷体" w:cs="华文楷体"/>
                <w:sz w:val="24"/>
                <w:szCs w:val="24"/>
              </w:rPr>
              <w:t>主要问题是记录控制有待提高；员工岗位技能培训及骨干人员控制等方面应提高与标准规定要求的符合性。</w:t>
            </w:r>
          </w:p>
          <w:p>
            <w:pPr>
              <w:spacing w:line="360" w:lineRule="auto"/>
              <w:ind w:firstLine="480" w:firstLineChars="200"/>
              <w:rPr>
                <w:rFonts w:ascii="楷体" w:hAnsi="楷体" w:eastAsia="楷体" w:cs="华文楷体"/>
                <w:sz w:val="24"/>
                <w:szCs w:val="24"/>
              </w:rPr>
            </w:pPr>
            <w:r>
              <w:rPr>
                <w:rFonts w:hint="eastAsia" w:ascii="楷体" w:hAnsi="楷体" w:eastAsia="楷体" w:cs="华文楷体"/>
                <w:sz w:val="24"/>
                <w:szCs w:val="24"/>
              </w:rPr>
              <w:t>公司内部审核基本有效。</w:t>
            </w:r>
          </w:p>
          <w:p>
            <w:pPr>
              <w:pStyle w:val="2"/>
              <w:rPr>
                <w:rFonts w:ascii="楷体" w:hAnsi="楷体" w:eastAsia="楷体"/>
              </w:rPr>
            </w:pPr>
            <w:bookmarkStart w:id="0" w:name="_GoBack"/>
            <w:r>
              <w:rPr>
                <w:rFonts w:hint="eastAsia" w:ascii="楷体" w:hAnsi="楷体" w:eastAsia="楷体"/>
                <w:lang w:eastAsia="zh-CN"/>
              </w:rPr>
              <w:drawing>
                <wp:anchor distT="0" distB="0" distL="114300" distR="114300" simplePos="0" relativeHeight="251660288" behindDoc="0" locked="0" layoutInCell="1" allowOverlap="1">
                  <wp:simplePos x="0" y="0"/>
                  <wp:positionH relativeFrom="column">
                    <wp:posOffset>3258185</wp:posOffset>
                  </wp:positionH>
                  <wp:positionV relativeFrom="paragraph">
                    <wp:posOffset>265430</wp:posOffset>
                  </wp:positionV>
                  <wp:extent cx="2941320" cy="3924300"/>
                  <wp:effectExtent l="0" t="0" r="5080" b="0"/>
                  <wp:wrapNone/>
                  <wp:docPr id="1" name="图片 1" descr="微信图片_2022121319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213195314"/>
                          <pic:cNvPicPr>
                            <a:picLocks noChangeAspect="1"/>
                          </pic:cNvPicPr>
                        </pic:nvPicPr>
                        <pic:blipFill>
                          <a:blip r:embed="rId6"/>
                          <a:stretch>
                            <a:fillRect/>
                          </a:stretch>
                        </pic:blipFill>
                        <pic:spPr>
                          <a:xfrm>
                            <a:off x="0" y="0"/>
                            <a:ext cx="2941320" cy="3924300"/>
                          </a:xfrm>
                          <a:prstGeom prst="rect">
                            <a:avLst/>
                          </a:prstGeom>
                        </pic:spPr>
                      </pic:pic>
                    </a:graphicData>
                  </a:graphic>
                </wp:anchor>
              </w:drawing>
            </w:r>
            <w:bookmarkEnd w:id="0"/>
            <w:r>
              <w:rPr>
                <w:rFonts w:ascii="楷体" w:hAnsi="楷体" w:eastAsia="楷体"/>
              </w:rPr>
              <w:drawing>
                <wp:anchor distT="0" distB="0" distL="114300" distR="114300" simplePos="0" relativeHeight="251659264" behindDoc="0" locked="0" layoutInCell="1" allowOverlap="1">
                  <wp:simplePos x="0" y="0"/>
                  <wp:positionH relativeFrom="column">
                    <wp:posOffset>-45085</wp:posOffset>
                  </wp:positionH>
                  <wp:positionV relativeFrom="paragraph">
                    <wp:posOffset>192405</wp:posOffset>
                  </wp:positionV>
                  <wp:extent cx="2747010" cy="4064000"/>
                  <wp:effectExtent l="0" t="0" r="8890" b="0"/>
                  <wp:wrapNone/>
                  <wp:docPr id="3" name="图片 3" descr="E:\360安全云盘同步版\国标联合审核\202212\陕西秦源工程项目管理有限公司\新建文件夹\微信图片_20221213113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360安全云盘同步版\国标联合审核\202212\陕西秦源工程项目管理有限公司\新建文件夹\微信图片_20221213113722.jpg"/>
                          <pic:cNvPicPr>
                            <a:picLocks noChangeAspect="1" noChangeArrowheads="1"/>
                          </pic:cNvPicPr>
                        </pic:nvPicPr>
                        <pic:blipFill>
                          <a:blip r:embed="rId7">
                            <a:extLst>
                              <a:ext uri="{28A0092B-C50C-407E-A947-70E740481C1C}">
                                <a14:useLocalDpi xmlns:a14="http://schemas.microsoft.com/office/drawing/2010/main" val="0"/>
                              </a:ext>
                            </a:extLst>
                          </a:blip>
                          <a:srcRect b="13522"/>
                          <a:stretch>
                            <a:fillRect/>
                          </a:stretch>
                        </pic:blipFill>
                        <pic:spPr>
                          <a:xfrm>
                            <a:off x="0" y="0"/>
                            <a:ext cx="2747010" cy="4064000"/>
                          </a:xfrm>
                          <a:prstGeom prst="rect">
                            <a:avLst/>
                          </a:prstGeom>
                          <a:noFill/>
                          <a:ln>
                            <a:noFill/>
                          </a:ln>
                        </pic:spPr>
                      </pic:pic>
                    </a:graphicData>
                  </a:graphic>
                </wp:anchor>
              </w:drawing>
            </w:r>
          </w:p>
          <w:p>
            <w:pPr>
              <w:pStyle w:val="2"/>
              <w:rPr>
                <w:rFonts w:ascii="楷体" w:hAnsi="楷体" w:eastAsia="楷体"/>
              </w:rPr>
            </w:pPr>
          </w:p>
          <w:p>
            <w:pPr>
              <w:pStyle w:val="2"/>
              <w:rPr>
                <w:rFonts w:ascii="楷体" w:hAnsi="楷体" w:eastAsia="楷体"/>
              </w:rPr>
            </w:pPr>
          </w:p>
          <w:p>
            <w:pPr>
              <w:pStyle w:val="2"/>
              <w:rPr>
                <w:rFonts w:ascii="楷体" w:hAnsi="楷体" w:eastAsia="楷体"/>
              </w:rPr>
            </w:pPr>
          </w:p>
          <w:p>
            <w:pPr>
              <w:pStyle w:val="2"/>
              <w:rPr>
                <w:rFonts w:ascii="楷体" w:hAnsi="楷体" w:eastAsia="楷体"/>
              </w:rPr>
            </w:pPr>
          </w:p>
          <w:p>
            <w:pPr>
              <w:pStyle w:val="2"/>
              <w:rPr>
                <w:rFonts w:ascii="楷体" w:hAnsi="楷体" w:eastAsia="楷体"/>
              </w:rPr>
            </w:pPr>
          </w:p>
          <w:p>
            <w:pPr>
              <w:pStyle w:val="2"/>
              <w:rPr>
                <w:rFonts w:ascii="楷体" w:hAnsi="楷体" w:eastAsia="楷体"/>
              </w:rPr>
            </w:pPr>
          </w:p>
          <w:p>
            <w:pPr>
              <w:pStyle w:val="2"/>
              <w:rPr>
                <w:rFonts w:ascii="楷体" w:hAnsi="楷体" w:eastAsia="楷体"/>
              </w:rPr>
            </w:pPr>
          </w:p>
          <w:p>
            <w:pPr>
              <w:pStyle w:val="2"/>
              <w:rPr>
                <w:rFonts w:ascii="楷体" w:hAnsi="楷体" w:eastAsia="楷体"/>
              </w:rPr>
            </w:pPr>
          </w:p>
          <w:p>
            <w:pPr>
              <w:pStyle w:val="2"/>
              <w:rPr>
                <w:rFonts w:ascii="楷体" w:hAnsi="楷体" w:eastAsia="楷体"/>
              </w:rPr>
            </w:pPr>
          </w:p>
          <w:p>
            <w:pPr>
              <w:pStyle w:val="2"/>
              <w:rPr>
                <w:rFonts w:ascii="楷体" w:hAnsi="楷体" w:eastAsia="楷体"/>
              </w:rPr>
            </w:pPr>
          </w:p>
          <w:p>
            <w:pPr>
              <w:pStyle w:val="2"/>
              <w:rPr>
                <w:rFonts w:ascii="楷体" w:hAnsi="楷体" w:eastAsia="楷体"/>
              </w:rPr>
            </w:pPr>
          </w:p>
          <w:p>
            <w:pPr>
              <w:pStyle w:val="2"/>
              <w:rPr>
                <w:rFonts w:ascii="楷体" w:hAnsi="楷体" w:eastAsia="楷体"/>
              </w:rPr>
            </w:pPr>
          </w:p>
          <w:p>
            <w:pPr>
              <w:pStyle w:val="2"/>
              <w:spacing w:line="240" w:lineRule="auto"/>
              <w:rPr>
                <w:rFonts w:hint="eastAsia" w:ascii="楷体" w:hAnsi="楷体" w:eastAsia="楷体"/>
                <w:lang w:eastAsia="zh-CN"/>
              </w:rPr>
            </w:pPr>
          </w:p>
          <w:p>
            <w:pPr>
              <w:pStyle w:val="2"/>
              <w:rPr>
                <w:rFonts w:ascii="楷体" w:hAnsi="楷体" w:eastAsia="楷体"/>
              </w:rPr>
            </w:pPr>
          </w:p>
          <w:p>
            <w:pPr>
              <w:pStyle w:val="2"/>
              <w:rPr>
                <w:rFonts w:ascii="楷体" w:hAnsi="楷体" w:eastAsia="楷体"/>
              </w:rPr>
            </w:pPr>
          </w:p>
          <w:p>
            <w:pPr>
              <w:pStyle w:val="2"/>
              <w:rPr>
                <w:rFonts w:ascii="楷体" w:hAnsi="楷体" w:eastAsia="楷体"/>
              </w:rPr>
            </w:pPr>
          </w:p>
        </w:tc>
        <w:tc>
          <w:tcPr>
            <w:tcW w:w="1050" w:type="dxa"/>
          </w:tcPr>
          <w:p>
            <w:pPr>
              <w:spacing w:line="360" w:lineRule="auto"/>
              <w:rPr>
                <w:rFonts w:ascii="楷体" w:hAnsi="楷体" w:eastAsia="楷体" w:cs="宋体"/>
                <w:sz w:val="24"/>
                <w:szCs w:val="24"/>
              </w:rPr>
            </w:pPr>
            <w:r>
              <w:rPr>
                <w:rFonts w:hint="eastAsia" w:ascii="楷体" w:hAnsi="楷体" w:eastAsia="楷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宋体"/>
                <w:sz w:val="24"/>
                <w:szCs w:val="24"/>
              </w:rPr>
              <w:t>不防护和纠正措施</w:t>
            </w:r>
          </w:p>
        </w:tc>
        <w:tc>
          <w:tcPr>
            <w:tcW w:w="1311" w:type="dxa"/>
          </w:tcPr>
          <w:p>
            <w:pPr>
              <w:spacing w:line="360" w:lineRule="auto"/>
              <w:rPr>
                <w:rFonts w:ascii="楷体" w:hAnsi="楷体" w:eastAsia="楷体" w:cs="Arial"/>
                <w:sz w:val="24"/>
                <w:szCs w:val="24"/>
              </w:rPr>
            </w:pPr>
            <w:r>
              <w:rPr>
                <w:rFonts w:hint="eastAsia" w:ascii="楷体" w:hAnsi="楷体" w:eastAsia="楷体" w:cs="宋体"/>
                <w:sz w:val="24"/>
                <w:szCs w:val="24"/>
              </w:rPr>
              <w:t>EO10.2</w:t>
            </w:r>
          </w:p>
          <w:p>
            <w:pPr>
              <w:spacing w:line="360" w:lineRule="auto"/>
              <w:rPr>
                <w:rFonts w:ascii="楷体" w:hAnsi="楷体" w:eastAsia="楷体" w:cs="Arial"/>
                <w:sz w:val="24"/>
                <w:szCs w:val="24"/>
              </w:rPr>
            </w:pPr>
          </w:p>
        </w:tc>
        <w:tc>
          <w:tcPr>
            <w:tcW w:w="10539"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w:t>
            </w:r>
            <w:r>
              <w:rPr>
                <w:rFonts w:hint="eastAsia" w:ascii="楷体" w:hAnsi="楷体" w:eastAsia="楷体"/>
                <w:sz w:val="24"/>
                <w:szCs w:val="24"/>
              </w:rPr>
              <w:t>事件调查、不符合、纠正措施和预防措施程序</w:t>
            </w:r>
            <w:r>
              <w:rPr>
                <w:rFonts w:hint="eastAsia" w:ascii="楷体" w:hAnsi="楷体" w:eastAsia="楷体" w:cs="宋体"/>
                <w:sz w:val="24"/>
                <w:szCs w:val="24"/>
              </w:rPr>
              <w:t xml:space="preserve">》，对纠正预防措施识别、评审、验证，事故事件报告、调查、处理等作了规定，其内容符合组织实际及标准要求。 </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对内审中提出不合格项进行了原因分析,并制定、实施了纠正措施，并由内审员对所采取的纠正措施进行了验证，纠正措施有效，管理评审中发现的薄弱环节，分析了原因，采取了纠正措施（参见内审和管理评审审核记录）。</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体系运行以来公司按照体系的要求，通过运行控制、加强培训，以及开展管理评审活动等方式采取预防措施，防止不符合/不合格的发生，不符合得到了有效控制，人员环保、安全意识有了明显提高，没有发现潜在的不符合，没有发生环境、职业健康安全事件和投诉处罚。</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宋体"/>
                <w:sz w:val="24"/>
                <w:szCs w:val="24"/>
              </w:rPr>
              <w:t>企业不符合和纠正措施的管理符合标准规定要求。</w:t>
            </w:r>
          </w:p>
        </w:tc>
        <w:tc>
          <w:tcPr>
            <w:tcW w:w="1050" w:type="dxa"/>
          </w:tcPr>
          <w:p>
            <w:pPr>
              <w:spacing w:line="360" w:lineRule="auto"/>
              <w:rPr>
                <w:rFonts w:ascii="楷体" w:hAnsi="楷体" w:eastAsia="楷体" w:cs="宋体"/>
                <w:sz w:val="24"/>
                <w:szCs w:val="24"/>
              </w:rPr>
            </w:pPr>
            <w:r>
              <w:rPr>
                <w:rFonts w:hint="eastAsia" w:ascii="楷体" w:hAnsi="楷体" w:eastAsia="楷体" w:cs="宋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09" w:type="dxa"/>
          </w:tcPr>
          <w:p>
            <w:pPr>
              <w:spacing w:line="360" w:lineRule="auto"/>
              <w:rPr>
                <w:rFonts w:ascii="楷体" w:hAnsi="楷体" w:eastAsia="楷体" w:cs="宋体"/>
                <w:color w:val="FF0000"/>
                <w:sz w:val="24"/>
                <w:szCs w:val="24"/>
              </w:rPr>
            </w:pPr>
          </w:p>
        </w:tc>
        <w:tc>
          <w:tcPr>
            <w:tcW w:w="1311" w:type="dxa"/>
          </w:tcPr>
          <w:p>
            <w:pPr>
              <w:spacing w:line="360" w:lineRule="auto"/>
              <w:rPr>
                <w:rFonts w:ascii="楷体" w:hAnsi="楷体" w:eastAsia="楷体" w:cs="宋体"/>
                <w:color w:val="FF0000"/>
                <w:sz w:val="24"/>
                <w:szCs w:val="24"/>
              </w:rPr>
            </w:pPr>
          </w:p>
        </w:tc>
        <w:tc>
          <w:tcPr>
            <w:tcW w:w="10539" w:type="dxa"/>
            <w:vAlign w:val="center"/>
          </w:tcPr>
          <w:p>
            <w:pPr>
              <w:snapToGrid w:val="0"/>
              <w:spacing w:line="360" w:lineRule="auto"/>
              <w:ind w:firstLine="480" w:firstLineChars="200"/>
              <w:jc w:val="left"/>
              <w:rPr>
                <w:rFonts w:ascii="楷体" w:hAnsi="楷体" w:eastAsia="楷体" w:cs="宋体"/>
                <w:color w:val="FF0000"/>
                <w:sz w:val="24"/>
                <w:szCs w:val="24"/>
              </w:rPr>
            </w:pPr>
          </w:p>
        </w:tc>
        <w:tc>
          <w:tcPr>
            <w:tcW w:w="1050" w:type="dxa"/>
          </w:tcPr>
          <w:p>
            <w:pPr>
              <w:spacing w:line="360" w:lineRule="auto"/>
              <w:rPr>
                <w:rFonts w:ascii="楷体" w:hAnsi="楷体" w:eastAsia="楷体"/>
                <w:color w:val="FF0000"/>
                <w:sz w:val="24"/>
                <w:szCs w:val="24"/>
              </w:rPr>
            </w:pPr>
          </w:p>
        </w:tc>
      </w:tr>
    </w:tbl>
    <w:p>
      <w:pPr>
        <w:rPr>
          <w:rFonts w:ascii="楷体" w:hAnsi="楷体" w:eastAsia="楷体"/>
          <w:color w:val="FF0000"/>
        </w:rPr>
      </w:pPr>
      <w:r>
        <w:rPr>
          <w:rFonts w:ascii="楷体" w:hAnsi="楷体" w:eastAsia="楷体"/>
          <w:color w:val="FF0000"/>
        </w:rPr>
        <w:ptab w:relativeTo="margin" w:alignment="center" w:leader="none"/>
      </w:r>
    </w:p>
    <w:p>
      <w:pPr>
        <w:rPr>
          <w:rFonts w:ascii="楷体" w:hAnsi="楷体" w:eastAsia="楷体" w:cs="宋体"/>
          <w:sz w:val="24"/>
          <w:szCs w:val="24"/>
        </w:rPr>
      </w:pPr>
    </w:p>
    <w:p>
      <w:pPr>
        <w:pStyle w:val="7"/>
        <w:rPr>
          <w:rFonts w:ascii="楷体" w:hAnsi="楷体" w:eastAsia="楷体" w:cs="宋体"/>
          <w:sz w:val="24"/>
          <w:szCs w:val="24"/>
        </w:rPr>
      </w:pPr>
      <w:r>
        <w:rPr>
          <w:rFonts w:hint="eastAsia" w:ascii="楷体" w:hAnsi="楷体" w:eastAsia="楷体" w:cs="宋体"/>
          <w:sz w:val="24"/>
          <w:szCs w:val="24"/>
        </w:rPr>
        <w:t>说明：不符合标注N</w:t>
      </w:r>
    </w:p>
    <w:p>
      <w:pPr>
        <w:pStyle w:val="7"/>
        <w:rPr>
          <w:rFonts w:ascii="楷体" w:hAnsi="楷体" w:eastAsia="楷体"/>
          <w:color w:val="FF0000"/>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-6350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ind w:firstLine="900" w:firstLineChars="500"/>
      <w:jc w:val="left"/>
    </w:pPr>
    <w:r>
      <w:pict>
        <v:shape id="_x0000_s2049" o:spid="_x0000_s2049" o:spt="202" type="#_x0000_t202" style="position:absolute;left:0pt;margin-left:554.75pt;margin-top:2.2pt;height:20.2pt;width:172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sz w:val="18"/>
                    <w:szCs w:val="18"/>
                  </w:rPr>
                </w:pPr>
                <w:r>
                  <w:rPr>
                    <w:rFonts w:hint="eastAsia"/>
                    <w:sz w:val="18"/>
                    <w:szCs w:val="18"/>
                  </w:rPr>
                  <w:t>ISC-B-II-12(05版）</w:t>
                </w:r>
              </w:p>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9973B4"/>
    <w:rsid w:val="00010CA3"/>
    <w:rsid w:val="000141F4"/>
    <w:rsid w:val="000204BD"/>
    <w:rsid w:val="00022AE8"/>
    <w:rsid w:val="000237F6"/>
    <w:rsid w:val="00025004"/>
    <w:rsid w:val="00026F01"/>
    <w:rsid w:val="000312CE"/>
    <w:rsid w:val="00032483"/>
    <w:rsid w:val="00033289"/>
    <w:rsid w:val="0003373A"/>
    <w:rsid w:val="00036A8E"/>
    <w:rsid w:val="00037717"/>
    <w:rsid w:val="00040184"/>
    <w:rsid w:val="00040EA8"/>
    <w:rsid w:val="000623A0"/>
    <w:rsid w:val="000647FB"/>
    <w:rsid w:val="000667BB"/>
    <w:rsid w:val="00082DA4"/>
    <w:rsid w:val="0008302C"/>
    <w:rsid w:val="000839C4"/>
    <w:rsid w:val="00085CB7"/>
    <w:rsid w:val="000861C6"/>
    <w:rsid w:val="000934A3"/>
    <w:rsid w:val="000954A0"/>
    <w:rsid w:val="000A22BB"/>
    <w:rsid w:val="000A2B54"/>
    <w:rsid w:val="000A36CF"/>
    <w:rsid w:val="000A6B77"/>
    <w:rsid w:val="000B373D"/>
    <w:rsid w:val="000C520C"/>
    <w:rsid w:val="000C5D80"/>
    <w:rsid w:val="000C6DD5"/>
    <w:rsid w:val="000D0632"/>
    <w:rsid w:val="000D1A9B"/>
    <w:rsid w:val="000D36E0"/>
    <w:rsid w:val="000D7164"/>
    <w:rsid w:val="000E59F3"/>
    <w:rsid w:val="000F6037"/>
    <w:rsid w:val="0010067B"/>
    <w:rsid w:val="00101D43"/>
    <w:rsid w:val="0010428B"/>
    <w:rsid w:val="001139C6"/>
    <w:rsid w:val="001209FF"/>
    <w:rsid w:val="00122C23"/>
    <w:rsid w:val="00126344"/>
    <w:rsid w:val="0013362E"/>
    <w:rsid w:val="00134B78"/>
    <w:rsid w:val="00140FCE"/>
    <w:rsid w:val="0014140C"/>
    <w:rsid w:val="00143FF7"/>
    <w:rsid w:val="00147713"/>
    <w:rsid w:val="00152D7C"/>
    <w:rsid w:val="001676AB"/>
    <w:rsid w:val="00167B36"/>
    <w:rsid w:val="00184136"/>
    <w:rsid w:val="00190E14"/>
    <w:rsid w:val="00191322"/>
    <w:rsid w:val="00191EE6"/>
    <w:rsid w:val="0019287B"/>
    <w:rsid w:val="00197BA0"/>
    <w:rsid w:val="001A2D7F"/>
    <w:rsid w:val="001A5AFE"/>
    <w:rsid w:val="001A7116"/>
    <w:rsid w:val="001B289F"/>
    <w:rsid w:val="001B2D63"/>
    <w:rsid w:val="001B33F0"/>
    <w:rsid w:val="001B387B"/>
    <w:rsid w:val="001B3D1B"/>
    <w:rsid w:val="001B5E16"/>
    <w:rsid w:val="001C5D0F"/>
    <w:rsid w:val="001D742A"/>
    <w:rsid w:val="001E0FF7"/>
    <w:rsid w:val="001F1985"/>
    <w:rsid w:val="002029BC"/>
    <w:rsid w:val="00205A8D"/>
    <w:rsid w:val="0021308D"/>
    <w:rsid w:val="0021604A"/>
    <w:rsid w:val="00223073"/>
    <w:rsid w:val="00226F2A"/>
    <w:rsid w:val="00232AB1"/>
    <w:rsid w:val="00236551"/>
    <w:rsid w:val="002458E8"/>
    <w:rsid w:val="00253D86"/>
    <w:rsid w:val="00254A1A"/>
    <w:rsid w:val="00257733"/>
    <w:rsid w:val="00261459"/>
    <w:rsid w:val="00262026"/>
    <w:rsid w:val="00264A9C"/>
    <w:rsid w:val="002815F9"/>
    <w:rsid w:val="0029169B"/>
    <w:rsid w:val="002926EF"/>
    <w:rsid w:val="00296CA6"/>
    <w:rsid w:val="002970EE"/>
    <w:rsid w:val="002A296E"/>
    <w:rsid w:val="002B354C"/>
    <w:rsid w:val="002B501D"/>
    <w:rsid w:val="002B5BBF"/>
    <w:rsid w:val="002C118F"/>
    <w:rsid w:val="002D2D86"/>
    <w:rsid w:val="002D716B"/>
    <w:rsid w:val="002E6620"/>
    <w:rsid w:val="002E7829"/>
    <w:rsid w:val="002F3271"/>
    <w:rsid w:val="002F3C2C"/>
    <w:rsid w:val="002F4962"/>
    <w:rsid w:val="00300C2B"/>
    <w:rsid w:val="00301F7C"/>
    <w:rsid w:val="0030626C"/>
    <w:rsid w:val="00312BA4"/>
    <w:rsid w:val="00314589"/>
    <w:rsid w:val="00314AA3"/>
    <w:rsid w:val="003259C4"/>
    <w:rsid w:val="00330079"/>
    <w:rsid w:val="00330F54"/>
    <w:rsid w:val="00334142"/>
    <w:rsid w:val="00334358"/>
    <w:rsid w:val="00335BC4"/>
    <w:rsid w:val="00337922"/>
    <w:rsid w:val="00340867"/>
    <w:rsid w:val="003428E7"/>
    <w:rsid w:val="00350A46"/>
    <w:rsid w:val="00352A57"/>
    <w:rsid w:val="0035772B"/>
    <w:rsid w:val="00360507"/>
    <w:rsid w:val="00361FE0"/>
    <w:rsid w:val="00362980"/>
    <w:rsid w:val="00380837"/>
    <w:rsid w:val="0038275F"/>
    <w:rsid w:val="00387B20"/>
    <w:rsid w:val="00391197"/>
    <w:rsid w:val="003950FE"/>
    <w:rsid w:val="003A085E"/>
    <w:rsid w:val="003A198A"/>
    <w:rsid w:val="003A7A12"/>
    <w:rsid w:val="003C167E"/>
    <w:rsid w:val="003C2C17"/>
    <w:rsid w:val="003C76B5"/>
    <w:rsid w:val="003D2CD9"/>
    <w:rsid w:val="003D31EA"/>
    <w:rsid w:val="003E3810"/>
    <w:rsid w:val="003F2D46"/>
    <w:rsid w:val="003F5944"/>
    <w:rsid w:val="003F7825"/>
    <w:rsid w:val="00410914"/>
    <w:rsid w:val="004138A6"/>
    <w:rsid w:val="00420D28"/>
    <w:rsid w:val="00425A50"/>
    <w:rsid w:val="00425DF5"/>
    <w:rsid w:val="004310FD"/>
    <w:rsid w:val="00433043"/>
    <w:rsid w:val="00433551"/>
    <w:rsid w:val="0043484F"/>
    <w:rsid w:val="00436693"/>
    <w:rsid w:val="00436831"/>
    <w:rsid w:val="00445729"/>
    <w:rsid w:val="00450F96"/>
    <w:rsid w:val="00456FD8"/>
    <w:rsid w:val="004612B6"/>
    <w:rsid w:val="00463439"/>
    <w:rsid w:val="004706CA"/>
    <w:rsid w:val="00471CFE"/>
    <w:rsid w:val="004741D0"/>
    <w:rsid w:val="00475F73"/>
    <w:rsid w:val="00477894"/>
    <w:rsid w:val="004829AA"/>
    <w:rsid w:val="00486213"/>
    <w:rsid w:val="00492D79"/>
    <w:rsid w:val="00496C47"/>
    <w:rsid w:val="004A368A"/>
    <w:rsid w:val="004C094F"/>
    <w:rsid w:val="004C0B64"/>
    <w:rsid w:val="004C2605"/>
    <w:rsid w:val="004C4BFB"/>
    <w:rsid w:val="004C5009"/>
    <w:rsid w:val="004C5FBE"/>
    <w:rsid w:val="004C68A1"/>
    <w:rsid w:val="004C7CD2"/>
    <w:rsid w:val="004D21EE"/>
    <w:rsid w:val="004F0252"/>
    <w:rsid w:val="004F3FCD"/>
    <w:rsid w:val="004F4F4E"/>
    <w:rsid w:val="0050069D"/>
    <w:rsid w:val="00501C7B"/>
    <w:rsid w:val="0050345D"/>
    <w:rsid w:val="005045E0"/>
    <w:rsid w:val="00513AAF"/>
    <w:rsid w:val="0051644A"/>
    <w:rsid w:val="005205B9"/>
    <w:rsid w:val="00522389"/>
    <w:rsid w:val="00526508"/>
    <w:rsid w:val="0053026B"/>
    <w:rsid w:val="005334DC"/>
    <w:rsid w:val="00536930"/>
    <w:rsid w:val="00545695"/>
    <w:rsid w:val="005524D9"/>
    <w:rsid w:val="00563C7B"/>
    <w:rsid w:val="00564E53"/>
    <w:rsid w:val="00570B50"/>
    <w:rsid w:val="0057311D"/>
    <w:rsid w:val="00576181"/>
    <w:rsid w:val="00576A41"/>
    <w:rsid w:val="00581FBE"/>
    <w:rsid w:val="00584B7D"/>
    <w:rsid w:val="00594DBB"/>
    <w:rsid w:val="00595F7A"/>
    <w:rsid w:val="005A1323"/>
    <w:rsid w:val="005A266F"/>
    <w:rsid w:val="005B15E3"/>
    <w:rsid w:val="005B6B87"/>
    <w:rsid w:val="005C423B"/>
    <w:rsid w:val="005C7532"/>
    <w:rsid w:val="005D1A4B"/>
    <w:rsid w:val="005D1B04"/>
    <w:rsid w:val="005E03DC"/>
    <w:rsid w:val="005E1B5B"/>
    <w:rsid w:val="005E2B19"/>
    <w:rsid w:val="005E5ABA"/>
    <w:rsid w:val="005E71D2"/>
    <w:rsid w:val="005F1566"/>
    <w:rsid w:val="005F3583"/>
    <w:rsid w:val="005F4A2B"/>
    <w:rsid w:val="00600FCF"/>
    <w:rsid w:val="00604130"/>
    <w:rsid w:val="006045A7"/>
    <w:rsid w:val="00604E3A"/>
    <w:rsid w:val="00611F90"/>
    <w:rsid w:val="00614964"/>
    <w:rsid w:val="00620789"/>
    <w:rsid w:val="00621703"/>
    <w:rsid w:val="00630865"/>
    <w:rsid w:val="00633D86"/>
    <w:rsid w:val="00636EE2"/>
    <w:rsid w:val="006401A4"/>
    <w:rsid w:val="00640BFC"/>
    <w:rsid w:val="00644FE2"/>
    <w:rsid w:val="00654159"/>
    <w:rsid w:val="00655B86"/>
    <w:rsid w:val="006570B7"/>
    <w:rsid w:val="00661C60"/>
    <w:rsid w:val="00661E7F"/>
    <w:rsid w:val="00664263"/>
    <w:rsid w:val="00665DC2"/>
    <w:rsid w:val="0067640C"/>
    <w:rsid w:val="00676C7F"/>
    <w:rsid w:val="00680AB9"/>
    <w:rsid w:val="0068778A"/>
    <w:rsid w:val="00687FC9"/>
    <w:rsid w:val="006928D1"/>
    <w:rsid w:val="006936B1"/>
    <w:rsid w:val="006A1D0A"/>
    <w:rsid w:val="006A2473"/>
    <w:rsid w:val="006A35A5"/>
    <w:rsid w:val="006A58C6"/>
    <w:rsid w:val="006B6027"/>
    <w:rsid w:val="006C1D89"/>
    <w:rsid w:val="006C70FD"/>
    <w:rsid w:val="006D44BF"/>
    <w:rsid w:val="006E1EBE"/>
    <w:rsid w:val="006E3CEA"/>
    <w:rsid w:val="006E408B"/>
    <w:rsid w:val="006E678B"/>
    <w:rsid w:val="006E6C3A"/>
    <w:rsid w:val="006F3451"/>
    <w:rsid w:val="006F75D7"/>
    <w:rsid w:val="00702221"/>
    <w:rsid w:val="00702231"/>
    <w:rsid w:val="0070257C"/>
    <w:rsid w:val="00704B8A"/>
    <w:rsid w:val="00705D9A"/>
    <w:rsid w:val="0071107F"/>
    <w:rsid w:val="0071303F"/>
    <w:rsid w:val="00713A5A"/>
    <w:rsid w:val="00716033"/>
    <w:rsid w:val="007173B7"/>
    <w:rsid w:val="00722BB7"/>
    <w:rsid w:val="00724D80"/>
    <w:rsid w:val="00725C05"/>
    <w:rsid w:val="00727B96"/>
    <w:rsid w:val="007306D7"/>
    <w:rsid w:val="00736E14"/>
    <w:rsid w:val="00742EC4"/>
    <w:rsid w:val="00746A90"/>
    <w:rsid w:val="00751363"/>
    <w:rsid w:val="00753F88"/>
    <w:rsid w:val="007560B7"/>
    <w:rsid w:val="00757BAE"/>
    <w:rsid w:val="007608F1"/>
    <w:rsid w:val="00764208"/>
    <w:rsid w:val="00765CAB"/>
    <w:rsid w:val="00767587"/>
    <w:rsid w:val="007742A2"/>
    <w:rsid w:val="00774A0E"/>
    <w:rsid w:val="007757F3"/>
    <w:rsid w:val="0077650F"/>
    <w:rsid w:val="0077727F"/>
    <w:rsid w:val="0078463E"/>
    <w:rsid w:val="007853C9"/>
    <w:rsid w:val="0079169A"/>
    <w:rsid w:val="00791ECE"/>
    <w:rsid w:val="007965BD"/>
    <w:rsid w:val="00797E39"/>
    <w:rsid w:val="007A2C11"/>
    <w:rsid w:val="007A4AA5"/>
    <w:rsid w:val="007B6C79"/>
    <w:rsid w:val="007C5BBE"/>
    <w:rsid w:val="007C73B9"/>
    <w:rsid w:val="007D4961"/>
    <w:rsid w:val="007D7953"/>
    <w:rsid w:val="007E0F2D"/>
    <w:rsid w:val="007E14B3"/>
    <w:rsid w:val="007E3722"/>
    <w:rsid w:val="007E450D"/>
    <w:rsid w:val="007E5D7B"/>
    <w:rsid w:val="007E6AEB"/>
    <w:rsid w:val="007F1A89"/>
    <w:rsid w:val="007F1E81"/>
    <w:rsid w:val="007F6D43"/>
    <w:rsid w:val="007F6D9F"/>
    <w:rsid w:val="00800460"/>
    <w:rsid w:val="008034F1"/>
    <w:rsid w:val="008201C5"/>
    <w:rsid w:val="00821892"/>
    <w:rsid w:val="00826F09"/>
    <w:rsid w:val="008278B4"/>
    <w:rsid w:val="00830B1E"/>
    <w:rsid w:val="0083186B"/>
    <w:rsid w:val="00837D65"/>
    <w:rsid w:val="008422CB"/>
    <w:rsid w:val="0084705F"/>
    <w:rsid w:val="00850738"/>
    <w:rsid w:val="00852760"/>
    <w:rsid w:val="008548F2"/>
    <w:rsid w:val="00862561"/>
    <w:rsid w:val="008648C5"/>
    <w:rsid w:val="008714AE"/>
    <w:rsid w:val="0087291F"/>
    <w:rsid w:val="008760C9"/>
    <w:rsid w:val="0088298C"/>
    <w:rsid w:val="008860A1"/>
    <w:rsid w:val="008868FF"/>
    <w:rsid w:val="00896F02"/>
    <w:rsid w:val="008973EE"/>
    <w:rsid w:val="008A1F4C"/>
    <w:rsid w:val="008A6E15"/>
    <w:rsid w:val="008B0FBB"/>
    <w:rsid w:val="008B3059"/>
    <w:rsid w:val="008C266F"/>
    <w:rsid w:val="008C54C9"/>
    <w:rsid w:val="008C6991"/>
    <w:rsid w:val="008D2B7B"/>
    <w:rsid w:val="008D5414"/>
    <w:rsid w:val="008F2BE4"/>
    <w:rsid w:val="008F5D64"/>
    <w:rsid w:val="00901044"/>
    <w:rsid w:val="00902422"/>
    <w:rsid w:val="00905124"/>
    <w:rsid w:val="009113E2"/>
    <w:rsid w:val="00914EF5"/>
    <w:rsid w:val="00920DF5"/>
    <w:rsid w:val="0092163D"/>
    <w:rsid w:val="00927AE6"/>
    <w:rsid w:val="009301AC"/>
    <w:rsid w:val="009315EA"/>
    <w:rsid w:val="00940D8A"/>
    <w:rsid w:val="00941436"/>
    <w:rsid w:val="009422FC"/>
    <w:rsid w:val="00943833"/>
    <w:rsid w:val="00945959"/>
    <w:rsid w:val="009529AB"/>
    <w:rsid w:val="00954E45"/>
    <w:rsid w:val="009556B6"/>
    <w:rsid w:val="00971600"/>
    <w:rsid w:val="0097446D"/>
    <w:rsid w:val="00974640"/>
    <w:rsid w:val="009848AC"/>
    <w:rsid w:val="009909D7"/>
    <w:rsid w:val="00992527"/>
    <w:rsid w:val="009973B4"/>
    <w:rsid w:val="009A2DE9"/>
    <w:rsid w:val="009A6C25"/>
    <w:rsid w:val="009B4D85"/>
    <w:rsid w:val="009C28C1"/>
    <w:rsid w:val="009D1968"/>
    <w:rsid w:val="009D2575"/>
    <w:rsid w:val="009D78C6"/>
    <w:rsid w:val="009F00D2"/>
    <w:rsid w:val="009F2AE2"/>
    <w:rsid w:val="009F7EED"/>
    <w:rsid w:val="009F7F03"/>
    <w:rsid w:val="00A04856"/>
    <w:rsid w:val="00A11AF5"/>
    <w:rsid w:val="00A14809"/>
    <w:rsid w:val="00A278CD"/>
    <w:rsid w:val="00A34FB9"/>
    <w:rsid w:val="00A41B1C"/>
    <w:rsid w:val="00A45781"/>
    <w:rsid w:val="00A513C4"/>
    <w:rsid w:val="00A5544B"/>
    <w:rsid w:val="00A603D2"/>
    <w:rsid w:val="00A62A7C"/>
    <w:rsid w:val="00A6388E"/>
    <w:rsid w:val="00A641A7"/>
    <w:rsid w:val="00A67F92"/>
    <w:rsid w:val="00A70CFD"/>
    <w:rsid w:val="00A70DDE"/>
    <w:rsid w:val="00A719FE"/>
    <w:rsid w:val="00A8204C"/>
    <w:rsid w:val="00A835EA"/>
    <w:rsid w:val="00A849DB"/>
    <w:rsid w:val="00A84B40"/>
    <w:rsid w:val="00A85975"/>
    <w:rsid w:val="00A916AE"/>
    <w:rsid w:val="00A961DC"/>
    <w:rsid w:val="00A96E03"/>
    <w:rsid w:val="00A97BD8"/>
    <w:rsid w:val="00AA3677"/>
    <w:rsid w:val="00AA4509"/>
    <w:rsid w:val="00AA458F"/>
    <w:rsid w:val="00AA5B63"/>
    <w:rsid w:val="00AB216E"/>
    <w:rsid w:val="00AB53CE"/>
    <w:rsid w:val="00AB56CE"/>
    <w:rsid w:val="00AB786A"/>
    <w:rsid w:val="00AC49D9"/>
    <w:rsid w:val="00AC5004"/>
    <w:rsid w:val="00AD3F68"/>
    <w:rsid w:val="00AD53EC"/>
    <w:rsid w:val="00AD5678"/>
    <w:rsid w:val="00AE2114"/>
    <w:rsid w:val="00AE30C9"/>
    <w:rsid w:val="00AE41DF"/>
    <w:rsid w:val="00AE51DA"/>
    <w:rsid w:val="00AE79F1"/>
    <w:rsid w:val="00AE7B44"/>
    <w:rsid w:val="00AF0AAB"/>
    <w:rsid w:val="00AF4937"/>
    <w:rsid w:val="00AF6D4E"/>
    <w:rsid w:val="00B03755"/>
    <w:rsid w:val="00B10B49"/>
    <w:rsid w:val="00B22BB7"/>
    <w:rsid w:val="00B23785"/>
    <w:rsid w:val="00B24DBB"/>
    <w:rsid w:val="00B24DE9"/>
    <w:rsid w:val="00B259F6"/>
    <w:rsid w:val="00B329E0"/>
    <w:rsid w:val="00B32C7F"/>
    <w:rsid w:val="00B342D7"/>
    <w:rsid w:val="00B353AE"/>
    <w:rsid w:val="00B35E9F"/>
    <w:rsid w:val="00B37B36"/>
    <w:rsid w:val="00B402AD"/>
    <w:rsid w:val="00B50165"/>
    <w:rsid w:val="00B501E1"/>
    <w:rsid w:val="00B51077"/>
    <w:rsid w:val="00B61965"/>
    <w:rsid w:val="00B67747"/>
    <w:rsid w:val="00B75FDD"/>
    <w:rsid w:val="00B92F44"/>
    <w:rsid w:val="00B93C20"/>
    <w:rsid w:val="00B95A21"/>
    <w:rsid w:val="00BA4EC7"/>
    <w:rsid w:val="00BB205A"/>
    <w:rsid w:val="00BB6291"/>
    <w:rsid w:val="00BC0C59"/>
    <w:rsid w:val="00BC3299"/>
    <w:rsid w:val="00BC65BB"/>
    <w:rsid w:val="00BC7F68"/>
    <w:rsid w:val="00BD1814"/>
    <w:rsid w:val="00BE7642"/>
    <w:rsid w:val="00BF0396"/>
    <w:rsid w:val="00BF2EC4"/>
    <w:rsid w:val="00BF4DD3"/>
    <w:rsid w:val="00BF597E"/>
    <w:rsid w:val="00C033EF"/>
    <w:rsid w:val="00C05173"/>
    <w:rsid w:val="00C11A6C"/>
    <w:rsid w:val="00C126AD"/>
    <w:rsid w:val="00C1716F"/>
    <w:rsid w:val="00C25449"/>
    <w:rsid w:val="00C306FC"/>
    <w:rsid w:val="00C31F42"/>
    <w:rsid w:val="00C32191"/>
    <w:rsid w:val="00C37024"/>
    <w:rsid w:val="00C37054"/>
    <w:rsid w:val="00C447B9"/>
    <w:rsid w:val="00C4524A"/>
    <w:rsid w:val="00C51A36"/>
    <w:rsid w:val="00C51EAD"/>
    <w:rsid w:val="00C523A2"/>
    <w:rsid w:val="00C55228"/>
    <w:rsid w:val="00C57501"/>
    <w:rsid w:val="00C7150D"/>
    <w:rsid w:val="00C720DB"/>
    <w:rsid w:val="00C73CBB"/>
    <w:rsid w:val="00C77A7D"/>
    <w:rsid w:val="00C8044D"/>
    <w:rsid w:val="00C80D58"/>
    <w:rsid w:val="00C811B1"/>
    <w:rsid w:val="00C82FB8"/>
    <w:rsid w:val="00C8691A"/>
    <w:rsid w:val="00CB4C8F"/>
    <w:rsid w:val="00CB5D18"/>
    <w:rsid w:val="00CB609A"/>
    <w:rsid w:val="00CC0302"/>
    <w:rsid w:val="00CC0B3C"/>
    <w:rsid w:val="00CC64E1"/>
    <w:rsid w:val="00CD3B30"/>
    <w:rsid w:val="00CD6888"/>
    <w:rsid w:val="00CE315A"/>
    <w:rsid w:val="00CE347D"/>
    <w:rsid w:val="00CE4B52"/>
    <w:rsid w:val="00CF4A5E"/>
    <w:rsid w:val="00D028FD"/>
    <w:rsid w:val="00D0671A"/>
    <w:rsid w:val="00D06F59"/>
    <w:rsid w:val="00D07BA6"/>
    <w:rsid w:val="00D16075"/>
    <w:rsid w:val="00D262FA"/>
    <w:rsid w:val="00D3392A"/>
    <w:rsid w:val="00D367C5"/>
    <w:rsid w:val="00D37733"/>
    <w:rsid w:val="00D37CC3"/>
    <w:rsid w:val="00D37F1F"/>
    <w:rsid w:val="00D449E9"/>
    <w:rsid w:val="00D44E95"/>
    <w:rsid w:val="00D554CF"/>
    <w:rsid w:val="00D62946"/>
    <w:rsid w:val="00D702D1"/>
    <w:rsid w:val="00D72F73"/>
    <w:rsid w:val="00D74736"/>
    <w:rsid w:val="00D77907"/>
    <w:rsid w:val="00D77C53"/>
    <w:rsid w:val="00D8388C"/>
    <w:rsid w:val="00D92376"/>
    <w:rsid w:val="00D92952"/>
    <w:rsid w:val="00D96684"/>
    <w:rsid w:val="00D977D2"/>
    <w:rsid w:val="00DA128C"/>
    <w:rsid w:val="00DA2F95"/>
    <w:rsid w:val="00DA3DD6"/>
    <w:rsid w:val="00DA3E71"/>
    <w:rsid w:val="00DA6063"/>
    <w:rsid w:val="00DA6532"/>
    <w:rsid w:val="00DB128A"/>
    <w:rsid w:val="00DB5F5C"/>
    <w:rsid w:val="00DC11FD"/>
    <w:rsid w:val="00DC3976"/>
    <w:rsid w:val="00DC5B16"/>
    <w:rsid w:val="00DC7960"/>
    <w:rsid w:val="00DD43C7"/>
    <w:rsid w:val="00DD5C14"/>
    <w:rsid w:val="00DE0BAF"/>
    <w:rsid w:val="00DE4C9C"/>
    <w:rsid w:val="00DE534E"/>
    <w:rsid w:val="00DF6B27"/>
    <w:rsid w:val="00E00636"/>
    <w:rsid w:val="00E067D2"/>
    <w:rsid w:val="00E0712B"/>
    <w:rsid w:val="00E164D5"/>
    <w:rsid w:val="00E24FF8"/>
    <w:rsid w:val="00E27CD5"/>
    <w:rsid w:val="00E356DC"/>
    <w:rsid w:val="00E36B87"/>
    <w:rsid w:val="00E404FD"/>
    <w:rsid w:val="00E51AC8"/>
    <w:rsid w:val="00E52FE9"/>
    <w:rsid w:val="00E5485A"/>
    <w:rsid w:val="00E57BF4"/>
    <w:rsid w:val="00E6267F"/>
    <w:rsid w:val="00E724A3"/>
    <w:rsid w:val="00E7501F"/>
    <w:rsid w:val="00E82283"/>
    <w:rsid w:val="00E82679"/>
    <w:rsid w:val="00E82FCD"/>
    <w:rsid w:val="00E91838"/>
    <w:rsid w:val="00E920C2"/>
    <w:rsid w:val="00E97565"/>
    <w:rsid w:val="00EA1974"/>
    <w:rsid w:val="00EA1BA3"/>
    <w:rsid w:val="00EA5C4B"/>
    <w:rsid w:val="00EA63A3"/>
    <w:rsid w:val="00EA7A8D"/>
    <w:rsid w:val="00EB0164"/>
    <w:rsid w:val="00EB4448"/>
    <w:rsid w:val="00EB60DC"/>
    <w:rsid w:val="00EC088B"/>
    <w:rsid w:val="00EC67E3"/>
    <w:rsid w:val="00ED0F62"/>
    <w:rsid w:val="00ED1EF0"/>
    <w:rsid w:val="00EE4ECC"/>
    <w:rsid w:val="00EF7976"/>
    <w:rsid w:val="00F006EF"/>
    <w:rsid w:val="00F07BA0"/>
    <w:rsid w:val="00F10249"/>
    <w:rsid w:val="00F10880"/>
    <w:rsid w:val="00F1289D"/>
    <w:rsid w:val="00F22201"/>
    <w:rsid w:val="00F25851"/>
    <w:rsid w:val="00F258CD"/>
    <w:rsid w:val="00F334C8"/>
    <w:rsid w:val="00F547FE"/>
    <w:rsid w:val="00F57C60"/>
    <w:rsid w:val="00F60826"/>
    <w:rsid w:val="00F60FC6"/>
    <w:rsid w:val="00F618E8"/>
    <w:rsid w:val="00F67D36"/>
    <w:rsid w:val="00F76653"/>
    <w:rsid w:val="00FA2BCE"/>
    <w:rsid w:val="00FA3BDA"/>
    <w:rsid w:val="00FA40B8"/>
    <w:rsid w:val="00FC2AF7"/>
    <w:rsid w:val="00FC354E"/>
    <w:rsid w:val="00FD1543"/>
    <w:rsid w:val="00FD25D4"/>
    <w:rsid w:val="00FD76A3"/>
    <w:rsid w:val="00FF0677"/>
    <w:rsid w:val="00FF334E"/>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4C13BC6"/>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qFormat/>
    <w:uiPriority w:val="0"/>
    <w:pPr>
      <w:ind w:firstLine="480" w:firstLineChars="200"/>
    </w:pPr>
    <w:rPr>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表格文字"/>
    <w:basedOn w:val="1"/>
    <w:qFormat/>
    <w:uiPriority w:val="0"/>
    <w:pPr>
      <w:spacing w:before="25" w:after="25"/>
    </w:pPr>
    <w:rPr>
      <w:bCs/>
      <w:spacing w:val="10"/>
    </w:rPr>
  </w:style>
  <w:style w:type="character" w:customStyle="1" w:styleId="13">
    <w:name w:val="页眉 Char"/>
    <w:basedOn w:val="10"/>
    <w:link w:val="8"/>
    <w:qFormat/>
    <w:uiPriority w:val="99"/>
    <w:rPr>
      <w:rFonts w:ascii="Times New Roman" w:hAnsi="Times New Roman" w:eastAsia="宋体" w:cs="Times New Roman"/>
      <w:sz w:val="18"/>
      <w:szCs w:val="18"/>
    </w:rPr>
  </w:style>
  <w:style w:type="character" w:customStyle="1" w:styleId="14">
    <w:name w:val="页脚 Char"/>
    <w:basedOn w:val="10"/>
    <w:link w:val="7"/>
    <w:qFormat/>
    <w:uiPriority w:val="99"/>
    <w:rPr>
      <w:rFonts w:ascii="Times New Roman" w:hAnsi="Times New Roman" w:eastAsia="宋体" w:cs="Times New Roman"/>
      <w:sz w:val="18"/>
      <w:szCs w:val="18"/>
    </w:rPr>
  </w:style>
  <w:style w:type="character" w:customStyle="1" w:styleId="15">
    <w:name w:val="批注框文本 Char"/>
    <w:basedOn w:val="10"/>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0"/>
    <w:pPr>
      <w:ind w:firstLine="420" w:firstLineChars="200"/>
    </w:pPr>
  </w:style>
  <w:style w:type="character" w:customStyle="1" w:styleId="18">
    <w:name w:val="正文文本 Char"/>
    <w:basedOn w:val="10"/>
    <w:link w:val="2"/>
    <w:qFormat/>
    <w:uiPriority w:val="99"/>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5614</Words>
  <Characters>6016</Characters>
  <Lines>45</Lines>
  <Paragraphs>12</Paragraphs>
  <TotalTime>0</TotalTime>
  <ScaleCrop>false</ScaleCrop>
  <LinksUpToDate>false</LinksUpToDate>
  <CharactersWithSpaces>6079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苗</cp:lastModifiedBy>
  <dcterms:modified xsi:type="dcterms:W3CDTF">2022-12-13T11:53:56Z</dcterms:modified>
  <cp:revision>743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9DC7D72061FF4784A7C73E39CA82D2B0</vt:lpwstr>
  </property>
</Properties>
</file>