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-919480</wp:posOffset>
            </wp:positionV>
            <wp:extent cx="7424420" cy="10977880"/>
            <wp:effectExtent l="0" t="0" r="5080" b="7620"/>
            <wp:wrapNone/>
            <wp:docPr id="1" name="图片 1" descr="扫描全能王 2023-03-01 16.4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1 16.46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4420" cy="1097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0203-2019-2023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977"/>
        <w:gridCol w:w="291"/>
        <w:gridCol w:w="1084"/>
        <w:gridCol w:w="334"/>
        <w:gridCol w:w="603"/>
        <w:gridCol w:w="9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786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挥发性有机物（TVOC）在线监测系统示值误差测量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268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JJF-1172-2007-挥发性有机化合物光离子化检测仪校准规范，最大允许误差的要求，异丁烯气体最大允许误差±10%FS。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JJF-1172-2007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挥发性有机化合物光离子化检测仪校准规范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2%（k=2）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标准气体异丁烯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、5×10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、100×10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、200.00×10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2%（k=2）</w:t>
            </w:r>
          </w:p>
        </w:tc>
        <w:tc>
          <w:tcPr>
            <w:tcW w:w="93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956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QXPC</w:t>
            </w:r>
            <w:r>
              <w:rPr>
                <w:rFonts w:hint="eastAsia" w:ascii="宋体" w:hAnsi="宋体"/>
              </w:rPr>
              <w:t>/QR-4.0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cs="Calibri"/>
                <w:color w:val="000000"/>
                <w:szCs w:val="21"/>
              </w:rPr>
              <w:t>JJF-1172-2007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温度（-10</w:t>
            </w:r>
            <w:r>
              <w:rPr>
                <w:rFonts w:hint="eastAsia" w:ascii="宋体" w:hAnsi="宋体" w:eastAsia="宋体" w:cs="Times New Roman"/>
              </w:rPr>
              <w:t>～45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 w:cs="Times New Roman" w:asciiTheme="minorEastAsia" w:hAnsiTheme="minorEastAsia"/>
              </w:rPr>
              <w:t>℃</w:t>
            </w:r>
            <w:r>
              <w:rPr>
                <w:rFonts w:hint="eastAsia" w:ascii="Times New Roman" w:hAnsi="Times New Roman" w:cs="Times New Roman"/>
              </w:rPr>
              <w:t>，湿度</w:t>
            </w:r>
            <w:r>
              <w:rPr>
                <w:rFonts w:cs="Calibri"/>
                <w:color w:val="000000"/>
                <w:szCs w:val="21"/>
              </w:rPr>
              <w:t>0% ~ 95% RH(</w:t>
            </w:r>
            <w:r>
              <w:rPr>
                <w:rFonts w:hint="eastAsia" w:ascii="宋体" w:cs="宋体"/>
                <w:color w:val="000000"/>
                <w:szCs w:val="21"/>
              </w:rPr>
              <w:t>无冷凝</w:t>
            </w:r>
            <w:r>
              <w:rPr>
                <w:rFonts w:cs="Calibri"/>
                <w:color w:val="000000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</w:rPr>
              <w:t>，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大气压（</w:t>
            </w:r>
            <w:r>
              <w:rPr>
                <w:rFonts w:hint="eastAsia" w:ascii="宋体" w:hAnsi="宋体"/>
                <w:szCs w:val="21"/>
              </w:rPr>
              <w:t>(86</w:t>
            </w:r>
            <w:r>
              <w:rPr>
                <w:rFonts w:ascii="宋体" w:hAnsi="宋体"/>
                <w:szCs w:val="21"/>
              </w:rPr>
              <w:t>-106)kPa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湛云云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．测量过程控制规范编制满足要求；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测量过程要素如，测量设备、测量方法、环境条件、操作人员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培训上岗</w:t>
            </w:r>
            <w:r>
              <w:rPr>
                <w:rFonts w:hint="eastAsia" w:ascii="Times New Roman" w:hAnsi="Times New Roman"/>
                <w:szCs w:val="21"/>
              </w:rPr>
              <w:t>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5. 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日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1946C5"/>
    <w:rsid w:val="3953694E"/>
    <w:rsid w:val="5FB80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2023-03-05T15:45:46Z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18ABBF9BF44949F4A97A708B7E327618</vt:lpwstr>
  </property>
</Properties>
</file>