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-839470</wp:posOffset>
            </wp:positionV>
            <wp:extent cx="7355840" cy="10439400"/>
            <wp:effectExtent l="0" t="0" r="10160" b="0"/>
            <wp:wrapNone/>
            <wp:docPr id="1" name="图片 1" descr="扫描全能王 2023-02-23 15.2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3 15.23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584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0205-2019-2023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无锡康宇水处理设备有限公司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季婷婷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查，测量设备台账，未进行分类管理，计量设备信息不全。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GB/T19022-2003标准6.3.1条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tabs>
                <w:tab w:val="left" w:pos="3721"/>
              </w:tabs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2023.2.23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对公司的计量设备经梳理，将相关信息造册，进行分类，实施计量器具ABC类管理。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F2E1A2C"/>
    <w:rsid w:val="739B7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19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2023-02-23T08:08:34Z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2B0C523CDA5649E2A711368CF8F7511B</vt:lpwstr>
  </property>
</Properties>
</file>