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生产部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姜明阳</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何明明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范玲玲</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审核时间：</w:t>
            </w:r>
            <w:r>
              <w:t>202</w:t>
            </w:r>
            <w:r>
              <w:rPr>
                <w:rFonts w:hint="eastAsia"/>
                <w:lang w:val="en-US" w:eastAsia="zh-CN"/>
              </w:rPr>
              <w:t>2</w:t>
            </w:r>
            <w:r>
              <w:t>年1</w:t>
            </w:r>
            <w:r>
              <w:rPr>
                <w:rFonts w:hint="eastAsia"/>
                <w:lang w:val="en-US" w:eastAsia="zh-CN"/>
              </w:rPr>
              <w:t>2</w:t>
            </w:r>
            <w:r>
              <w:t>月1</w:t>
            </w:r>
            <w:r>
              <w:rPr>
                <w:rFonts w:hint="eastAsia"/>
                <w:lang w:val="en-US" w:eastAsia="zh-CN"/>
              </w:rPr>
              <w:t>4</w:t>
            </w:r>
            <w:r>
              <w:t xml:space="preserve">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rFonts w:hint="eastAsia" w:eastAsia="宋体"/>
                <w:sz w:val="24"/>
                <w:szCs w:val="24"/>
                <w:lang w:val="en-US" w:eastAsia="zh-CN"/>
              </w:rPr>
            </w:pPr>
            <w:r>
              <w:rPr>
                <w:rFonts w:hint="eastAsia"/>
                <w:sz w:val="21"/>
                <w:szCs w:val="21"/>
              </w:rPr>
              <w:t>审核条款：</w:t>
            </w:r>
            <w:r>
              <w:rPr>
                <w:rFonts w:hint="eastAsia" w:ascii="宋体" w:hAnsi="宋体" w:eastAsia="宋体" w:cs="Times New Roman"/>
                <w:b w:val="0"/>
                <w:bCs w:val="0"/>
                <w:sz w:val="21"/>
                <w:szCs w:val="21"/>
              </w:rPr>
              <w:t>E</w:t>
            </w:r>
            <w:r>
              <w:rPr>
                <w:rFonts w:hint="eastAsia" w:ascii="宋体" w:hAnsi="宋体" w:eastAsia="宋体" w:cs="Times New Roman"/>
                <w:b w:val="0"/>
                <w:bCs w:val="0"/>
                <w:sz w:val="21"/>
                <w:szCs w:val="21"/>
                <w:lang w:val="en-US" w:eastAsia="zh-CN"/>
              </w:rPr>
              <w:t>n</w:t>
            </w:r>
            <w:r>
              <w:rPr>
                <w:rFonts w:hint="eastAsia" w:ascii="宋体" w:hAnsi="宋体" w:eastAsia="宋体" w:cs="Times New Roman"/>
                <w:b w:val="0"/>
                <w:bCs w:val="0"/>
                <w:sz w:val="21"/>
                <w:szCs w:val="21"/>
              </w:rPr>
              <w:t>MS:5.3</w:t>
            </w:r>
            <w:r>
              <w:rPr>
                <w:rFonts w:hint="eastAsia" w:ascii="宋体" w:hAnsi="宋体" w:eastAsia="宋体" w:cs="Times New Roman"/>
                <w:b w:val="0"/>
                <w:bCs w:val="0"/>
                <w:sz w:val="21"/>
                <w:szCs w:val="21"/>
                <w:lang w:val="en-US" w:eastAsia="zh-CN"/>
              </w:rPr>
              <w:t>/</w:t>
            </w:r>
            <w:r>
              <w:rPr>
                <w:rFonts w:hint="eastAsia" w:ascii="宋体" w:hAnsi="宋体" w:eastAsia="宋体" w:cs="Times New Roman"/>
                <w:b w:val="0"/>
                <w:bCs w:val="0"/>
                <w:sz w:val="21"/>
                <w:szCs w:val="21"/>
              </w:rPr>
              <w:t>6.2</w:t>
            </w:r>
            <w:r>
              <w:rPr>
                <w:rFonts w:hint="eastAsia" w:ascii="宋体" w:hAnsi="宋体" w:eastAsia="宋体" w:cs="Times New Roman"/>
                <w:b w:val="0"/>
                <w:bCs w:val="0"/>
                <w:sz w:val="21"/>
                <w:szCs w:val="21"/>
                <w:lang w:val="en-US" w:eastAsia="zh-CN"/>
              </w:rPr>
              <w:t>/</w:t>
            </w:r>
            <w:r>
              <w:rPr>
                <w:rFonts w:hint="eastAsia" w:ascii="宋体" w:hAnsi="宋体" w:eastAsia="宋体" w:cs="Times New Roman"/>
                <w:b w:val="0"/>
                <w:bCs w:val="0"/>
                <w:sz w:val="21"/>
                <w:szCs w:val="21"/>
              </w:rPr>
              <w:t>6.3</w:t>
            </w:r>
            <w:r>
              <w:rPr>
                <w:rFonts w:hint="eastAsia" w:ascii="宋体" w:hAnsi="宋体" w:eastAsia="宋体" w:cs="Times New Roman"/>
                <w:b w:val="0"/>
                <w:bCs w:val="0"/>
                <w:sz w:val="21"/>
                <w:szCs w:val="21"/>
                <w:lang w:val="en-US" w:eastAsia="zh-CN"/>
              </w:rPr>
              <w:t>/</w:t>
            </w:r>
            <w:r>
              <w:rPr>
                <w:rFonts w:hint="eastAsia" w:ascii="宋体" w:hAnsi="宋体" w:eastAsia="宋体" w:cs="Times New Roman"/>
                <w:b w:val="0"/>
                <w:bCs w:val="0"/>
                <w:sz w:val="21"/>
                <w:szCs w:val="21"/>
              </w:rPr>
              <w:t>6.4</w:t>
            </w:r>
            <w:r>
              <w:rPr>
                <w:rFonts w:hint="eastAsia" w:ascii="宋体" w:hAnsi="宋体" w:eastAsia="宋体" w:cs="Times New Roman"/>
                <w:b w:val="0"/>
                <w:bCs w:val="0"/>
                <w:sz w:val="21"/>
                <w:szCs w:val="21"/>
                <w:lang w:val="en-US" w:eastAsia="zh-CN"/>
              </w:rPr>
              <w:t>/</w:t>
            </w:r>
            <w:r>
              <w:rPr>
                <w:rFonts w:hint="eastAsia" w:ascii="宋体" w:hAnsi="宋体" w:eastAsia="宋体" w:cs="Times New Roman"/>
                <w:b w:val="0"/>
                <w:bCs w:val="0"/>
                <w:sz w:val="21"/>
                <w:szCs w:val="21"/>
              </w:rPr>
              <w:t>6.5</w:t>
            </w:r>
            <w:r>
              <w:rPr>
                <w:rFonts w:hint="eastAsia" w:ascii="宋体" w:hAnsi="宋体" w:eastAsia="宋体" w:cs="Times New Roman"/>
                <w:b w:val="0"/>
                <w:bCs w:val="0"/>
                <w:sz w:val="21"/>
                <w:szCs w:val="21"/>
                <w:lang w:val="en-US" w:eastAsia="zh-CN"/>
              </w:rPr>
              <w:t>/</w:t>
            </w:r>
            <w:r>
              <w:rPr>
                <w:rFonts w:hint="eastAsia" w:ascii="宋体" w:hAnsi="宋体" w:eastAsia="宋体" w:cs="Times New Roman"/>
                <w:b w:val="0"/>
                <w:bCs w:val="0"/>
                <w:sz w:val="21"/>
                <w:szCs w:val="21"/>
              </w:rPr>
              <w:t>6.6</w:t>
            </w:r>
            <w:r>
              <w:rPr>
                <w:rFonts w:hint="eastAsia" w:ascii="宋体" w:hAnsi="宋体" w:eastAsia="宋体" w:cs="Times New Roman"/>
                <w:b w:val="0"/>
                <w:bCs w:val="0"/>
                <w:sz w:val="21"/>
                <w:szCs w:val="21"/>
                <w:lang w:val="en-US" w:eastAsia="zh-CN"/>
              </w:rPr>
              <w:t>/</w:t>
            </w:r>
            <w:r>
              <w:rPr>
                <w:rFonts w:hint="eastAsia" w:ascii="宋体" w:hAnsi="宋体" w:eastAsia="宋体" w:cs="Times New Roman"/>
                <w:b w:val="0"/>
                <w:bCs w:val="0"/>
                <w:sz w:val="21"/>
                <w:szCs w:val="21"/>
              </w:rPr>
              <w:t>8.1</w:t>
            </w:r>
            <w:r>
              <w:rPr>
                <w:rFonts w:hint="eastAsia" w:ascii="宋体" w:hAnsi="宋体" w:eastAsia="宋体" w:cs="Times New Roman"/>
                <w:b w:val="0"/>
                <w:bCs w:val="0"/>
                <w:sz w:val="21"/>
                <w:szCs w:val="21"/>
                <w:lang w:val="en-US" w:eastAsia="zh-CN"/>
              </w:rPr>
              <w:t>/8.2/</w:t>
            </w:r>
            <w:r>
              <w:rPr>
                <w:rFonts w:hint="eastAsia" w:ascii="宋体" w:hAnsi="宋体" w:eastAsia="宋体" w:cs="Times New Roman"/>
                <w:b w:val="0"/>
                <w:bCs w:val="0"/>
                <w:sz w:val="21"/>
                <w:szCs w:val="21"/>
              </w:rPr>
              <w:t>9.1.1</w:t>
            </w:r>
            <w:r>
              <w:rPr>
                <w:rFonts w:hint="eastAsia" w:ascii="宋体" w:hAnsi="宋体" w:eastAsia="宋体" w:cs="Times New Roman"/>
                <w:b w:val="0"/>
                <w:bCs w:val="0"/>
                <w:sz w:val="21"/>
                <w:szCs w:val="21"/>
                <w:lang w:val="en-US" w:eastAsia="zh-CN"/>
              </w:rPr>
              <w:t>/</w:t>
            </w:r>
            <w:r>
              <w:rPr>
                <w:rFonts w:hint="eastAsia" w:ascii="宋体" w:hAnsi="宋体" w:eastAsia="宋体" w:cs="Times New Roman"/>
                <w:b w:val="0"/>
                <w:bCs w:val="0"/>
                <w:sz w:val="21"/>
                <w:szCs w:val="21"/>
              </w:rPr>
              <w:t>9.1.2</w:t>
            </w:r>
            <w:r>
              <w:rPr>
                <w:rFonts w:hint="eastAsia" w:ascii="宋体" w:hAnsi="宋体" w:eastAsia="宋体" w:cs="Times New Roman"/>
                <w:b w:val="0"/>
                <w:bCs w:val="0"/>
                <w:sz w:val="21"/>
                <w:szCs w:val="21"/>
                <w:lang w:val="en-US" w:eastAsia="zh-CN"/>
              </w:rPr>
              <w:t>/</w:t>
            </w:r>
            <w:r>
              <w:rPr>
                <w:rFonts w:hint="eastAsia" w:ascii="宋体" w:hAnsi="宋体" w:eastAsia="宋体" w:cs="Times New Roman"/>
                <w:b w:val="0"/>
                <w:bCs w:val="0"/>
                <w:sz w:val="21"/>
                <w:szCs w:val="21"/>
              </w:rPr>
              <w:t>10.1</w:t>
            </w:r>
            <w:r>
              <w:rPr>
                <w:rFonts w:hint="eastAsia" w:ascii="宋体" w:hAnsi="宋体" w:eastAsia="宋体" w:cs="Times New Roman"/>
                <w:b/>
                <w:bCs/>
                <w:sz w:val="21"/>
                <w:szCs w:val="21"/>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2160" w:type="dxa"/>
          </w:tcPr>
          <w:p>
            <w:pPr>
              <w:spacing w:line="240" w:lineRule="auto"/>
              <w:rPr>
                <w:b w:val="0"/>
                <w:bCs w:val="0"/>
              </w:rPr>
            </w:pPr>
            <w:r>
              <w:rPr>
                <w:rFonts w:hint="eastAsia" w:ascii="宋体" w:hAnsi="宋体" w:eastAsia="宋体" w:cs="Times New Roman"/>
                <w:b w:val="0"/>
                <w:bCs w:val="0"/>
                <w:sz w:val="21"/>
                <w:szCs w:val="21"/>
              </w:rPr>
              <w:t>岗位、职责和权限</w:t>
            </w:r>
            <w:r>
              <w:rPr>
                <w:rFonts w:hint="eastAsia" w:ascii="宋体" w:hAnsi="宋体" w:cs="Times New Roman"/>
                <w:b w:val="0"/>
                <w:bCs w:val="0"/>
                <w:sz w:val="21"/>
                <w:szCs w:val="21"/>
                <w:lang w:eastAsia="zh-CN"/>
              </w:rPr>
              <w:t>；</w:t>
            </w:r>
          </w:p>
        </w:tc>
        <w:tc>
          <w:tcPr>
            <w:tcW w:w="960" w:type="dxa"/>
          </w:tcPr>
          <w:p>
            <w:pPr>
              <w:rPr>
                <w:b w:val="0"/>
                <w:bCs w:val="0"/>
              </w:rPr>
            </w:pPr>
            <w:r>
              <w:rPr>
                <w:rFonts w:hint="eastAsia" w:ascii="宋体" w:hAnsi="宋体" w:eastAsia="宋体" w:cs="Times New Roman"/>
                <w:b w:val="0"/>
                <w:bCs w:val="0"/>
                <w:sz w:val="21"/>
                <w:szCs w:val="21"/>
              </w:rPr>
              <w:t>5.3</w:t>
            </w:r>
          </w:p>
        </w:tc>
        <w:tc>
          <w:tcPr>
            <w:tcW w:w="10004"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lang w:val="en-US" w:eastAsia="zh-CN"/>
              </w:rPr>
            </w:pPr>
            <w:r>
              <w:rPr>
                <w:rFonts w:hint="eastAsia" w:cs="Times New Roman"/>
                <w:szCs w:val="22"/>
                <w:lang w:val="en-US" w:eastAsia="zh-CN"/>
              </w:rPr>
              <w:t>公司生产主管：</w:t>
            </w:r>
            <w:r>
              <w:rPr>
                <w:rFonts w:hint="eastAsia" w:ascii="Times New Roman" w:hAnsi="Times New Roman" w:eastAsia="宋体" w:cs="Times New Roman"/>
                <w:szCs w:val="22"/>
                <w:lang w:val="en-US" w:eastAsia="zh-CN"/>
              </w:rPr>
              <w:t>姜明阳</w:t>
            </w:r>
            <w:r>
              <w:rPr>
                <w:rFonts w:hint="eastAsia" w:cs="Times New Roman"/>
                <w:szCs w:val="22"/>
                <w:lang w:val="en-US" w:eastAsia="zh-CN"/>
              </w:rPr>
              <w:t>，姜经理</w:t>
            </w:r>
            <w:r>
              <w:rPr>
                <w:rFonts w:hint="eastAsia" w:ascii="Times New Roman" w:hAnsi="Times New Roman" w:eastAsia="宋体" w:cs="Times New Roman"/>
                <w:szCs w:val="22"/>
                <w:lang w:val="en-US" w:eastAsia="zh-CN"/>
              </w:rPr>
              <w:t>介绍：主要负责经营生产的全面工作，向顾客提供生产的合格产品。控制生产成本，负责业务培训指导和绩效考核。组织一次生产例会，每月对所管理的区域进行一次全面巡视，负责编制公司内部的工艺守则，对文件</w:t>
            </w:r>
            <w:r>
              <w:rPr>
                <w:rFonts w:hint="eastAsia" w:cs="Times New Roman"/>
                <w:szCs w:val="22"/>
                <w:lang w:val="en-US" w:eastAsia="zh-CN"/>
              </w:rPr>
              <w:t>进行管理，</w:t>
            </w:r>
            <w:r>
              <w:rPr>
                <w:rFonts w:hint="eastAsia" w:ascii="Times New Roman" w:hAnsi="Times New Roman" w:eastAsia="宋体" w:cs="Times New Roman"/>
                <w:szCs w:val="22"/>
                <w:lang w:val="en-US" w:eastAsia="zh-CN"/>
              </w:rPr>
              <w:t>生产过程中出现的问题组织分析，提出改进建议，负责数据分析管理工作及纠正、预防措施的评审工作。负责能源评审报告的编制和能源基准、能源绩效参数、能源数据收集工作。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160" w:type="dxa"/>
          </w:tcPr>
          <w:p>
            <w:pPr>
              <w:spacing w:line="240" w:lineRule="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公司及生产部的</w:t>
            </w:r>
            <w:r>
              <w:rPr>
                <w:rFonts w:hint="eastAsia" w:ascii="宋体" w:hAnsi="宋体" w:eastAsia="宋体" w:cs="Times New Roman"/>
                <w:b w:val="0"/>
                <w:bCs w:val="0"/>
                <w:sz w:val="21"/>
                <w:szCs w:val="21"/>
              </w:rPr>
              <w:t>能源目标、指</w:t>
            </w:r>
            <w:r>
              <w:rPr>
                <w:rFonts w:hint="eastAsia" w:ascii="宋体" w:hAnsi="宋体" w:eastAsia="宋体" w:cs="Times New Roman"/>
                <w:b w:val="0"/>
                <w:bCs w:val="0"/>
                <w:sz w:val="21"/>
                <w:szCs w:val="21"/>
                <w:lang w:val="en-US" w:eastAsia="zh-CN"/>
              </w:rPr>
              <w:t>标</w:t>
            </w:r>
            <w:r>
              <w:rPr>
                <w:rFonts w:hint="eastAsia" w:ascii="宋体" w:hAnsi="宋体" w:eastAsia="宋体" w:cs="Times New Roman"/>
                <w:b w:val="0"/>
                <w:bCs w:val="0"/>
                <w:sz w:val="21"/>
                <w:szCs w:val="21"/>
              </w:rPr>
              <w:t>及</w:t>
            </w:r>
            <w:r>
              <w:rPr>
                <w:rFonts w:hint="eastAsia" w:ascii="宋体" w:hAnsi="宋体" w:eastAsia="宋体" w:cs="Times New Roman"/>
                <w:b w:val="0"/>
                <w:bCs w:val="0"/>
                <w:sz w:val="21"/>
                <w:szCs w:val="21"/>
                <w:lang w:val="en-US" w:eastAsia="zh-CN"/>
              </w:rPr>
              <w:t>控制</w:t>
            </w:r>
          </w:p>
          <w:p>
            <w:pPr>
              <w:spacing w:line="240" w:lineRule="auto"/>
              <w:rPr>
                <w:b w:val="0"/>
                <w:bCs w:val="0"/>
              </w:rPr>
            </w:pPr>
            <w:r>
              <w:rPr>
                <w:rFonts w:hint="eastAsia" w:ascii="宋体" w:hAnsi="宋体" w:eastAsia="宋体" w:cs="Times New Roman"/>
                <w:b w:val="0"/>
                <w:bCs w:val="0"/>
                <w:sz w:val="21"/>
                <w:szCs w:val="21"/>
              </w:rPr>
              <w:t>能源评审</w:t>
            </w:r>
          </w:p>
        </w:tc>
        <w:tc>
          <w:tcPr>
            <w:tcW w:w="960" w:type="dxa"/>
          </w:tcPr>
          <w:p>
            <w:pPr>
              <w:spacing w:line="240" w:lineRule="auto"/>
              <w:rPr>
                <w:rFonts w:hint="eastAsia" w:eastAsia="宋体"/>
                <w:b w:val="0"/>
                <w:bCs w:val="0"/>
                <w:lang w:val="en-US" w:eastAsia="zh-CN"/>
              </w:rPr>
            </w:pPr>
            <w:r>
              <w:rPr>
                <w:rFonts w:hint="eastAsia" w:ascii="宋体" w:hAnsi="宋体" w:eastAsia="宋体" w:cs="Times New Roman"/>
                <w:b w:val="0"/>
                <w:bCs w:val="0"/>
                <w:sz w:val="21"/>
                <w:szCs w:val="21"/>
              </w:rPr>
              <w:t>6.2</w:t>
            </w:r>
            <w:r>
              <w:rPr>
                <w:rFonts w:hint="eastAsia" w:ascii="宋体" w:hAnsi="宋体" w:eastAsia="宋体" w:cs="Times New Roman"/>
                <w:b w:val="0"/>
                <w:bCs w:val="0"/>
                <w:sz w:val="21"/>
                <w:szCs w:val="21"/>
                <w:lang w:val="en-US" w:eastAsia="zh-CN"/>
              </w:rPr>
              <w:t>/</w:t>
            </w:r>
            <w:r>
              <w:rPr>
                <w:rFonts w:hint="eastAsia" w:ascii="宋体" w:hAnsi="宋体" w:eastAsia="宋体" w:cs="Times New Roman"/>
                <w:b w:val="0"/>
                <w:bCs w:val="0"/>
                <w:sz w:val="21"/>
                <w:szCs w:val="21"/>
              </w:rPr>
              <w:t>6.3</w:t>
            </w:r>
          </w:p>
        </w:tc>
        <w:tc>
          <w:tcPr>
            <w:tcW w:w="10004"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lang w:val="en-US" w:eastAsia="zh-CN"/>
              </w:rPr>
            </w:pPr>
            <w:r>
              <w:rPr>
                <w:rFonts w:hint="eastAsia"/>
                <w:lang w:val="en-US" w:eastAsia="zh-CN"/>
              </w:rPr>
              <w:t>公司编制了《能源评审管理程序》、《能源绩效参数、能源基准、能源目标控制程序》。对能源评审的要求、能源绩效参数的选定、制定能源基准的方法以及能源数据收集的要求进行了描述。</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lang w:val="en-US" w:eastAsia="zh-CN"/>
              </w:rPr>
            </w:pPr>
            <w:r>
              <w:rPr>
                <w:rFonts w:hint="eastAsia"/>
                <w:lang w:val="en-US" w:eastAsia="zh-CN"/>
              </w:rPr>
              <w:t>提供2022年12月编制的能源评审报告，内容包括：编制说明，评审周期及范围、编制依据、能源评审方法、企业能源管理现状、能源消耗分析、主要用能设备、能源计量、能源输出评审、</w:t>
            </w:r>
            <w:r>
              <w:rPr>
                <w:rFonts w:hint="eastAsia" w:ascii="Times New Roman" w:hAnsi="Times New Roman" w:eastAsia="宋体" w:cs="Times New Roman"/>
                <w:color w:val="auto"/>
                <w:szCs w:val="22"/>
                <w:lang w:val="en-US" w:eastAsia="zh-CN"/>
              </w:rPr>
              <w:t>未来用能进行分析</w:t>
            </w:r>
            <w:r>
              <w:rPr>
                <w:rFonts w:hint="eastAsia"/>
                <w:lang w:val="en-US" w:eastAsia="zh-CN"/>
              </w:rPr>
              <w:t>等内容</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能源评审报告期为202</w:t>
            </w:r>
            <w:r>
              <w:rPr>
                <w:rFonts w:hint="eastAsia" w:cs="Times New Roman"/>
                <w:szCs w:val="22"/>
                <w:lang w:val="en-US" w:eastAsia="zh-CN"/>
              </w:rPr>
              <w:t>2</w:t>
            </w:r>
            <w:r>
              <w:rPr>
                <w:rFonts w:hint="eastAsia" w:ascii="Times New Roman" w:hAnsi="Times New Roman" w:eastAsia="宋体" w:cs="Times New Roman"/>
                <w:szCs w:val="22"/>
                <w:lang w:val="en-US" w:eastAsia="zh-CN"/>
              </w:rPr>
              <w:t>年</w:t>
            </w:r>
            <w:r>
              <w:rPr>
                <w:rFonts w:hint="eastAsia" w:cs="Times New Roman"/>
                <w:szCs w:val="22"/>
                <w:lang w:val="en-US" w:eastAsia="zh-CN"/>
              </w:rPr>
              <w:t>1</w:t>
            </w:r>
            <w:r>
              <w:rPr>
                <w:rFonts w:hint="eastAsia" w:ascii="Times New Roman" w:hAnsi="Times New Roman" w:eastAsia="宋体" w:cs="Times New Roman"/>
                <w:szCs w:val="22"/>
                <w:lang w:val="en-US" w:eastAsia="zh-CN"/>
              </w:rPr>
              <w:t>-</w:t>
            </w:r>
            <w:r>
              <w:rPr>
                <w:rFonts w:hint="eastAsia" w:cs="Times New Roman"/>
                <w:szCs w:val="22"/>
                <w:lang w:val="en-US" w:eastAsia="zh-CN"/>
              </w:rPr>
              <w:t>10</w:t>
            </w:r>
            <w:r>
              <w:rPr>
                <w:rFonts w:hint="eastAsia" w:ascii="Times New Roman" w:hAnsi="Times New Roman" w:eastAsia="宋体" w:cs="Times New Roman"/>
                <w:szCs w:val="22"/>
                <w:lang w:val="en-US" w:eastAsia="zh-CN"/>
              </w:rPr>
              <w:t>月，基准期：设计文件； 产品和活动范围：商品混凝土的生产所涉及的能源管理活动。</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评审报告范围包括：主要生产单位：生产部；辅助生产系统：质检组、采购组；职能部门：生产部、营销部、综合部、财务部</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能源种类、来源及使用：经统计分析，</w:t>
            </w:r>
            <w:r>
              <w:rPr>
                <w:rFonts w:hint="eastAsia" w:cs="Times New Roman"/>
                <w:szCs w:val="22"/>
                <w:lang w:val="en-US" w:eastAsia="zh-CN"/>
              </w:rPr>
              <w:t>该</w:t>
            </w:r>
            <w:bookmarkStart w:id="0" w:name="_GoBack"/>
            <w:bookmarkEnd w:id="0"/>
            <w:r>
              <w:rPr>
                <w:rFonts w:hint="eastAsia" w:ascii="Times New Roman" w:hAnsi="Times New Roman" w:eastAsia="宋体" w:cs="Times New Roman"/>
                <w:szCs w:val="22"/>
                <w:lang w:val="en-US" w:eastAsia="zh-CN"/>
              </w:rPr>
              <w:t>公司主要消耗的能源分为两类：一是生产消耗能源种类为电力、自来水（新水）；二是运输消耗能源种类为柴油和少量汽油</w:t>
            </w:r>
            <w:r>
              <w:rPr>
                <w:rFonts w:hint="eastAsia" w:cs="Times New Roman"/>
                <w:szCs w:val="22"/>
                <w:lang w:val="en-US" w:eastAsia="zh-CN"/>
              </w:rPr>
              <w:t>，</w:t>
            </w:r>
            <w:r>
              <w:rPr>
                <w:rFonts w:hint="eastAsia" w:ascii="Times New Roman" w:hAnsi="Times New Roman" w:eastAsia="宋体" w:cs="Times New Roman"/>
                <w:szCs w:val="22"/>
                <w:lang w:val="en-US" w:eastAsia="zh-CN"/>
              </w:rPr>
              <w:t>（运输已外包）</w:t>
            </w:r>
            <w:r>
              <w:rPr>
                <w:rFonts w:hint="eastAsia" w:cs="Times New Roman"/>
                <w:szCs w:val="22"/>
                <w:lang w:val="en-US" w:eastAsia="zh-CN"/>
              </w:rPr>
              <w:t>、压缩风。</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企业能源目标完成情况：企业2021年3月份开始试生产，能源</w:t>
            </w:r>
            <w:r>
              <w:rPr>
                <w:rFonts w:hint="eastAsia" w:cs="Times New Roman"/>
                <w:szCs w:val="22"/>
                <w:lang w:val="en-US" w:eastAsia="zh-CN"/>
              </w:rPr>
              <w:t>基准</w:t>
            </w:r>
            <w:r>
              <w:rPr>
                <w:rFonts w:hint="eastAsia" w:ascii="Times New Roman" w:hAnsi="Times New Roman" w:eastAsia="宋体" w:cs="Times New Roman"/>
                <w:szCs w:val="22"/>
                <w:lang w:val="en-US" w:eastAsia="zh-CN"/>
              </w:rPr>
              <w:t>数据统计按照4月-</w:t>
            </w:r>
            <w:r>
              <w:rPr>
                <w:rFonts w:hint="eastAsia" w:cs="Times New Roman"/>
                <w:szCs w:val="22"/>
                <w:lang w:val="en-US" w:eastAsia="zh-CN"/>
              </w:rPr>
              <w:t>12</w:t>
            </w:r>
            <w:r>
              <w:rPr>
                <w:rFonts w:hint="eastAsia" w:ascii="Times New Roman" w:hAnsi="Times New Roman" w:eastAsia="宋体" w:cs="Times New Roman"/>
                <w:szCs w:val="22"/>
                <w:lang w:val="en-US" w:eastAsia="zh-CN"/>
              </w:rPr>
              <w:t>月份进行计算统计和分析的。</w:t>
            </w:r>
            <w:r>
              <w:rPr>
                <w:rFonts w:hint="eastAsia" w:cs="Times New Roman"/>
                <w:szCs w:val="22"/>
                <w:lang w:val="en-US" w:eastAsia="zh-CN"/>
              </w:rPr>
              <w:t>能源数据统计为2022年1-10月份进行计算统计和分析，</w:t>
            </w:r>
            <w:r>
              <w:rPr>
                <w:rFonts w:hint="eastAsia" w:ascii="Times New Roman" w:hAnsi="Times New Roman" w:eastAsia="宋体" w:cs="Times New Roman"/>
                <w:szCs w:val="22"/>
                <w:lang w:val="en-US" w:eastAsia="zh-CN"/>
              </w:rPr>
              <w:t>202</w:t>
            </w:r>
            <w:r>
              <w:rPr>
                <w:rFonts w:hint="eastAsia" w:cs="Times New Roman"/>
                <w:szCs w:val="22"/>
                <w:lang w:val="en-US" w:eastAsia="zh-CN"/>
              </w:rPr>
              <w:t>2</w:t>
            </w:r>
            <w:r>
              <w:rPr>
                <w:rFonts w:hint="eastAsia" w:ascii="Times New Roman" w:hAnsi="Times New Roman" w:eastAsia="宋体" w:cs="Times New Roman"/>
                <w:szCs w:val="22"/>
                <w:lang w:val="en-US" w:eastAsia="zh-CN"/>
              </w:rPr>
              <w:t>年的目标参照</w:t>
            </w:r>
            <w:r>
              <w:rPr>
                <w:rFonts w:hint="eastAsia" w:cs="Times New Roman"/>
                <w:szCs w:val="22"/>
                <w:lang w:val="en-US" w:eastAsia="zh-CN"/>
              </w:rPr>
              <w:t>2021年单位产品生产能耗</w:t>
            </w:r>
            <w:r>
              <w:rPr>
                <w:rFonts w:hint="eastAsia" w:ascii="Times New Roman" w:hAnsi="Times New Roman" w:eastAsia="宋体" w:cs="Times New Roman"/>
                <w:szCs w:val="22"/>
                <w:lang w:val="en-US" w:eastAsia="zh-CN"/>
              </w:rPr>
              <w:t>，定为单位产品生产能耗≤0.7kgce/m3，根据企业</w:t>
            </w:r>
            <w:r>
              <w:rPr>
                <w:rFonts w:hint="eastAsia" w:cs="Times New Roman"/>
                <w:szCs w:val="22"/>
                <w:lang w:val="en-US" w:eastAsia="zh-CN"/>
              </w:rPr>
              <w:t>1</w:t>
            </w:r>
            <w:r>
              <w:rPr>
                <w:rFonts w:hint="eastAsia" w:ascii="Times New Roman" w:hAnsi="Times New Roman" w:eastAsia="宋体" w:cs="Times New Roman"/>
                <w:szCs w:val="22"/>
                <w:lang w:val="en-US" w:eastAsia="zh-CN"/>
              </w:rPr>
              <w:t>-</w:t>
            </w:r>
            <w:r>
              <w:rPr>
                <w:rFonts w:hint="eastAsia" w:cs="Times New Roman"/>
                <w:szCs w:val="22"/>
                <w:lang w:val="en-US" w:eastAsia="zh-CN"/>
              </w:rPr>
              <w:t>10</w:t>
            </w:r>
            <w:r>
              <w:rPr>
                <w:rFonts w:hint="eastAsia" w:ascii="Times New Roman" w:hAnsi="Times New Roman" w:eastAsia="宋体" w:cs="Times New Roman"/>
                <w:szCs w:val="22"/>
                <w:lang w:val="en-US" w:eastAsia="zh-CN"/>
              </w:rPr>
              <w:t>月份实际生产数据统计，单位产品生产能耗累计值为0.3kgce/m</w:t>
            </w:r>
            <w:r>
              <w:rPr>
                <w:rFonts w:hint="eastAsia" w:ascii="Times New Roman" w:hAnsi="Times New Roman" w:eastAsia="宋体" w:cs="Times New Roman"/>
                <w:szCs w:val="22"/>
                <w:vertAlign w:val="superscript"/>
                <w:lang w:val="en-US" w:eastAsia="zh-CN"/>
              </w:rPr>
              <w:t>3</w:t>
            </w:r>
            <w:r>
              <w:rPr>
                <w:rFonts w:hint="eastAsia" w:ascii="Times New Roman" w:hAnsi="Times New Roman" w:eastAsia="宋体" w:cs="Times New Roman"/>
                <w:szCs w:val="22"/>
                <w:lang w:val="en-US" w:eastAsia="zh-CN"/>
              </w:rPr>
              <w:t>，达到了GB/T36888-2018标准中Ⅰ级水平，较好的完成了目标指标。</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用能结构分析：企业能源使用区域是生产车间。车间的主要能耗过程有：原料的输送、混凝土搅拌站、空压机、下料机、连续化生产线等；办公室的主要能耗过程有：照明、空调、计算机。</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生产能源消耗占比：电消耗占87.</w:t>
            </w:r>
            <w:r>
              <w:rPr>
                <w:rFonts w:hint="eastAsia" w:cs="Times New Roman"/>
                <w:szCs w:val="22"/>
                <w:lang w:val="en-US" w:eastAsia="zh-CN"/>
              </w:rPr>
              <w:t>10</w:t>
            </w:r>
            <w:r>
              <w:rPr>
                <w:rFonts w:hint="eastAsia" w:ascii="Times New Roman" w:hAnsi="Times New Roman" w:eastAsia="宋体" w:cs="Times New Roman"/>
                <w:szCs w:val="22"/>
                <w:lang w:val="en-US" w:eastAsia="zh-CN"/>
              </w:rPr>
              <w:t>%，电使用为主要能源使用。其他未新鲜水和压缩风（压缩风按用电一次统计）；影响电耗的因素主要为设备效率。公司的用电设备主要包括：原料的输送、混凝土搅拌站、查箱式变电站、双卧轴搅拌机、三相异步电动机、连续化生产线、办公室的空调、计算机等。</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能源评审报告分析了影响主要能源使用的相关变量，影响转动设备效率的相关变量通常有负荷、压力、电流、电压等；分析了与能源管理有关的人员等。</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提供设备表：使用电力的设备最大功率为55KW，按照GB17167标准判断无主要耗能设备，但是建议企业对功率较大的设备如双卧轴搅拌机、三相异步电动机的运行效率实施关注，确保设备高效运行。</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lang w:val="en-US" w:eastAsia="zh-CN"/>
              </w:rPr>
            </w:pPr>
            <w:r>
              <w:rPr>
                <w:rFonts w:hint="eastAsia" w:ascii="Times New Roman" w:hAnsi="Times New Roman" w:eastAsia="宋体" w:cs="Times New Roman"/>
                <w:szCs w:val="22"/>
                <w:lang w:val="en-US" w:eastAsia="zh-CN"/>
              </w:rPr>
              <w:t>绩效改进机会：由于公司刚开工不久，设计时考虑先进的生产工艺，目前未发现节能改进的机会。目前着手抓好装置生产平稳运行，提高产量，降低能源消耗。在今后的运行中若存在改进机会，将按照下表要求进行改进。</w:t>
            </w:r>
          </w:p>
        </w:tc>
        <w:tc>
          <w:tcPr>
            <w:tcW w:w="1585" w:type="dxa"/>
          </w:tcPr>
          <w:p>
            <w:pPr>
              <w:rPr>
                <w:rFonts w:hint="eastAsia" w:eastAsia="宋体"/>
                <w:lang w:val="en-US" w:eastAsia="zh-CN"/>
              </w:rPr>
            </w:pPr>
            <w:r>
              <w:rPr>
                <w:rFonts w:hint="eastAsia"/>
                <w:lang w:val="en-US" w:eastAsia="zh-CN"/>
              </w:rPr>
              <w:t>Y</w:t>
            </w:r>
          </w:p>
          <w:p>
            <w:pPr>
              <w:rPr>
                <w:rFonts w:hint="eastAsia"/>
                <w:lang w:val="en-US" w:eastAsia="zh-CN"/>
              </w:rPr>
            </w:pPr>
          </w:p>
          <w:p>
            <w:pPr>
              <w:rPr>
                <w:rFonts w:hint="eastAsia"/>
                <w:lang w:val="en-US" w:eastAsia="zh-CN"/>
              </w:rPr>
            </w:pPr>
          </w:p>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0" w:type="dxa"/>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能源绩效参数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能源基准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采集能源数据的策划</w:t>
            </w:r>
            <w:r>
              <w:rPr>
                <w:rFonts w:hint="eastAsia" w:ascii="宋体" w:hAnsi="宋体" w:eastAsia="宋体" w:cs="宋体"/>
                <w:b w:val="0"/>
                <w:bCs w:val="0"/>
                <w:color w:val="auto"/>
                <w:sz w:val="21"/>
                <w:szCs w:val="21"/>
                <w:highlight w:val="none"/>
                <w:lang w:eastAsia="zh-CN"/>
              </w:rPr>
              <w:t>；</w:t>
            </w:r>
          </w:p>
        </w:tc>
        <w:tc>
          <w:tcPr>
            <w:tcW w:w="960" w:type="dxa"/>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6.4</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6.5</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6.6</w:t>
            </w:r>
          </w:p>
        </w:tc>
        <w:tc>
          <w:tcPr>
            <w:tcW w:w="10004"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b w:val="0"/>
                <w:bCs w:val="0"/>
                <w:color w:val="auto"/>
                <w:szCs w:val="22"/>
                <w:highlight w:val="none"/>
                <w:lang w:val="en-US" w:eastAsia="zh-CN"/>
              </w:rPr>
            </w:pPr>
            <w:r>
              <w:rPr>
                <w:rFonts w:hint="eastAsia" w:ascii="宋体" w:hAnsi="宋体" w:eastAsia="宋体" w:cs="宋体"/>
                <w:b w:val="0"/>
                <w:bCs w:val="0"/>
                <w:color w:val="auto"/>
                <w:szCs w:val="22"/>
                <w:highlight w:val="none"/>
                <w:lang w:val="en-US" w:eastAsia="zh-CN"/>
              </w:rPr>
              <w:t>公司的能源绩效参数选定：单位产品生产耗能kgce/m</w:t>
            </w:r>
            <w:r>
              <w:rPr>
                <w:rFonts w:hint="eastAsia" w:ascii="宋体" w:hAnsi="宋体" w:eastAsia="宋体" w:cs="宋体"/>
                <w:b w:val="0"/>
                <w:bCs w:val="0"/>
                <w:color w:val="auto"/>
                <w:szCs w:val="22"/>
                <w:highlight w:val="none"/>
                <w:vertAlign w:val="superscript"/>
                <w:lang w:val="en-US" w:eastAsia="zh-CN"/>
              </w:rPr>
              <w:t>3</w:t>
            </w:r>
          </w:p>
          <w:p>
            <w:pPr>
              <w:pStyle w:val="5"/>
              <w:pageBreakBefore w:val="0"/>
              <w:widowControl w:val="0"/>
              <w:kinsoku/>
              <w:wordWrap/>
              <w:overflowPunct/>
              <w:topLinePunct w:val="0"/>
              <w:autoSpaceDE/>
              <w:autoSpaceDN/>
              <w:bidi w:val="0"/>
              <w:adjustRightInd/>
              <w:snapToGrid/>
              <w:spacing w:before="157" w:beforeLines="50" w:line="240" w:lineRule="auto"/>
              <w:ind w:left="0" w:leftChars="0" w:firstLine="0" w:firstLineChars="0"/>
              <w:textAlignment w:val="auto"/>
              <w:rPr>
                <w:rFonts w:hint="eastAsia" w:ascii="宋体" w:hAnsi="宋体" w:eastAsia="宋体" w:cs="宋体"/>
                <w:b w:val="0"/>
                <w:bCs w:val="0"/>
                <w:color w:val="auto"/>
                <w:kern w:val="2"/>
                <w:sz w:val="21"/>
                <w:szCs w:val="22"/>
                <w:highlight w:val="none"/>
                <w:vertAlign w:val="superscript"/>
                <w:lang w:val="en-US" w:eastAsia="zh-CN" w:bidi="ar-SA"/>
              </w:rPr>
            </w:pPr>
            <w:r>
              <w:rPr>
                <w:rFonts w:hint="eastAsia" w:ascii="宋体" w:hAnsi="宋体" w:eastAsia="宋体" w:cs="宋体"/>
                <w:b w:val="0"/>
                <w:bCs w:val="0"/>
                <w:color w:val="auto"/>
                <w:kern w:val="2"/>
                <w:sz w:val="21"/>
                <w:szCs w:val="22"/>
                <w:highlight w:val="none"/>
                <w:lang w:val="en-US" w:eastAsia="zh-CN" w:bidi="ar-SA"/>
              </w:rPr>
              <w:t>能源基准以GB/T36888-2018标准Ⅱ级为参照基准值为0.7kgce/m</w:t>
            </w:r>
            <w:r>
              <w:rPr>
                <w:rFonts w:hint="eastAsia" w:ascii="宋体" w:hAnsi="宋体" w:eastAsia="宋体" w:cs="宋体"/>
                <w:b w:val="0"/>
                <w:bCs w:val="0"/>
                <w:color w:val="auto"/>
                <w:kern w:val="2"/>
                <w:sz w:val="21"/>
                <w:szCs w:val="22"/>
                <w:highlight w:val="none"/>
                <w:vertAlign w:val="superscript"/>
                <w:lang w:val="en-US" w:eastAsia="zh-CN" w:bidi="ar-SA"/>
              </w:rPr>
              <w:t>3</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b w:val="0"/>
                <w:bCs w:val="0"/>
                <w:color w:val="auto"/>
                <w:szCs w:val="22"/>
                <w:highlight w:val="none"/>
                <w:lang w:val="en-US" w:eastAsia="zh-CN"/>
              </w:rPr>
            </w:pPr>
            <w:r>
              <w:rPr>
                <w:rFonts w:hint="eastAsia" w:ascii="宋体" w:hAnsi="宋体" w:eastAsia="宋体" w:cs="宋体"/>
                <w:b w:val="0"/>
                <w:bCs w:val="0"/>
                <w:color w:val="auto"/>
                <w:szCs w:val="22"/>
                <w:highlight w:val="none"/>
                <w:lang w:val="en-US" w:eastAsia="zh-CN"/>
              </w:rPr>
              <w:t>能源数据的收集策划在程序文件中进行了描述，实际数据统计中数据收集主要以电、水为收集对象，收集频次每月收集一次。</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b w:val="0"/>
                <w:bCs w:val="0"/>
                <w:color w:val="auto"/>
                <w:szCs w:val="22"/>
                <w:highlight w:val="none"/>
                <w:lang w:val="en-US" w:eastAsia="zh-CN"/>
              </w:rPr>
            </w:pPr>
            <w:r>
              <w:rPr>
                <w:rFonts w:hint="eastAsia" w:ascii="宋体" w:hAnsi="宋体" w:eastAsia="宋体" w:cs="宋体"/>
                <w:b w:val="0"/>
                <w:bCs w:val="0"/>
                <w:color w:val="auto"/>
                <w:szCs w:val="22"/>
                <w:highlight w:val="none"/>
                <w:lang w:val="en-US" w:eastAsia="zh-CN"/>
              </w:rPr>
              <w:t>企业能源计量包括电和水，未提供用能单位的电表和水表的检定报告，据企业介绍，电表和水表的检定有提供方（甲方）负责。建议企业关注能源计量的检定。</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vAlign w:val="top"/>
          </w:tcPr>
          <w:p>
            <w:pPr>
              <w:spacing w:line="24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运行的策划和控制</w:t>
            </w:r>
          </w:p>
        </w:tc>
        <w:tc>
          <w:tcPr>
            <w:tcW w:w="960" w:type="dxa"/>
            <w:vAlign w:val="top"/>
          </w:tcPr>
          <w:p>
            <w:pPr>
              <w:spacing w:line="24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8.1</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公司策划、实施和控制满足产品和服务要求所需的过程，确定生产过程中的能源能管理要求并建立适当的准则予以控制。考虑过程控制、法律法规要求以及相关方的期望等条件。</w:t>
            </w:r>
          </w:p>
          <w:p>
            <w:pPr>
              <w:pStyle w:val="6"/>
              <w:keepNext w:val="0"/>
              <w:keepLines w:val="0"/>
              <w:pageBreakBefore w:val="0"/>
              <w:widowControl w:val="0"/>
              <w:kinsoku/>
              <w:wordWrap/>
              <w:overflowPunct/>
              <w:topLinePunct w:val="0"/>
              <w:autoSpaceDE/>
              <w:autoSpaceDN/>
              <w:bidi w:val="0"/>
              <w:adjustRightInd/>
              <w:snapToGrid/>
              <w:spacing w:before="120" w:after="0" w:line="240" w:lineRule="auto"/>
              <w:ind w:firstLine="210" w:firstLineChars="1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抽查企业编制了《能资源管理制度》明确加强能源管理，合理利用能源，杜绝浪费，降低能耗，提高公司的经济效益的控制措施，并监督检查执行。</w:t>
            </w:r>
          </w:p>
          <w:p>
            <w:pPr>
              <w:pStyle w:val="6"/>
              <w:keepNext w:val="0"/>
              <w:keepLines w:val="0"/>
              <w:pageBreakBefore w:val="0"/>
              <w:widowControl w:val="0"/>
              <w:kinsoku/>
              <w:wordWrap/>
              <w:overflowPunct/>
              <w:topLinePunct w:val="0"/>
              <w:autoSpaceDE/>
              <w:autoSpaceDN/>
              <w:bidi w:val="0"/>
              <w:adjustRightInd/>
              <w:snapToGrid/>
              <w:spacing w:before="120" w:after="0" w:line="24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抽查：生产现场检查记录，内容包括：消防、环保、安全、节能、设备保养等，查看2022年1-11月份的检查情况，满足要求。</w:t>
            </w:r>
          </w:p>
          <w:p>
            <w:pPr>
              <w:pStyle w:val="6"/>
              <w:keepNext w:val="0"/>
              <w:keepLines w:val="0"/>
              <w:pageBreakBefore w:val="0"/>
              <w:widowControl w:val="0"/>
              <w:kinsoku/>
              <w:wordWrap/>
              <w:overflowPunct/>
              <w:topLinePunct w:val="0"/>
              <w:autoSpaceDE/>
              <w:autoSpaceDN/>
              <w:bidi w:val="0"/>
              <w:adjustRightInd/>
              <w:snapToGrid/>
              <w:spacing w:before="120" w:after="0" w:line="24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倒班顺序。早8点——晚8点——（1班）晚8点到早8点（2班）一周轮换一次。</w:t>
            </w:r>
          </w:p>
          <w:p>
            <w:pPr>
              <w:pStyle w:val="6"/>
              <w:keepNext w:val="0"/>
              <w:keepLines w:val="0"/>
              <w:pageBreakBefore w:val="0"/>
              <w:widowControl w:val="0"/>
              <w:kinsoku/>
              <w:wordWrap/>
              <w:overflowPunct/>
              <w:topLinePunct w:val="0"/>
              <w:autoSpaceDE/>
              <w:autoSpaceDN/>
              <w:bidi w:val="0"/>
              <w:adjustRightInd/>
              <w:snapToGrid/>
              <w:spacing w:before="120" w:after="0" w:line="24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查看其企业不同班次的生产记录，12月13日白班和14日夜班的操作日志，记录齐全</w:t>
            </w:r>
          </w:p>
          <w:p>
            <w:pPr>
              <w:pStyle w:val="6"/>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抽查产品出厂控制记录，符合要求。</w:t>
            </w:r>
          </w:p>
          <w:p>
            <w:pPr>
              <w:pStyle w:val="13"/>
              <w:keepNext w:val="0"/>
              <w:keepLines w:val="0"/>
              <w:pageBreakBefore w:val="0"/>
              <w:widowControl w:val="0"/>
              <w:kinsoku/>
              <w:wordWrap/>
              <w:overflowPunct/>
              <w:topLinePunct w:val="0"/>
              <w:autoSpaceDE/>
              <w:autoSpaceDN/>
              <w:bidi w:val="0"/>
              <w:adjustRightInd/>
              <w:snapToGrid/>
              <w:spacing w:before="120" w:line="240" w:lineRule="auto"/>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drawing>
                <wp:inline distT="0" distB="0" distL="114300" distR="114300">
                  <wp:extent cx="1388110" cy="1922780"/>
                  <wp:effectExtent l="0" t="0" r="8890" b="7620"/>
                  <wp:docPr id="2" name="图片 2" descr="b34e9404df185422abff2f20c544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34e9404df185422abff2f20c54400a"/>
                          <pic:cNvPicPr>
                            <a:picLocks noChangeAspect="1"/>
                          </pic:cNvPicPr>
                        </pic:nvPicPr>
                        <pic:blipFill>
                          <a:blip r:embed="rId8"/>
                          <a:stretch>
                            <a:fillRect/>
                          </a:stretch>
                        </pic:blipFill>
                        <pic:spPr>
                          <a:xfrm>
                            <a:off x="0" y="0"/>
                            <a:ext cx="1388110" cy="1922780"/>
                          </a:xfrm>
                          <a:prstGeom prst="rect">
                            <a:avLst/>
                          </a:prstGeom>
                        </pic:spPr>
                      </pic:pic>
                    </a:graphicData>
                  </a:graphic>
                </wp:inline>
              </w:drawing>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drawing>
                <wp:inline distT="0" distB="0" distL="114300" distR="114300">
                  <wp:extent cx="1394460" cy="1937385"/>
                  <wp:effectExtent l="0" t="0" r="2540" b="5715"/>
                  <wp:docPr id="3" name="图片 3" descr="8aeeb9c2f613e0ac9903279194c18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aeeb9c2f613e0ac9903279194c188e"/>
                          <pic:cNvPicPr>
                            <a:picLocks noChangeAspect="1"/>
                          </pic:cNvPicPr>
                        </pic:nvPicPr>
                        <pic:blipFill>
                          <a:blip r:embed="rId9"/>
                          <a:stretch>
                            <a:fillRect/>
                          </a:stretch>
                        </pic:blipFill>
                        <pic:spPr>
                          <a:xfrm>
                            <a:off x="0" y="0"/>
                            <a:ext cx="1394460" cy="1937385"/>
                          </a:xfrm>
                          <a:prstGeom prst="rect">
                            <a:avLst/>
                          </a:prstGeom>
                        </pic:spPr>
                      </pic:pic>
                    </a:graphicData>
                  </a:graphic>
                </wp:inline>
              </w:drawing>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drawing>
                <wp:inline distT="0" distB="0" distL="114300" distR="114300">
                  <wp:extent cx="1434465" cy="1950720"/>
                  <wp:effectExtent l="0" t="0" r="635" b="5080"/>
                  <wp:docPr id="4" name="图片 4" descr="8135de4f7bd4a4184e0af13ad06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135de4f7bd4a4184e0af13ad060517"/>
                          <pic:cNvPicPr>
                            <a:picLocks noChangeAspect="1"/>
                          </pic:cNvPicPr>
                        </pic:nvPicPr>
                        <pic:blipFill>
                          <a:blip r:embed="rId10"/>
                          <a:stretch>
                            <a:fillRect/>
                          </a:stretch>
                        </pic:blipFill>
                        <pic:spPr>
                          <a:xfrm>
                            <a:off x="0" y="0"/>
                            <a:ext cx="1434465" cy="1950720"/>
                          </a:xfrm>
                          <a:prstGeom prst="rect">
                            <a:avLst/>
                          </a:prstGeom>
                        </pic:spPr>
                      </pic:pic>
                    </a:graphicData>
                  </a:graphic>
                </wp:inline>
              </w:drawing>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drawing>
                <wp:inline distT="0" distB="0" distL="114300" distR="114300">
                  <wp:extent cx="1416685" cy="1955165"/>
                  <wp:effectExtent l="0" t="0" r="5715" b="635"/>
                  <wp:docPr id="5" name="图片 5" descr="fa83c06b061690d0be7b158889994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a83c06b061690d0be7b158889994dc"/>
                          <pic:cNvPicPr>
                            <a:picLocks noChangeAspect="1"/>
                          </pic:cNvPicPr>
                        </pic:nvPicPr>
                        <pic:blipFill>
                          <a:blip r:embed="rId11"/>
                          <a:stretch>
                            <a:fillRect/>
                          </a:stretch>
                        </pic:blipFill>
                        <pic:spPr>
                          <a:xfrm>
                            <a:off x="0" y="0"/>
                            <a:ext cx="1416685" cy="1955165"/>
                          </a:xfrm>
                          <a:prstGeom prst="rect">
                            <a:avLst/>
                          </a:prstGeom>
                        </pic:spPr>
                      </pic:pic>
                    </a:graphicData>
                  </a:graphic>
                </wp:inline>
              </w:drawing>
            </w:r>
          </w:p>
          <w:p>
            <w:pPr>
              <w:pStyle w:val="13"/>
              <w:keepNext w:val="0"/>
              <w:keepLines w:val="0"/>
              <w:pageBreakBefore w:val="0"/>
              <w:widowControl w:val="0"/>
              <w:kinsoku/>
              <w:wordWrap/>
              <w:overflowPunct/>
              <w:topLinePunct w:val="0"/>
              <w:autoSpaceDE/>
              <w:autoSpaceDN/>
              <w:bidi w:val="0"/>
              <w:adjustRightInd/>
              <w:snapToGrid/>
              <w:spacing w:before="120" w:line="240" w:lineRule="auto"/>
              <w:textAlignment w:val="auto"/>
              <w:rPr>
                <w:rFonts w:hint="eastAsia" w:ascii="宋体" w:hAnsi="宋体" w:eastAsia="宋体" w:cs="宋体"/>
                <w:b w:val="0"/>
                <w:bCs w:val="0"/>
                <w:spacing w:val="10"/>
                <w:kern w:val="2"/>
                <w:sz w:val="21"/>
                <w:szCs w:val="21"/>
                <w:lang w:val="en-US" w:eastAsia="zh-CN" w:bidi="ar-SA"/>
              </w:rPr>
            </w:pPr>
            <w:r>
              <w:rPr>
                <w:rFonts w:hint="eastAsia" w:ascii="宋体" w:hAnsi="宋体" w:eastAsia="宋体" w:cs="宋体"/>
                <w:b w:val="0"/>
                <w:bCs w:val="0"/>
                <w:sz w:val="21"/>
                <w:szCs w:val="21"/>
                <w:lang w:val="en-US" w:eastAsia="zh-CN"/>
              </w:rPr>
              <w:t>不同班次的操作日志</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vAlign w:val="top"/>
          </w:tcPr>
          <w:p>
            <w:pP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sz w:val="21"/>
                <w:szCs w:val="21"/>
                <w:lang w:val="en-US" w:eastAsia="zh-CN"/>
              </w:rPr>
              <w:t>设计过程对能源使用及消耗的策划和控制</w:t>
            </w:r>
          </w:p>
        </w:tc>
        <w:tc>
          <w:tcPr>
            <w:tcW w:w="960" w:type="dxa"/>
            <w:vAlign w:val="top"/>
          </w:tcPr>
          <w:p>
            <w:pP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sz w:val="21"/>
                <w:szCs w:val="21"/>
                <w:lang w:val="en-US" w:eastAsia="zh-CN"/>
              </w:rPr>
              <w:t>8.2</w:t>
            </w:r>
          </w:p>
        </w:tc>
        <w:tc>
          <w:tcPr>
            <w:tcW w:w="10004" w:type="dxa"/>
          </w:tcPr>
          <w:p>
            <w:pPr>
              <w:pStyle w:val="13"/>
              <w:rPr>
                <w:rFonts w:hint="eastAsia"/>
                <w:szCs w:val="22"/>
                <w:lang w:val="en-US" w:eastAsia="zh-CN"/>
              </w:rPr>
            </w:pPr>
            <w:r>
              <w:rPr>
                <w:rFonts w:hint="eastAsia"/>
              </w:rPr>
              <w:t>如手册第</w:t>
            </w:r>
            <w:r>
              <w:rPr>
                <w:rFonts w:hint="eastAsia"/>
                <w:lang w:val="en-US" w:eastAsia="zh-CN"/>
              </w:rPr>
              <w:t>8.2</w:t>
            </w:r>
            <w:r>
              <w:rPr>
                <w:rFonts w:hint="eastAsia"/>
              </w:rPr>
              <w:t>条款</w:t>
            </w:r>
            <w:r>
              <w:rPr>
                <w:rFonts w:hint="eastAsia"/>
                <w:lang w:eastAsia="zh-CN"/>
              </w:rPr>
              <w:t>。</w:t>
            </w:r>
            <w:r>
              <w:rPr>
                <w:rFonts w:hint="eastAsia"/>
                <w:lang w:val="en-US" w:eastAsia="zh-CN"/>
              </w:rPr>
              <w:t>公</w:t>
            </w:r>
            <w:r>
              <w:rPr>
                <w:rFonts w:hint="eastAsia"/>
                <w:szCs w:val="22"/>
                <w:lang w:val="en-US" w:eastAsia="zh-CN"/>
              </w:rPr>
              <w:t>司管理手册规定：应对公司生产、运行过程的节能设计、设备、设施配置、能源采购以及生产和服务进行控制。在设计过程中，优先考虑能源绩效改进机会较大的项目、设备设施，并将能源绩效评价纳入项目的规范、设计和采购活动中。公司建立、实施并保持节能设计管理制度，对已实施的设计和新的设计活动进行控制，确保设计活动和结果符合节能要求。</w:t>
            </w:r>
          </w:p>
          <w:p>
            <w:pPr>
              <w:pStyle w:val="13"/>
              <w:rPr>
                <w:rFonts w:hint="eastAsia"/>
                <w:szCs w:val="22"/>
                <w:lang w:val="en-US" w:eastAsia="zh-CN"/>
              </w:rPr>
            </w:pPr>
            <w:r>
              <w:rPr>
                <w:rFonts w:hint="eastAsia"/>
                <w:szCs w:val="22"/>
                <w:lang w:val="en-US" w:eastAsia="zh-CN"/>
              </w:rPr>
              <w:t>公司实施的新改扩建项目在产品生产过程的设计或改进中应考虑能源的合理利用，以降低能源消耗提高能源利用效率。在进行公司新的生产系统、辅助系统以及生产工艺过程的设计或改进过程中，应充分考虑能源的合理利用，以降低能源消耗、提高能源利用效率和改进能源管理绩效。同时还应做到：确保符合国家相关能源法律法规和标准的要求；考虑所使用能源的种类、经济性、质量、环境影响，以及可获得性等；合理匹配生产、辅助各系统和设备设施，优化用能，从设计开始关注系统节能；借鉴节能新技术和方法、最佳节能实践与经验；利用新能源和可再生能源等。</w:t>
            </w:r>
          </w:p>
          <w:p>
            <w:pPr>
              <w:keepNext w:val="0"/>
              <w:keepLines w:val="0"/>
              <w:pageBreakBefore w:val="0"/>
              <w:widowControl/>
              <w:kinsoku/>
              <w:wordWrap/>
              <w:overflowPunct/>
              <w:topLinePunct w:val="0"/>
              <w:autoSpaceDE w:val="0"/>
              <w:autoSpaceDN w:val="0"/>
              <w:bidi w:val="0"/>
              <w:adjustRightInd w:val="0"/>
              <w:snapToGrid/>
              <w:spacing w:before="157" w:beforeLines="50" w:line="240" w:lineRule="auto"/>
              <w:jc w:val="left"/>
              <w:textAlignment w:val="auto"/>
              <w:rPr>
                <w:rFonts w:hint="eastAsia"/>
                <w:lang w:val="en-US" w:eastAsia="zh-CN"/>
              </w:rPr>
            </w:pPr>
            <w:r>
              <w:rPr>
                <w:rFonts w:hint="eastAsia"/>
                <w:szCs w:val="22"/>
                <w:lang w:val="en-US" w:eastAsia="zh-CN"/>
              </w:rPr>
              <w:t>在新项目设计实施前应由组织有关专家和部门进行有效的评审和确认。</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rPr>
            </w:pPr>
            <w:r>
              <w:rPr>
                <w:rFonts w:hint="eastAsia"/>
              </w:rPr>
              <w:sym w:font="Wingdings" w:char="00FE"/>
            </w:r>
            <w:r>
              <w:rPr>
                <w:rFonts w:hint="eastAsia"/>
                <w:lang w:val="en-US" w:eastAsia="zh-CN"/>
              </w:rPr>
              <w:t xml:space="preserve">目前无设计和开发  </w:t>
            </w:r>
            <w:r>
              <w:rPr>
                <w:rFonts w:hint="eastAsia"/>
              </w:rPr>
              <w:sym w:font="Wingdings" w:char="00A8"/>
            </w:r>
            <w:r>
              <w:rPr>
                <w:rFonts w:hint="eastAsia"/>
                <w:lang w:val="en-US" w:eastAsia="zh-CN"/>
              </w:rPr>
              <w:t>有设计和开发</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pPr>
            <w:r>
              <w:rPr>
                <w:rFonts w:hint="eastAsia"/>
              </w:rPr>
              <w:t>目前进行设计开发项目的性质：</w:t>
            </w:r>
            <w:r>
              <w:rPr>
                <w:rFonts w:hint="eastAsia"/>
              </w:rPr>
              <w:sym w:font="Wingdings" w:char="00A8"/>
            </w:r>
            <w:r>
              <w:rPr>
                <w:rFonts w:hint="eastAsia"/>
              </w:rPr>
              <w:t xml:space="preserve">新产品 </w:t>
            </w:r>
            <w:r>
              <w:rPr>
                <w:rFonts w:hint="eastAsia"/>
              </w:rPr>
              <w:sym w:font="Wingdings" w:char="00A8"/>
            </w:r>
            <w:r>
              <w:rPr>
                <w:rFonts w:hint="eastAsia"/>
              </w:rPr>
              <w:t xml:space="preserve">新服务项目 </w:t>
            </w:r>
            <w:r>
              <w:rPr>
                <w:rFonts w:hint="eastAsia"/>
              </w:rPr>
              <w:sym w:font="Wingdings" w:char="00A8"/>
            </w:r>
            <w:r>
              <w:rPr>
                <w:rFonts w:hint="eastAsia"/>
              </w:rPr>
              <w:t>技术改进</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rPr>
            </w:pPr>
            <w:r>
              <w:rPr>
                <w:rFonts w:hint="eastAsia"/>
              </w:rPr>
              <w:t>设计开发的主体：</w:t>
            </w:r>
            <w:r>
              <w:rPr>
                <w:rFonts w:hint="eastAsia"/>
              </w:rPr>
              <w:sym w:font="Wingdings" w:char="00A8"/>
            </w:r>
            <w:r>
              <w:rPr>
                <w:rFonts w:hint="eastAsia"/>
              </w:rPr>
              <w:t xml:space="preserve">自主开发  </w:t>
            </w:r>
            <w:r>
              <w:rPr>
                <w:rFonts w:hint="eastAsia"/>
              </w:rPr>
              <w:sym w:font="Wingdings" w:char="00A8"/>
            </w:r>
            <w:r>
              <w:rPr>
                <w:rFonts w:hint="eastAsia"/>
              </w:rPr>
              <w:t xml:space="preserve">外包   </w:t>
            </w:r>
            <w:r>
              <w:rPr>
                <w:rFonts w:hint="eastAsia"/>
              </w:rPr>
              <w:sym w:font="Wingdings" w:char="00A8"/>
            </w:r>
            <w:r>
              <w:rPr>
                <w:rFonts w:hint="eastAsia"/>
              </w:rPr>
              <w:t>购买新</w:t>
            </w:r>
            <w:r>
              <w:rPr>
                <w:rFonts w:hint="eastAsia"/>
                <w:lang w:val="en-US" w:eastAsia="zh-CN"/>
              </w:rPr>
              <w:t>产品</w:t>
            </w:r>
          </w:p>
          <w:p>
            <w:pPr>
              <w:pStyle w:val="2"/>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textAlignment w:val="auto"/>
              <w:rPr>
                <w:rFonts w:hint="default" w:eastAsia="宋体"/>
                <w:lang w:val="en-US" w:eastAsia="zh-CN"/>
              </w:rPr>
            </w:pPr>
            <w:r>
              <w:rPr>
                <w:rFonts w:hint="eastAsia" w:cs="Times New Roman"/>
                <w:kern w:val="2"/>
                <w:sz w:val="21"/>
                <w:szCs w:val="22"/>
                <w:highlight w:val="none"/>
                <w:lang w:val="en-US" w:eastAsia="zh-CN" w:bidi="ar-SA"/>
              </w:rPr>
              <w:t>基本</w:t>
            </w:r>
            <w:r>
              <w:rPr>
                <w:rFonts w:hint="eastAsia" w:ascii="Times New Roman" w:hAnsi="Times New Roman" w:eastAsia="宋体" w:cs="Times New Roman"/>
                <w:kern w:val="2"/>
                <w:sz w:val="21"/>
                <w:szCs w:val="22"/>
                <w:highlight w:val="none"/>
                <w:lang w:val="en-US" w:eastAsia="zh-CN" w:bidi="ar-SA"/>
              </w:rPr>
              <w:t>满足要求。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tcPr>
          <w:p>
            <w:pPr>
              <w:spacing w:line="240" w:lineRule="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rPr>
              <w:t>能源绩效和能源管理体系的监视、测量、分析和评价</w:t>
            </w:r>
          </w:p>
        </w:tc>
        <w:tc>
          <w:tcPr>
            <w:tcW w:w="960" w:type="dxa"/>
          </w:tcPr>
          <w:p>
            <w:pPr>
              <w:spacing w:line="240" w:lineRule="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rPr>
              <w:t xml:space="preserve">9.1.1 </w:t>
            </w:r>
          </w:p>
        </w:tc>
        <w:tc>
          <w:tcPr>
            <w:tcW w:w="10004" w:type="dxa"/>
          </w:tcPr>
          <w:p>
            <w:pPr>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宋体"/>
                <w:lang w:val="en-US" w:eastAsia="zh-CN"/>
              </w:rPr>
            </w:pPr>
            <w:r>
              <w:rPr>
                <w:rFonts w:hint="eastAsia" w:ascii="宋体" w:hAnsi="宋体" w:eastAsia="宋体" w:cs="宋体"/>
              </w:rPr>
              <w:t>文件名称</w:t>
            </w:r>
            <w:r>
              <w:rPr>
                <w:rFonts w:hint="eastAsia" w:ascii="宋体" w:hAnsi="宋体" w:eastAsia="宋体" w:cs="宋体"/>
                <w:lang w:eastAsia="zh-CN"/>
              </w:rPr>
              <w:t>：</w:t>
            </w:r>
            <w:r>
              <w:rPr>
                <w:rFonts w:hint="eastAsia" w:ascii="宋体" w:hAnsi="宋体" w:eastAsia="宋体" w:cs="宋体"/>
                <w:lang w:val="en-US" w:eastAsia="zh-CN"/>
              </w:rPr>
              <w:t>如：</w:t>
            </w:r>
            <w:r>
              <w:rPr>
                <w:rFonts w:hint="eastAsia" w:ascii="宋体" w:hAnsi="宋体" w:eastAsia="宋体" w:cs="宋体"/>
                <w:lang w:val="en-US" w:eastAsia="zh-CN"/>
              </w:rPr>
              <w:sym w:font="Wingdings" w:char="00FE"/>
            </w:r>
            <w:r>
              <w:rPr>
                <w:rFonts w:hint="eastAsia" w:ascii="宋体" w:hAnsi="宋体" w:eastAsia="宋体" w:cs="宋体"/>
                <w:lang w:val="en-US" w:eastAsia="zh-CN"/>
              </w:rPr>
              <w:t>管理手册9.1.1条款、</w:t>
            </w:r>
            <w:r>
              <w:rPr>
                <w:rFonts w:hint="eastAsia" w:ascii="宋体" w:hAnsi="宋体" w:eastAsia="宋体" w:cs="宋体"/>
                <w:lang w:val="en-US" w:eastAsia="zh-CN"/>
              </w:rPr>
              <w:sym w:font="Wingdings" w:char="00FE"/>
            </w:r>
            <w:r>
              <w:rPr>
                <w:rFonts w:hint="eastAsia" w:ascii="宋体" w:hAnsi="宋体" w:eastAsia="宋体" w:cs="宋体"/>
                <w:lang w:val="en-US" w:eastAsia="zh-CN"/>
              </w:rPr>
              <w:t>《</w:t>
            </w:r>
            <w:r>
              <w:rPr>
                <w:rFonts w:hint="eastAsia" w:ascii="宋体" w:hAnsi="宋体" w:eastAsia="宋体" w:cs="宋体"/>
              </w:rPr>
              <w:t>绩效监测控制程序</w:t>
            </w:r>
            <w:r>
              <w:rPr>
                <w:rFonts w:hint="eastAsia" w:ascii="宋体" w:hAnsi="宋体" w:eastAsia="宋体" w:cs="宋体"/>
                <w:lang w:val="en-US" w:eastAsia="zh-CN"/>
              </w:rPr>
              <w:t>》。</w:t>
            </w:r>
          </w:p>
          <w:p>
            <w:pPr>
              <w:pStyle w:val="19"/>
              <w:keepNext w:val="0"/>
              <w:keepLines w:val="0"/>
              <w:pageBreakBefore w:val="0"/>
              <w:widowControl w:val="0"/>
              <w:numPr>
                <w:ilvl w:val="0"/>
                <w:numId w:val="0"/>
              </w:numPr>
              <w:tabs>
                <w:tab w:val="left" w:pos="1936"/>
              </w:tabs>
              <w:kinsoku/>
              <w:wordWrap/>
              <w:overflowPunct/>
              <w:topLinePunct w:val="0"/>
              <w:autoSpaceDE/>
              <w:autoSpaceDN/>
              <w:bidi w:val="0"/>
              <w:adjustRightInd/>
              <w:snapToGrid/>
              <w:spacing w:before="120" w:after="0" w:line="240" w:lineRule="auto"/>
              <w:ind w:right="0" w:rightChars="0"/>
              <w:jc w:val="left"/>
              <w:textAlignment w:val="auto"/>
              <w:rPr>
                <w:rFonts w:hint="eastAsia" w:ascii="宋体" w:hAnsi="宋体" w:eastAsia="宋体" w:cs="宋体"/>
                <w:szCs w:val="22"/>
                <w:lang w:val="en-US" w:eastAsia="zh-CN"/>
              </w:rPr>
            </w:pPr>
            <w:r>
              <w:rPr>
                <w:rFonts w:hint="eastAsia" w:ascii="宋体" w:hAnsi="宋体" w:eastAsia="宋体" w:cs="宋体"/>
                <w:szCs w:val="22"/>
                <w:lang w:val="en-US" w:eastAsia="zh-CN"/>
              </w:rPr>
              <w:t>查《</w:t>
            </w:r>
            <w:r>
              <w:rPr>
                <w:rFonts w:hint="eastAsia" w:ascii="宋体" w:hAnsi="宋体" w:eastAsia="宋体" w:cs="宋体"/>
              </w:rPr>
              <w:t>绩效监测控制程序</w:t>
            </w:r>
            <w:r>
              <w:rPr>
                <w:rFonts w:hint="eastAsia" w:ascii="宋体" w:hAnsi="宋体" w:eastAsia="宋体" w:cs="宋体"/>
                <w:szCs w:val="22"/>
                <w:lang w:val="en-US" w:eastAsia="zh-CN"/>
              </w:rPr>
              <w:t>》规定的监测内容包括 ：有关法律法规的遵循情况；体系运行的覆盖情况；用能系统、过程和环节是否在规定状态下运行；目标、指标的实现情况和能源管理方案的进展情况；考核制度的落实情况；能源计量、统计制度的执行情况；设施设备的运行、维护和检定情况；</w:t>
            </w:r>
          </w:p>
          <w:p>
            <w:pPr>
              <w:pStyle w:val="3"/>
              <w:spacing w:line="240" w:lineRule="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公司、生产技术部每月对能源绩效的相关的关键活动、关键区域、关键设备设施的运行控制情况进行检查和评价，以便及时发现问题并采取措施进行有效控制。包括：能源目标和指标的实现情况；能源管理实施方案进展和效果；能源绩效参数的变化；关键运行特性的控制；优控能源绩效改进机会的控制；实际能源消耗与预期的对比；检查和评价的方法包括目测、实测、巡视、关键参数记录的分析等。按规定的控制准则监测工艺运行参数,各主要用能部门指定专人对部门用能情况进行巡视和监控，确保关键运行特性得到逐级控制，发现的用能异常情况应及时在设备运行记录中体现并及时处置或反馈给责任部门处理。对于发现的较大偏差，应上报生产部,由生产部组织调查原因,采取纠偏措施。</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有关法律法规的遵循情况；见9.1.2审核记录；</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体系运行的覆盖情况；见综合部内审记录、管理层管理评审记录；</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用能系统、过程和环节是否在规定状态下运行；现场巡视生产部未发现不正常状态；</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目标、指标的实现情况和能源管理方案的进展情况按计划实施。</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能源计量、统计制度的执行情况；用于贸易结算的能源计量主要是</w:t>
            </w:r>
            <w:r>
              <w:rPr>
                <w:rFonts w:hint="eastAsia" w:ascii="宋体" w:hAnsi="宋体" w:eastAsia="宋体" w:cs="宋体"/>
                <w:kern w:val="2"/>
                <w:sz w:val="21"/>
                <w:szCs w:val="22"/>
                <w:highlight w:val="none"/>
                <w:lang w:val="en-US" w:eastAsia="zh-CN" w:bidi="ar-SA"/>
              </w:rPr>
              <w:t>供方电力局和自来水公司</w:t>
            </w:r>
            <w:r>
              <w:rPr>
                <w:rFonts w:hint="eastAsia" w:ascii="宋体" w:hAnsi="宋体" w:eastAsia="宋体" w:cs="宋体"/>
                <w:kern w:val="2"/>
                <w:sz w:val="21"/>
                <w:szCs w:val="22"/>
                <w:lang w:val="en-US" w:eastAsia="zh-CN" w:bidi="ar-SA"/>
              </w:rPr>
              <w:t>提供设备并安装进行计量，公司对能源计量不控制；已沟通</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组织提供的计算数据和分析：见6.6条款及8.1条款审核记录。</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企业的能源种类有：电和水及车用的柴油；主要能源使用为：电；影响主要能源使用的相关变量见6.3条款审核记录。</w:t>
            </w:r>
          </w:p>
          <w:p>
            <w:pPr>
              <w:pStyle w:val="3"/>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kern w:val="2"/>
                <w:sz w:val="21"/>
                <w:szCs w:val="24"/>
                <w:lang w:val="en-US" w:eastAsia="zh-CN" w:bidi="ar-SA"/>
              </w:rPr>
            </w:pPr>
            <w:r>
              <w:rPr>
                <w:rFonts w:hint="eastAsia" w:ascii="宋体" w:hAnsi="宋体" w:eastAsia="宋体" w:cs="宋体"/>
                <w:kern w:val="2"/>
                <w:sz w:val="21"/>
                <w:szCs w:val="22"/>
                <w:lang w:val="en-US" w:eastAsia="zh-CN" w:bidi="ar-SA"/>
              </w:rPr>
              <w:t>能源数据分析：2022年1-10月份的综合能耗：</w:t>
            </w:r>
            <w:r>
              <w:rPr>
                <w:rFonts w:hint="eastAsia" w:ascii="Times New Roman" w:hAnsi="Times New Roman"/>
                <w:kern w:val="2"/>
                <w:sz w:val="21"/>
                <w:szCs w:val="24"/>
                <w:lang w:val="en-US" w:eastAsia="zh-CN" w:bidi="ar-SA"/>
              </w:rPr>
              <w:t>2</w:t>
            </w:r>
            <w:r>
              <w:rPr>
                <w:rFonts w:hint="eastAsia"/>
                <w:kern w:val="2"/>
                <w:sz w:val="21"/>
                <w:szCs w:val="24"/>
                <w:lang w:val="en-US" w:eastAsia="zh-CN" w:bidi="ar-SA"/>
              </w:rPr>
              <w:t>51150kce；</w:t>
            </w:r>
          </w:p>
          <w:p>
            <w:pPr>
              <w:pStyle w:val="4"/>
              <w:numPr>
                <w:ilvl w:val="0"/>
                <w:numId w:val="0"/>
              </w:numPr>
              <w:ind w:firstLine="1470" w:firstLineChars="700"/>
              <w:rPr>
                <w:rFonts w:hint="eastAsia"/>
                <w:kern w:val="2"/>
                <w:sz w:val="21"/>
                <w:szCs w:val="24"/>
                <w:lang w:val="en-US" w:eastAsia="zh-CN" w:bidi="ar-SA"/>
              </w:rPr>
            </w:pPr>
            <w:r>
              <w:rPr>
                <w:rFonts w:hint="eastAsia" w:ascii="宋体" w:hAnsi="宋体" w:eastAsia="宋体" w:cs="宋体"/>
                <w:kern w:val="2"/>
                <w:sz w:val="21"/>
                <w:szCs w:val="22"/>
                <w:lang w:val="en-US" w:eastAsia="zh-CN" w:bidi="ar-SA"/>
              </w:rPr>
              <w:t>2022年1-10月份的公司总产值：</w:t>
            </w:r>
            <w:r>
              <w:rPr>
                <w:rFonts w:hint="eastAsia" w:ascii="Times New Roman" w:hAnsi="Times New Roman"/>
                <w:kern w:val="2"/>
                <w:sz w:val="21"/>
                <w:szCs w:val="24"/>
                <w:lang w:val="en-US" w:eastAsia="zh-CN" w:bidi="ar-SA"/>
              </w:rPr>
              <w:t>35671</w:t>
            </w:r>
            <w:r>
              <w:rPr>
                <w:rFonts w:hint="eastAsia"/>
                <w:kern w:val="2"/>
                <w:sz w:val="21"/>
                <w:szCs w:val="24"/>
                <w:lang w:val="en-US" w:eastAsia="zh-CN" w:bidi="ar-SA"/>
              </w:rPr>
              <w:t>万元；</w:t>
            </w:r>
          </w:p>
          <w:p>
            <w:pPr>
              <w:pStyle w:val="4"/>
              <w:numPr>
                <w:ilvl w:val="0"/>
                <w:numId w:val="0"/>
              </w:numPr>
              <w:ind w:firstLine="1470" w:firstLineChars="700"/>
              <w:rPr>
                <w:rFonts w:hint="default"/>
                <w:kern w:val="2"/>
                <w:sz w:val="21"/>
                <w:szCs w:val="24"/>
                <w:highlight w:val="none"/>
                <w:lang w:val="en-US" w:eastAsia="zh-CN" w:bidi="ar-SA"/>
              </w:rPr>
            </w:pPr>
            <w:r>
              <w:rPr>
                <w:rFonts w:hint="eastAsia"/>
                <w:kern w:val="2"/>
                <w:sz w:val="21"/>
                <w:szCs w:val="24"/>
                <w:highlight w:val="none"/>
                <w:lang w:val="en-US" w:eastAsia="zh-CN" w:bidi="ar-SA"/>
              </w:rPr>
              <w:t>2022年1-10月份的公司总产量：777361.58m</w:t>
            </w:r>
            <w:r>
              <w:rPr>
                <w:rFonts w:hint="eastAsia"/>
                <w:kern w:val="2"/>
                <w:sz w:val="21"/>
                <w:szCs w:val="24"/>
                <w:highlight w:val="none"/>
                <w:vertAlign w:val="superscript"/>
                <w:lang w:val="en-US" w:eastAsia="zh-CN" w:bidi="ar-SA"/>
              </w:rPr>
              <w:t>3；</w:t>
            </w:r>
          </w:p>
          <w:p>
            <w:pPr>
              <w:pStyle w:val="3"/>
              <w:spacing w:line="240" w:lineRule="auto"/>
              <w:ind w:firstLine="1470" w:firstLineChars="700"/>
              <w:rPr>
                <w:rFonts w:hint="eastAsia" w:ascii="宋体" w:hAnsi="宋体" w:eastAsia="宋体" w:cs="宋体"/>
                <w:kern w:val="2"/>
                <w:sz w:val="21"/>
                <w:szCs w:val="22"/>
                <w:highlight w:val="none"/>
                <w:lang w:val="en-US" w:eastAsia="zh-CN" w:bidi="ar-SA"/>
              </w:rPr>
            </w:pPr>
            <w:r>
              <w:rPr>
                <w:rFonts w:hint="eastAsia" w:ascii="宋体" w:hAnsi="宋体" w:eastAsia="宋体" w:cs="宋体"/>
                <w:kern w:val="2"/>
                <w:sz w:val="21"/>
                <w:szCs w:val="22"/>
                <w:highlight w:val="none"/>
                <w:lang w:val="en-US" w:eastAsia="zh-CN" w:bidi="ar-SA"/>
              </w:rPr>
              <w:t>2022年1-10月份单位产品生产能耗为：0.3kce/m</w:t>
            </w:r>
            <w:r>
              <w:rPr>
                <w:rFonts w:hint="eastAsia" w:ascii="宋体" w:hAnsi="宋体" w:eastAsia="宋体" w:cs="宋体"/>
                <w:kern w:val="2"/>
                <w:sz w:val="21"/>
                <w:szCs w:val="22"/>
                <w:highlight w:val="none"/>
                <w:vertAlign w:val="superscript"/>
                <w:lang w:val="en-US" w:eastAsia="zh-CN" w:bidi="ar-SA"/>
              </w:rPr>
              <w:t>3</w:t>
            </w:r>
            <w:r>
              <w:rPr>
                <w:rFonts w:hint="eastAsia" w:ascii="宋体" w:hAnsi="宋体" w:eastAsia="宋体" w:cs="宋体"/>
                <w:kern w:val="2"/>
                <w:sz w:val="21"/>
                <w:szCs w:val="22"/>
                <w:highlight w:val="none"/>
                <w:lang w:val="en-US" w:eastAsia="zh-CN" w:bidi="ar-SA"/>
              </w:rPr>
              <w:t>；</w:t>
            </w:r>
          </w:p>
          <w:p>
            <w:pPr>
              <w:pStyle w:val="3"/>
              <w:spacing w:line="240" w:lineRule="auto"/>
              <w:ind w:firstLine="1470" w:firstLineChars="700"/>
              <w:rPr>
                <w:rFonts w:hint="eastAsia" w:ascii="宋体" w:hAnsi="宋体" w:eastAsia="宋体" w:cs="宋体"/>
                <w:kern w:val="2"/>
                <w:sz w:val="21"/>
                <w:szCs w:val="22"/>
                <w:highlight w:val="none"/>
                <w:lang w:val="en-US" w:eastAsia="zh-CN" w:bidi="ar-SA"/>
              </w:rPr>
            </w:pPr>
            <w:r>
              <w:rPr>
                <w:rFonts w:hint="eastAsia" w:ascii="宋体" w:hAnsi="宋体" w:eastAsia="宋体" w:cs="宋体"/>
                <w:kern w:val="2"/>
                <w:sz w:val="21"/>
                <w:szCs w:val="22"/>
                <w:highlight w:val="none"/>
                <w:lang w:val="en-US" w:eastAsia="zh-CN" w:bidi="ar-SA"/>
              </w:rPr>
              <w:t xml:space="preserve"> 2022年1-10月份单位产品综合能耗为：0.32kce/m</w:t>
            </w:r>
            <w:r>
              <w:rPr>
                <w:rFonts w:hint="eastAsia" w:ascii="宋体" w:hAnsi="宋体" w:eastAsia="宋体" w:cs="宋体"/>
                <w:kern w:val="2"/>
                <w:sz w:val="21"/>
                <w:szCs w:val="22"/>
                <w:highlight w:val="none"/>
                <w:vertAlign w:val="superscript"/>
                <w:lang w:val="en-US" w:eastAsia="zh-CN" w:bidi="ar-SA"/>
              </w:rPr>
              <w:t>3</w:t>
            </w:r>
            <w:r>
              <w:rPr>
                <w:rFonts w:hint="eastAsia" w:ascii="宋体" w:hAnsi="宋体" w:eastAsia="宋体" w:cs="宋体"/>
                <w:kern w:val="2"/>
                <w:sz w:val="21"/>
                <w:szCs w:val="22"/>
                <w:highlight w:val="none"/>
                <w:lang w:val="en-US" w:eastAsia="zh-CN" w:bidi="ar-SA"/>
              </w:rPr>
              <w:t>；</w:t>
            </w:r>
          </w:p>
          <w:p>
            <w:pPr>
              <w:pStyle w:val="3"/>
              <w:spacing w:line="240" w:lineRule="auto"/>
              <w:ind w:firstLine="1470" w:firstLineChars="700"/>
              <w:rPr>
                <w:rFonts w:hint="default"/>
                <w:lang w:val="en-US" w:eastAsia="zh-CN"/>
              </w:rPr>
            </w:pPr>
            <w:r>
              <w:rPr>
                <w:rFonts w:hint="eastAsia" w:ascii="宋体" w:hAnsi="宋体" w:eastAsia="宋体" w:cs="宋体"/>
                <w:kern w:val="2"/>
                <w:sz w:val="21"/>
                <w:szCs w:val="22"/>
                <w:highlight w:val="none"/>
                <w:lang w:val="en-US" w:eastAsia="zh-CN" w:bidi="ar-SA"/>
              </w:rPr>
              <w:t xml:space="preserve"> 2022年1-10月份单位产值综合能耗为：7.04kce/万元；</w:t>
            </w:r>
          </w:p>
          <w:p>
            <w:pPr>
              <w:pStyle w:val="13"/>
              <w:spacing w:line="240" w:lineRule="auto"/>
              <w:rPr>
                <w:rFonts w:hint="default"/>
                <w:lang w:val="en-US" w:eastAsia="zh-CN"/>
              </w:rPr>
            </w:pPr>
            <w:r>
              <w:rPr>
                <w:rFonts w:hint="eastAsia" w:ascii="宋体" w:hAnsi="宋体" w:eastAsia="宋体" w:cs="宋体"/>
                <w:kern w:val="2"/>
                <w:sz w:val="21"/>
                <w:szCs w:val="22"/>
                <w:lang w:val="en-US" w:eastAsia="zh-CN" w:bidi="ar-SA"/>
              </w:rPr>
              <w:t xml:space="preserve"> 基本符合要求。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tcPr>
          <w:p>
            <w:pPr>
              <w:spacing w:line="240" w:lineRule="auto"/>
              <w:rPr>
                <w:rFonts w:hint="eastAsia" w:ascii="宋体" w:hAnsi="宋体" w:eastAsia="宋体" w:cs="Times New Roman"/>
                <w:b w:val="0"/>
                <w:bCs w:val="0"/>
                <w:sz w:val="21"/>
                <w:szCs w:val="21"/>
              </w:rPr>
            </w:pPr>
            <w:r>
              <w:rPr>
                <w:rFonts w:hint="eastAsia"/>
                <w:lang w:val="en-US" w:eastAsia="zh-CN"/>
              </w:rPr>
              <w:t>法律法规、</w:t>
            </w:r>
            <w:r>
              <w:rPr>
                <w:rFonts w:hint="eastAsia"/>
              </w:rPr>
              <w:t>合规</w:t>
            </w:r>
            <w:r>
              <w:rPr>
                <w:rFonts w:hint="eastAsia"/>
                <w:lang w:val="en-US" w:eastAsia="zh-CN"/>
              </w:rPr>
              <w:t>性评价</w:t>
            </w:r>
          </w:p>
        </w:tc>
        <w:tc>
          <w:tcPr>
            <w:tcW w:w="960" w:type="dxa"/>
          </w:tcPr>
          <w:p>
            <w:pPr>
              <w:spacing w:line="240" w:lineRule="auto"/>
              <w:rPr>
                <w:rFonts w:hint="default" w:ascii="宋体" w:hAnsi="宋体" w:eastAsia="宋体" w:cs="Times New Roman"/>
                <w:b w:val="0"/>
                <w:bCs w:val="0"/>
                <w:sz w:val="21"/>
                <w:szCs w:val="21"/>
                <w:lang w:val="en-US" w:eastAsia="zh-CN"/>
              </w:rPr>
            </w:pPr>
            <w:r>
              <w:rPr>
                <w:rFonts w:hint="eastAsia" w:ascii="宋体" w:hAnsi="宋体" w:cs="Times New Roman"/>
                <w:b w:val="0"/>
                <w:bCs w:val="0"/>
                <w:sz w:val="21"/>
                <w:szCs w:val="21"/>
                <w:lang w:val="en-US" w:eastAsia="zh-CN"/>
              </w:rPr>
              <w:t>9.1.2</w:t>
            </w:r>
          </w:p>
        </w:tc>
        <w:tc>
          <w:tcPr>
            <w:tcW w:w="10004" w:type="dxa"/>
          </w:tcPr>
          <w:p>
            <w:pPr>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eastAsia="zh-CN"/>
              </w:rPr>
            </w:pPr>
            <w:r>
              <w:rPr>
                <w:rFonts w:hint="eastAsia"/>
              </w:rPr>
              <w:t>文件名称</w:t>
            </w:r>
            <w:r>
              <w:rPr>
                <w:rFonts w:hint="eastAsia"/>
                <w:lang w:eastAsia="zh-CN"/>
              </w:rPr>
              <w:t>：</w:t>
            </w:r>
            <w:r>
              <w:rPr>
                <w:rFonts w:hint="eastAsia"/>
              </w:rPr>
              <w:t>如：</w:t>
            </w:r>
            <w:r>
              <w:rPr/>
              <w:sym w:font="Wingdings" w:char="00FE"/>
            </w:r>
            <w:r>
              <w:rPr>
                <w:rFonts w:hint="eastAsia"/>
              </w:rPr>
              <w:t>手册第</w:t>
            </w:r>
            <w:r>
              <w:rPr>
                <w:rFonts w:hint="eastAsia"/>
                <w:lang w:val="en-US" w:eastAsia="zh-CN"/>
              </w:rPr>
              <w:t>4.2</w:t>
            </w:r>
            <w:r>
              <w:rPr>
                <w:rFonts w:hint="eastAsia"/>
              </w:rPr>
              <w:t>条款、</w:t>
            </w:r>
            <w:r>
              <w:rPr>
                <w:rFonts w:hint="eastAsia"/>
                <w:lang w:val="en-US" w:eastAsia="zh-CN"/>
              </w:rPr>
              <w:t>9.1.2条款、</w:t>
            </w:r>
            <w:r>
              <w:rPr/>
              <w:sym w:font="Wingdings" w:char="00A8"/>
            </w:r>
            <w:r>
              <w:rPr>
                <w:rFonts w:hint="eastAsia"/>
              </w:rPr>
              <w:t>《</w:t>
            </w:r>
            <w:r>
              <w:rPr>
                <w:rFonts w:hint="eastAsia" w:asciiTheme="minorEastAsia" w:hAnsiTheme="minorEastAsia" w:eastAsiaTheme="minorEastAsia" w:cstheme="minorEastAsia"/>
                <w:szCs w:val="21"/>
              </w:rPr>
              <w:t>法律法规和其他要求获取识别更新控制程序</w:t>
            </w:r>
            <w:r>
              <w:rPr>
                <w:rFonts w:hint="eastAsia"/>
              </w:rPr>
              <w:t>》</w:t>
            </w:r>
            <w:r>
              <w:rPr>
                <w:rFonts w:hint="eastAsia"/>
                <w:lang w:eastAsia="zh-CN"/>
              </w:rPr>
              <w:t>；</w:t>
            </w:r>
          </w:p>
          <w:p>
            <w:pPr>
              <w:spacing w:line="240" w:lineRule="auto"/>
            </w:pPr>
            <w:r>
              <w:rPr>
                <w:rFonts w:hint="eastAsia"/>
              </w:rPr>
              <w:t>组织收集法律法规和其他要求的渠道：</w:t>
            </w:r>
          </w:p>
          <w:p>
            <w:pPr>
              <w:spacing w:line="240" w:lineRule="auto"/>
            </w:pPr>
            <w:r>
              <w:rPr/>
              <w:sym w:font="Wingdings" w:char="00FE"/>
            </w:r>
            <w:r>
              <w:rPr>
                <w:rFonts w:hint="eastAsia"/>
              </w:rPr>
              <w:t xml:space="preserve">专业网站  </w:t>
            </w:r>
            <w:r>
              <w:rPr/>
              <w:sym w:font="Wingdings" w:char="00FE"/>
            </w:r>
            <w:r>
              <w:rPr>
                <w:rFonts w:hint="eastAsia"/>
              </w:rPr>
              <w:t xml:space="preserve">主管机构    </w:t>
            </w:r>
            <w:r>
              <w:rPr/>
              <w:sym w:font="Wingdings" w:char="00FE"/>
            </w:r>
            <w:r>
              <w:rPr>
                <w:rFonts w:hint="eastAsia"/>
              </w:rPr>
              <w:t xml:space="preserve">专业书店   </w:t>
            </w:r>
            <w:r>
              <w:rPr/>
              <w:sym w:font="Wingdings" w:char="00A8"/>
            </w:r>
            <w:r>
              <w:rPr>
                <w:rFonts w:hint="eastAsia"/>
              </w:rPr>
              <w:t>其他</w:t>
            </w:r>
          </w:p>
          <w:p>
            <w:pPr>
              <w:spacing w:line="240" w:lineRule="auto"/>
            </w:pPr>
            <w:r>
              <w:rPr>
                <w:rFonts w:hint="eastAsia"/>
              </w:rPr>
              <w:t>列举主要的相关法律法规是：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0"/>
              <w:gridCol w:w="1167"/>
              <w:gridCol w:w="167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noWrap w:val="0"/>
                  <w:vAlign w:val="top"/>
                </w:tcPr>
                <w:p>
                  <w:pPr>
                    <w:spacing w:line="240" w:lineRule="auto"/>
                  </w:pPr>
                  <w:r>
                    <w:rPr>
                      <w:rFonts w:hint="eastAsia"/>
                    </w:rPr>
                    <w:t>法律法规名称</w:t>
                  </w:r>
                </w:p>
              </w:tc>
              <w:tc>
                <w:tcPr>
                  <w:tcW w:w="1167" w:type="dxa"/>
                  <w:noWrap w:val="0"/>
                  <w:vAlign w:val="top"/>
                </w:tcPr>
                <w:p>
                  <w:pPr>
                    <w:spacing w:line="240" w:lineRule="auto"/>
                  </w:pPr>
                  <w:r>
                    <w:rPr>
                      <w:rFonts w:hint="eastAsia"/>
                    </w:rPr>
                    <w:t>具体条款</w:t>
                  </w:r>
                </w:p>
              </w:tc>
              <w:tc>
                <w:tcPr>
                  <w:tcW w:w="1671" w:type="dxa"/>
                  <w:noWrap w:val="0"/>
                  <w:vAlign w:val="top"/>
                </w:tcPr>
                <w:p>
                  <w:pPr>
                    <w:spacing w:line="240" w:lineRule="auto"/>
                  </w:pPr>
                  <w:r>
                    <w:rPr>
                      <w:rFonts w:hint="eastAsia"/>
                    </w:rPr>
                    <w:t>应用过程</w:t>
                  </w:r>
                </w:p>
              </w:tc>
              <w:tc>
                <w:tcPr>
                  <w:tcW w:w="1453" w:type="dxa"/>
                  <w:noWrap w:val="0"/>
                  <w:vAlign w:val="top"/>
                </w:tcPr>
                <w:p>
                  <w:pPr>
                    <w:spacing w:line="240" w:lineRule="auto"/>
                  </w:pPr>
                  <w:r>
                    <w:rPr>
                      <w:rFonts w:hint="eastAsia"/>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160" w:type="dxa"/>
                  <w:noWrap w:val="0"/>
                  <w:vAlign w:val="top"/>
                </w:tcPr>
                <w:p>
                  <w:pPr>
                    <w:spacing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GB17167-2006用能单位能源计量器具配备及管理导则</w:t>
                  </w:r>
                </w:p>
              </w:tc>
              <w:tc>
                <w:tcPr>
                  <w:tcW w:w="1167" w:type="dxa"/>
                  <w:noWrap w:val="0"/>
                  <w:vAlign w:val="center"/>
                </w:tcPr>
                <w:p>
                  <w:pPr>
                    <w:spacing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全部</w:t>
                  </w:r>
                </w:p>
              </w:tc>
              <w:tc>
                <w:tcPr>
                  <w:tcW w:w="1671" w:type="dxa"/>
                  <w:noWrap w:val="0"/>
                  <w:vAlign w:val="center"/>
                </w:tcPr>
                <w:p>
                  <w:pPr>
                    <w:spacing w:line="240" w:lineRule="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能源计量</w:t>
                  </w:r>
                </w:p>
              </w:tc>
              <w:tc>
                <w:tcPr>
                  <w:tcW w:w="1453" w:type="dxa"/>
                  <w:noWrap w:val="0"/>
                  <w:vAlign w:val="center"/>
                </w:tcPr>
                <w:p>
                  <w:pPr>
                    <w:spacing w:line="240" w:lineRule="auto"/>
                    <w:rPr>
                      <w:rFonts w:hint="default" w:ascii="Times New Roman" w:hAnsi="Times New Roman" w:eastAsia="宋体" w:cs="Times New Roman"/>
                      <w:szCs w:val="22"/>
                      <w:lang w:val="en-US" w:eastAsia="zh-CN"/>
                    </w:rPr>
                  </w:pPr>
                  <w:r>
                    <w:rPr>
                      <w:rFonts w:hint="eastAsia" w:cs="Times New Roman"/>
                      <w:szCs w:val="22"/>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noWrap w:val="0"/>
                  <w:vAlign w:val="top"/>
                </w:tcPr>
                <w:p>
                  <w:pPr>
                    <w:spacing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2589- 2020</w:t>
                  </w:r>
                  <w:r>
                    <w:rPr>
                      <w:rFonts w:hint="eastAsia" w:ascii="Times New Roman" w:hAnsi="Times New Roman" w:eastAsia="宋体" w:cs="Times New Roman"/>
                      <w:szCs w:val="22"/>
                      <w:lang w:val="en-US" w:eastAsia="zh-CN"/>
                    </w:rPr>
                    <w:tab/>
                  </w:r>
                  <w:r>
                    <w:rPr>
                      <w:rFonts w:hint="eastAsia" w:ascii="Times New Roman" w:hAnsi="Times New Roman" w:eastAsia="宋体" w:cs="Times New Roman"/>
                      <w:szCs w:val="22"/>
                      <w:lang w:val="en-US" w:eastAsia="zh-CN"/>
                    </w:rPr>
                    <w:t>综合能耗计算通则</w:t>
                  </w:r>
                </w:p>
              </w:tc>
              <w:tc>
                <w:tcPr>
                  <w:tcW w:w="1167" w:type="dxa"/>
                  <w:noWrap w:val="0"/>
                  <w:vAlign w:val="center"/>
                </w:tcPr>
                <w:p>
                  <w:pPr>
                    <w:spacing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全部</w:t>
                  </w:r>
                </w:p>
              </w:tc>
              <w:tc>
                <w:tcPr>
                  <w:tcW w:w="1671" w:type="dxa"/>
                  <w:noWrap w:val="0"/>
                  <w:vAlign w:val="center"/>
                </w:tcPr>
                <w:p>
                  <w:pPr>
                    <w:spacing w:line="240" w:lineRule="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能源评审</w:t>
                  </w:r>
                  <w:r>
                    <w:rPr>
                      <w:rFonts w:hint="eastAsia" w:cs="Times New Roman"/>
                      <w:szCs w:val="22"/>
                      <w:lang w:val="en-US" w:eastAsia="zh-CN"/>
                    </w:rPr>
                    <w:t>、计算</w:t>
                  </w:r>
                </w:p>
              </w:tc>
              <w:tc>
                <w:tcPr>
                  <w:tcW w:w="1453" w:type="dxa"/>
                  <w:noWrap w:val="0"/>
                  <w:vAlign w:val="center"/>
                </w:tcPr>
                <w:p>
                  <w:pPr>
                    <w:spacing w:line="240" w:lineRule="auto"/>
                    <w:rPr>
                      <w:rFonts w:hint="eastAsia" w:ascii="Times New Roman" w:hAnsi="Times New Roman" w:eastAsia="宋体" w:cs="Times New Roman"/>
                      <w:szCs w:val="22"/>
                      <w:lang w:val="en-US" w:eastAsia="zh-CN"/>
                    </w:rPr>
                  </w:pPr>
                  <w:r>
                    <w:rPr>
                      <w:rFonts w:hint="eastAsia" w:cs="Times New Roman"/>
                      <w:szCs w:val="22"/>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160" w:type="dxa"/>
                  <w:noWrap w:val="0"/>
                  <w:vAlign w:val="top"/>
                </w:tcPr>
                <w:p>
                  <w:pPr>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GB 24789-2009《用水单位水计量器具配备和管理通则》</w:t>
                  </w:r>
                </w:p>
              </w:tc>
              <w:tc>
                <w:tcPr>
                  <w:tcW w:w="1167" w:type="dxa"/>
                  <w:noWrap w:val="0"/>
                  <w:vAlign w:val="center"/>
                </w:tcPr>
                <w:p>
                  <w:pPr>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全部</w:t>
                  </w:r>
                </w:p>
              </w:tc>
              <w:tc>
                <w:tcPr>
                  <w:tcW w:w="1671" w:type="dxa"/>
                  <w:noWrap w:val="0"/>
                  <w:vAlign w:val="center"/>
                </w:tcPr>
                <w:p>
                  <w:pPr>
                    <w:spacing w:line="240" w:lineRule="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能源管理</w:t>
                  </w:r>
                </w:p>
              </w:tc>
              <w:tc>
                <w:tcPr>
                  <w:tcW w:w="1453" w:type="dxa"/>
                  <w:noWrap w:val="0"/>
                  <w:vAlign w:val="center"/>
                </w:tcPr>
                <w:p>
                  <w:pPr>
                    <w:spacing w:line="240" w:lineRule="auto"/>
                    <w:rPr>
                      <w:rFonts w:hint="eastAsia" w:ascii="Times New Roman" w:hAnsi="Times New Roman" w:eastAsia="宋体" w:cs="Times New Roman"/>
                      <w:kern w:val="2"/>
                      <w:sz w:val="21"/>
                      <w:szCs w:val="22"/>
                      <w:lang w:val="en-US" w:eastAsia="zh-CN" w:bidi="ar-SA"/>
                    </w:rPr>
                  </w:pPr>
                  <w:r>
                    <w:rPr>
                      <w:rFonts w:hint="eastAsia" w:cs="Times New Roman"/>
                      <w:szCs w:val="22"/>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160" w:type="dxa"/>
                  <w:noWrap w:val="0"/>
                  <w:vAlign w:val="top"/>
                </w:tcPr>
                <w:p>
                  <w:pPr>
                    <w:spacing w:line="240" w:lineRule="auto"/>
                    <w:rPr>
                      <w:rFonts w:hint="eastAsia" w:ascii="Times New Roman" w:hAnsi="Times New Roman" w:eastAsia="宋体" w:cs="Times New Roman"/>
                      <w:szCs w:val="22"/>
                      <w:lang w:val="en-US" w:eastAsia="zh-CN"/>
                    </w:rPr>
                  </w:pPr>
                  <w:r>
                    <w:rPr>
                      <w:rFonts w:hAnsi="宋体"/>
                      <w:kern w:val="2"/>
                      <w:sz w:val="21"/>
                      <w:szCs w:val="21"/>
                    </w:rPr>
                    <w:t xml:space="preserve">GB/T </w:t>
                  </w:r>
                  <w:r>
                    <w:rPr>
                      <w:rFonts w:hint="eastAsia" w:hAnsi="宋体"/>
                      <w:kern w:val="2"/>
                      <w:sz w:val="21"/>
                      <w:szCs w:val="21"/>
                      <w:lang w:val="en-US" w:eastAsia="zh-CN"/>
                    </w:rPr>
                    <w:t>36888</w:t>
                  </w:r>
                  <w:r>
                    <w:rPr>
                      <w:rFonts w:hAnsi="宋体"/>
                      <w:kern w:val="2"/>
                      <w:sz w:val="21"/>
                      <w:szCs w:val="21"/>
                    </w:rPr>
                    <w:t>-20</w:t>
                  </w:r>
                  <w:r>
                    <w:rPr>
                      <w:rFonts w:hint="eastAsia" w:hAnsi="宋体"/>
                      <w:kern w:val="2"/>
                      <w:sz w:val="21"/>
                      <w:szCs w:val="21"/>
                    </w:rPr>
                    <w:t>18</w:t>
                  </w:r>
                  <w:r>
                    <w:rPr>
                      <w:rFonts w:hAnsi="宋体"/>
                      <w:kern w:val="2"/>
                      <w:sz w:val="21"/>
                      <w:szCs w:val="21"/>
                    </w:rPr>
                    <w:t xml:space="preserve"> </w:t>
                  </w:r>
                  <w:r>
                    <w:rPr>
                      <w:rFonts w:hint="eastAsia" w:hAnsi="宋体"/>
                      <w:kern w:val="2"/>
                      <w:sz w:val="21"/>
                      <w:szCs w:val="21"/>
                      <w:lang w:val="en-US" w:eastAsia="zh-CN"/>
                    </w:rPr>
                    <w:t>预拌混凝土单位产品能源消耗限额等</w:t>
                  </w:r>
                </w:p>
              </w:tc>
              <w:tc>
                <w:tcPr>
                  <w:tcW w:w="1167" w:type="dxa"/>
                  <w:noWrap w:val="0"/>
                  <w:vAlign w:val="center"/>
                </w:tcPr>
                <w:p>
                  <w:pPr>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全部</w:t>
                  </w:r>
                </w:p>
              </w:tc>
              <w:tc>
                <w:tcPr>
                  <w:tcW w:w="1671" w:type="dxa"/>
                  <w:noWrap w:val="0"/>
                  <w:vAlign w:val="center"/>
                </w:tcPr>
                <w:p>
                  <w:pPr>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能源评审</w:t>
                  </w:r>
                  <w:r>
                    <w:rPr>
                      <w:rFonts w:hint="eastAsia" w:cs="Times New Roman"/>
                      <w:szCs w:val="22"/>
                      <w:lang w:val="en-US" w:eastAsia="zh-CN"/>
                    </w:rPr>
                    <w:t>、计算</w:t>
                  </w:r>
                </w:p>
              </w:tc>
              <w:tc>
                <w:tcPr>
                  <w:tcW w:w="1453" w:type="dxa"/>
                  <w:noWrap w:val="0"/>
                  <w:vAlign w:val="center"/>
                </w:tcPr>
                <w:p>
                  <w:pPr>
                    <w:spacing w:line="240" w:lineRule="auto"/>
                    <w:rPr>
                      <w:rFonts w:hint="eastAsia" w:ascii="Times New Roman" w:hAnsi="Times New Roman" w:eastAsia="宋体" w:cs="Times New Roman"/>
                      <w:kern w:val="2"/>
                      <w:sz w:val="21"/>
                      <w:szCs w:val="22"/>
                      <w:lang w:val="en-US" w:eastAsia="zh-CN" w:bidi="ar-SA"/>
                    </w:rPr>
                  </w:pPr>
                  <w:r>
                    <w:rPr>
                      <w:rFonts w:hint="eastAsia" w:cs="Times New Roman"/>
                      <w:szCs w:val="22"/>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160" w:type="dxa"/>
                  <w:noWrap w:val="0"/>
                  <w:vAlign w:val="top"/>
                </w:tcPr>
                <w:p>
                  <w:pPr>
                    <w:spacing w:line="240" w:lineRule="auto"/>
                    <w:rPr>
                      <w:rFonts w:hint="eastAsia" w:ascii="Times New Roman" w:hAnsi="Times New Roman" w:eastAsia="宋体" w:cs="Times New Roman"/>
                      <w:kern w:val="2"/>
                      <w:sz w:val="21"/>
                      <w:szCs w:val="22"/>
                      <w:lang w:val="en-US" w:eastAsia="zh-CN" w:bidi="ar-SA"/>
                    </w:rPr>
                  </w:pPr>
                  <w:r>
                    <w:rPr>
                      <w:rFonts w:hAnsi="宋体"/>
                      <w:kern w:val="2"/>
                      <w:sz w:val="21"/>
                      <w:szCs w:val="21"/>
                    </w:rPr>
                    <w:t xml:space="preserve">GB/T </w:t>
                  </w:r>
                  <w:r>
                    <w:rPr>
                      <w:rFonts w:hint="eastAsia" w:hAnsi="宋体"/>
                      <w:kern w:val="2"/>
                      <w:sz w:val="21"/>
                      <w:szCs w:val="21"/>
                      <w:lang w:val="en-US" w:eastAsia="zh-CN"/>
                    </w:rPr>
                    <w:t>24851</w:t>
                  </w:r>
                  <w:r>
                    <w:rPr>
                      <w:rFonts w:hAnsi="宋体"/>
                      <w:kern w:val="2"/>
                      <w:sz w:val="21"/>
                      <w:szCs w:val="21"/>
                    </w:rPr>
                    <w:t>-</w:t>
                  </w:r>
                  <w:r>
                    <w:rPr>
                      <w:rFonts w:ascii="宋体" w:hAnsi="宋体" w:eastAsia="宋体"/>
                      <w:kern w:val="2"/>
                      <w:sz w:val="21"/>
                      <w:szCs w:val="21"/>
                    </w:rPr>
                    <w:t>2006</w:t>
                  </w:r>
                  <w:r>
                    <w:rPr>
                      <w:rFonts w:hAnsi="宋体"/>
                      <w:kern w:val="2"/>
                      <w:sz w:val="21"/>
                      <w:szCs w:val="21"/>
                    </w:rPr>
                    <w:t xml:space="preserve"> </w:t>
                  </w:r>
                  <w:r>
                    <w:rPr>
                      <w:rFonts w:hint="eastAsia" w:hAnsi="宋体"/>
                      <w:kern w:val="2"/>
                      <w:sz w:val="21"/>
                      <w:szCs w:val="21"/>
                      <w:lang w:val="en-US" w:eastAsia="zh-CN"/>
                    </w:rPr>
                    <w:t>建筑材料行业</w:t>
                  </w:r>
                  <w:r>
                    <w:rPr>
                      <w:rFonts w:hAnsi="宋体"/>
                      <w:kern w:val="2"/>
                      <w:sz w:val="21"/>
                      <w:szCs w:val="21"/>
                    </w:rPr>
                    <w:t>能源计量器具配备和管理</w:t>
                  </w:r>
                  <w:r>
                    <w:rPr>
                      <w:rFonts w:hint="eastAsia" w:hAnsi="宋体"/>
                      <w:kern w:val="2"/>
                      <w:sz w:val="21"/>
                      <w:szCs w:val="21"/>
                      <w:lang w:val="en-US" w:eastAsia="zh-CN"/>
                    </w:rPr>
                    <w:t>要求</w:t>
                  </w:r>
                </w:p>
              </w:tc>
              <w:tc>
                <w:tcPr>
                  <w:tcW w:w="1167" w:type="dxa"/>
                  <w:noWrap w:val="0"/>
                  <w:vAlign w:val="center"/>
                </w:tcPr>
                <w:p>
                  <w:pPr>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全部</w:t>
                  </w:r>
                </w:p>
              </w:tc>
              <w:tc>
                <w:tcPr>
                  <w:tcW w:w="1671" w:type="dxa"/>
                  <w:noWrap w:val="0"/>
                  <w:vAlign w:val="center"/>
                </w:tcPr>
                <w:p>
                  <w:pPr>
                    <w:spacing w:line="240" w:lineRule="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能源计量</w:t>
                  </w:r>
                </w:p>
              </w:tc>
              <w:tc>
                <w:tcPr>
                  <w:tcW w:w="1453" w:type="dxa"/>
                  <w:noWrap w:val="0"/>
                  <w:vAlign w:val="center"/>
                </w:tcPr>
                <w:p>
                  <w:pPr>
                    <w:spacing w:line="240" w:lineRule="auto"/>
                    <w:rPr>
                      <w:rFonts w:hint="default" w:ascii="Times New Roman" w:hAnsi="Times New Roman" w:eastAsia="宋体" w:cs="Times New Roman"/>
                      <w:kern w:val="2"/>
                      <w:sz w:val="21"/>
                      <w:szCs w:val="22"/>
                      <w:lang w:val="en-US" w:eastAsia="zh-CN" w:bidi="ar-SA"/>
                    </w:rPr>
                  </w:pPr>
                  <w:r>
                    <w:rPr>
                      <w:rFonts w:hint="eastAsia" w:cs="Times New Roman"/>
                      <w:szCs w:val="22"/>
                      <w:lang w:val="en-US" w:eastAsia="zh-CN"/>
                    </w:rPr>
                    <w:t>生产部</w:t>
                  </w:r>
                </w:p>
              </w:tc>
            </w:tr>
          </w:tbl>
          <w:p>
            <w:pPr>
              <w:spacing w:line="240" w:lineRule="auto"/>
            </w:pPr>
            <w:r>
              <w:rPr>
                <w:rFonts w:hint="eastAsia"/>
              </w:rPr>
              <w:t>企业的合规性评价是不是按照文件要求执行，结论描述是否准确。</w:t>
            </w:r>
          </w:p>
          <w:p>
            <w:pPr>
              <w:spacing w:line="240" w:lineRule="auto"/>
            </w:pPr>
            <w:r>
              <w:rPr/>
              <w:sym w:font="Wingdings" w:char="00A8"/>
            </w:r>
            <w:r>
              <w:rPr>
                <w:rFonts w:hint="eastAsia"/>
              </w:rPr>
              <w:t>自管理体系建立后/</w:t>
            </w:r>
            <w:r>
              <w:rPr/>
              <w:sym w:font="Wingdings" w:char="00FE"/>
            </w:r>
            <w:r>
              <w:rPr>
                <w:rFonts w:hint="eastAsia"/>
              </w:rPr>
              <w:t>近一年，合规义务如下：</w:t>
            </w:r>
          </w:p>
          <w:p>
            <w:pPr>
              <w:spacing w:line="240" w:lineRule="auto"/>
              <w:rPr>
                <w:rFonts w:hint="eastAsia"/>
                <w:lang w:val="en-US" w:eastAsia="zh-CN"/>
              </w:rPr>
            </w:pPr>
            <w:r>
              <w:rPr>
                <w:rFonts w:hint="eastAsia"/>
                <w:lang w:val="en-US" w:eastAsia="zh-CN"/>
              </w:rPr>
              <w:t>有</w:t>
            </w:r>
            <w:r>
              <w:rPr>
                <w:rFonts w:hint="eastAsia"/>
                <w:lang w:eastAsia="zh-CN"/>
              </w:rPr>
              <w:t>《</w:t>
            </w:r>
            <w:r>
              <w:rPr>
                <w:rFonts w:hint="eastAsia"/>
                <w:lang w:val="en-US" w:eastAsia="zh-CN"/>
              </w:rPr>
              <w:t>合规性评价报告</w:t>
            </w:r>
            <w:r>
              <w:rPr>
                <w:rFonts w:hint="eastAsia"/>
                <w:lang w:eastAsia="zh-CN"/>
              </w:rPr>
              <w:t>》</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3"/>
              <w:gridCol w:w="1737"/>
              <w:gridCol w:w="2045"/>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noWrap w:val="0"/>
                  <w:vAlign w:val="top"/>
                </w:tcPr>
                <w:p>
                  <w:pPr>
                    <w:spacing w:line="240" w:lineRule="auto"/>
                  </w:pPr>
                  <w:r>
                    <w:rPr>
                      <w:rFonts w:hint="eastAsia"/>
                    </w:rPr>
                    <w:t>合规义务</w:t>
                  </w:r>
                </w:p>
              </w:tc>
              <w:tc>
                <w:tcPr>
                  <w:tcW w:w="1737" w:type="dxa"/>
                  <w:noWrap w:val="0"/>
                  <w:vAlign w:val="top"/>
                </w:tcPr>
                <w:p>
                  <w:pPr>
                    <w:spacing w:line="240" w:lineRule="auto"/>
                  </w:pPr>
                  <w:r>
                    <w:rPr>
                      <w:rFonts w:hint="eastAsia"/>
                    </w:rPr>
                    <w:t>评价日期</w:t>
                  </w:r>
                </w:p>
              </w:tc>
              <w:tc>
                <w:tcPr>
                  <w:tcW w:w="2045" w:type="dxa"/>
                  <w:noWrap w:val="0"/>
                  <w:vAlign w:val="top"/>
                </w:tcPr>
                <w:p>
                  <w:pPr>
                    <w:spacing w:line="240" w:lineRule="auto"/>
                  </w:pPr>
                  <w:r>
                    <w:rPr>
                      <w:rFonts w:hint="eastAsia"/>
                    </w:rPr>
                    <w:t>评价概述或结果</w:t>
                  </w:r>
                </w:p>
              </w:tc>
              <w:tc>
                <w:tcPr>
                  <w:tcW w:w="1828" w:type="dxa"/>
                  <w:noWrap w:val="0"/>
                  <w:vAlign w:val="top"/>
                </w:tcPr>
                <w:p>
                  <w:pPr>
                    <w:spacing w:line="240" w:lineRule="auto"/>
                  </w:pPr>
                  <w:r>
                    <w:rPr>
                      <w:rFonts w:hint="eastAsia"/>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noWrap w:val="0"/>
                  <w:vAlign w:val="top"/>
                </w:tcPr>
                <w:p>
                  <w:pPr>
                    <w:spacing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GB17167-2006用能单位能源计量器具配备及管理导则</w:t>
                  </w:r>
                </w:p>
              </w:tc>
              <w:tc>
                <w:tcPr>
                  <w:tcW w:w="1737" w:type="dxa"/>
                  <w:noWrap w:val="0"/>
                  <w:vAlign w:val="top"/>
                </w:tcPr>
                <w:p>
                  <w:pPr>
                    <w:spacing w:line="240" w:lineRule="auto"/>
                    <w:rPr>
                      <w:rFonts w:hint="default" w:ascii="Times New Roman" w:hAnsi="Times New Roman" w:eastAsia="宋体" w:cs="Times New Roman"/>
                      <w:szCs w:val="22"/>
                      <w:lang w:val="en-US" w:eastAsia="zh-CN"/>
                    </w:rPr>
                  </w:pPr>
                  <w:r>
                    <w:rPr>
                      <w:rFonts w:hint="eastAsia" w:eastAsia="宋体" w:cs="Times New Roman"/>
                      <w:kern w:val="2"/>
                      <w:sz w:val="21"/>
                      <w:szCs w:val="22"/>
                      <w:lang w:val="en-US" w:eastAsia="zh-CN" w:bidi="ar-SA"/>
                    </w:rPr>
                    <w:t>2022.5.30</w:t>
                  </w:r>
                </w:p>
              </w:tc>
              <w:tc>
                <w:tcPr>
                  <w:tcW w:w="2045" w:type="dxa"/>
                  <w:noWrap w:val="0"/>
                  <w:vAlign w:val="top"/>
                </w:tcPr>
                <w:p>
                  <w:pPr>
                    <w:spacing w:line="240" w:lineRule="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符合法规要求</w:t>
                  </w:r>
                </w:p>
              </w:tc>
              <w:tc>
                <w:tcPr>
                  <w:tcW w:w="1828" w:type="dxa"/>
                  <w:noWrap w:val="0"/>
                  <w:vAlign w:val="top"/>
                </w:tcPr>
                <w:p>
                  <w:pPr>
                    <w:spacing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noWrap w:val="0"/>
                  <w:vAlign w:val="top"/>
                </w:tcPr>
                <w:p>
                  <w:pPr>
                    <w:spacing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2589- 2020综合能耗计算通则</w:t>
                  </w:r>
                </w:p>
              </w:tc>
              <w:tc>
                <w:tcPr>
                  <w:tcW w:w="1737" w:type="dxa"/>
                  <w:noWrap w:val="0"/>
                  <w:vAlign w:val="top"/>
                </w:tcPr>
                <w:p>
                  <w:pPr>
                    <w:spacing w:line="240" w:lineRule="auto"/>
                    <w:rPr>
                      <w:rFonts w:hint="default" w:ascii="Times New Roman" w:hAnsi="Times New Roman" w:eastAsia="宋体" w:cs="Times New Roman"/>
                      <w:szCs w:val="22"/>
                      <w:lang w:val="en-US" w:eastAsia="zh-CN"/>
                    </w:rPr>
                  </w:pPr>
                  <w:r>
                    <w:rPr>
                      <w:rFonts w:hint="eastAsia" w:eastAsia="宋体" w:cs="Times New Roman"/>
                      <w:kern w:val="2"/>
                      <w:sz w:val="21"/>
                      <w:szCs w:val="22"/>
                      <w:lang w:val="en-US" w:eastAsia="zh-CN" w:bidi="ar-SA"/>
                    </w:rPr>
                    <w:t>2022.5.30</w:t>
                  </w:r>
                </w:p>
              </w:tc>
              <w:tc>
                <w:tcPr>
                  <w:tcW w:w="2045" w:type="dxa"/>
                  <w:noWrap w:val="0"/>
                  <w:vAlign w:val="top"/>
                </w:tcPr>
                <w:p>
                  <w:pPr>
                    <w:spacing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符合法规要求</w:t>
                  </w:r>
                </w:p>
              </w:tc>
              <w:tc>
                <w:tcPr>
                  <w:tcW w:w="1828" w:type="dxa"/>
                  <w:noWrap w:val="0"/>
                  <w:vAlign w:val="top"/>
                </w:tcPr>
                <w:p>
                  <w:pPr>
                    <w:spacing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noWrap w:val="0"/>
                  <w:vAlign w:val="top"/>
                </w:tcPr>
                <w:p>
                  <w:pPr>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GB 24789-2009《用水单位水计量器具配备和管理通则》</w:t>
                  </w:r>
                </w:p>
              </w:tc>
              <w:tc>
                <w:tcPr>
                  <w:tcW w:w="1737" w:type="dxa"/>
                  <w:noWrap w:val="0"/>
                  <w:vAlign w:val="top"/>
                </w:tcPr>
                <w:p>
                  <w:pPr>
                    <w:spacing w:line="240" w:lineRule="auto"/>
                    <w:rPr>
                      <w:rFonts w:hint="default" w:ascii="Times New Roman" w:hAnsi="Times New Roman" w:eastAsia="宋体" w:cs="Times New Roman"/>
                      <w:kern w:val="2"/>
                      <w:sz w:val="21"/>
                      <w:szCs w:val="22"/>
                      <w:lang w:val="en-US" w:eastAsia="zh-CN" w:bidi="ar-SA"/>
                    </w:rPr>
                  </w:pPr>
                  <w:r>
                    <w:rPr>
                      <w:rFonts w:hint="eastAsia" w:eastAsia="宋体" w:cs="Times New Roman"/>
                      <w:kern w:val="2"/>
                      <w:sz w:val="21"/>
                      <w:szCs w:val="22"/>
                      <w:lang w:val="en-US" w:eastAsia="zh-CN" w:bidi="ar-SA"/>
                    </w:rPr>
                    <w:t>2022.5.30</w:t>
                  </w:r>
                </w:p>
              </w:tc>
              <w:tc>
                <w:tcPr>
                  <w:tcW w:w="2045" w:type="dxa"/>
                  <w:noWrap w:val="0"/>
                  <w:vAlign w:val="top"/>
                </w:tcPr>
                <w:p>
                  <w:pPr>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符合法规要求</w:t>
                  </w:r>
                </w:p>
              </w:tc>
              <w:tc>
                <w:tcPr>
                  <w:tcW w:w="1828" w:type="dxa"/>
                  <w:noWrap w:val="0"/>
                  <w:vAlign w:val="top"/>
                </w:tcPr>
                <w:p>
                  <w:pPr>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noWrap w:val="0"/>
                  <w:vAlign w:val="top"/>
                </w:tcPr>
                <w:p>
                  <w:pPr>
                    <w:pStyle w:val="18"/>
                    <w:widowControl w:val="0"/>
                    <w:numPr>
                      <w:ilvl w:val="0"/>
                      <w:numId w:val="0"/>
                    </w:numPr>
                    <w:spacing w:line="360" w:lineRule="exact"/>
                    <w:rPr>
                      <w:rFonts w:hint="default" w:ascii="Times New Roman" w:hAnsi="Times New Roman" w:eastAsia="宋体" w:cs="Times New Roman"/>
                      <w:szCs w:val="22"/>
                      <w:lang w:val="en-US" w:eastAsia="zh-CN"/>
                    </w:rPr>
                  </w:pPr>
                  <w:r>
                    <w:rPr>
                      <w:rFonts w:hAnsi="宋体"/>
                      <w:kern w:val="2"/>
                      <w:sz w:val="21"/>
                      <w:szCs w:val="21"/>
                    </w:rPr>
                    <w:t xml:space="preserve">GB/T </w:t>
                  </w:r>
                  <w:r>
                    <w:rPr>
                      <w:rFonts w:hint="eastAsia" w:hAnsi="宋体"/>
                      <w:kern w:val="2"/>
                      <w:sz w:val="21"/>
                      <w:szCs w:val="21"/>
                      <w:lang w:val="en-US" w:eastAsia="zh-CN"/>
                    </w:rPr>
                    <w:t>36888</w:t>
                  </w:r>
                  <w:r>
                    <w:rPr>
                      <w:rFonts w:hAnsi="宋体"/>
                      <w:kern w:val="2"/>
                      <w:sz w:val="21"/>
                      <w:szCs w:val="21"/>
                    </w:rPr>
                    <w:t>-20</w:t>
                  </w:r>
                  <w:r>
                    <w:rPr>
                      <w:rFonts w:hint="eastAsia" w:hAnsi="宋体"/>
                      <w:kern w:val="2"/>
                      <w:sz w:val="21"/>
                      <w:szCs w:val="21"/>
                    </w:rPr>
                    <w:t>18</w:t>
                  </w:r>
                  <w:r>
                    <w:rPr>
                      <w:rFonts w:hAnsi="宋体"/>
                      <w:kern w:val="2"/>
                      <w:sz w:val="21"/>
                      <w:szCs w:val="21"/>
                    </w:rPr>
                    <w:t xml:space="preserve"> </w:t>
                  </w:r>
                  <w:r>
                    <w:rPr>
                      <w:rFonts w:hint="eastAsia" w:hAnsi="宋体"/>
                      <w:kern w:val="2"/>
                      <w:sz w:val="21"/>
                      <w:szCs w:val="21"/>
                      <w:lang w:val="en-US" w:eastAsia="zh-CN"/>
                    </w:rPr>
                    <w:t>预拌混凝土单位产品能源消耗限额等</w:t>
                  </w:r>
                </w:p>
              </w:tc>
              <w:tc>
                <w:tcPr>
                  <w:tcW w:w="1737" w:type="dxa"/>
                  <w:noWrap w:val="0"/>
                  <w:vAlign w:val="top"/>
                </w:tcPr>
                <w:p>
                  <w:pPr>
                    <w:spacing w:line="240" w:lineRule="auto"/>
                    <w:rPr>
                      <w:rFonts w:hint="default" w:ascii="Times New Roman" w:hAnsi="Times New Roman" w:eastAsia="宋体" w:cs="Times New Roman"/>
                      <w:kern w:val="2"/>
                      <w:sz w:val="21"/>
                      <w:szCs w:val="22"/>
                      <w:lang w:val="en-US" w:eastAsia="zh-CN" w:bidi="ar-SA"/>
                    </w:rPr>
                  </w:pPr>
                  <w:r>
                    <w:rPr>
                      <w:rFonts w:hint="eastAsia" w:eastAsia="宋体" w:cs="Times New Roman"/>
                      <w:kern w:val="2"/>
                      <w:sz w:val="21"/>
                      <w:szCs w:val="22"/>
                      <w:lang w:val="en-US" w:eastAsia="zh-CN" w:bidi="ar-SA"/>
                    </w:rPr>
                    <w:t>2022.5.30</w:t>
                  </w:r>
                </w:p>
              </w:tc>
              <w:tc>
                <w:tcPr>
                  <w:tcW w:w="2045" w:type="dxa"/>
                  <w:noWrap w:val="0"/>
                  <w:vAlign w:val="top"/>
                </w:tcPr>
                <w:p>
                  <w:pPr>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符合法规要求</w:t>
                  </w:r>
                </w:p>
              </w:tc>
              <w:tc>
                <w:tcPr>
                  <w:tcW w:w="1828" w:type="dxa"/>
                  <w:noWrap w:val="0"/>
                  <w:vAlign w:val="top"/>
                </w:tcPr>
                <w:p>
                  <w:pPr>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noWrap w:val="0"/>
                  <w:vAlign w:val="top"/>
                </w:tcPr>
                <w:p>
                  <w:pPr>
                    <w:pStyle w:val="18"/>
                    <w:widowControl w:val="0"/>
                    <w:numPr>
                      <w:ilvl w:val="0"/>
                      <w:numId w:val="0"/>
                    </w:numPr>
                    <w:spacing w:line="360" w:lineRule="exact"/>
                    <w:rPr>
                      <w:rFonts w:hAnsi="宋体"/>
                      <w:kern w:val="2"/>
                      <w:sz w:val="21"/>
                      <w:szCs w:val="21"/>
                    </w:rPr>
                  </w:pPr>
                  <w:r>
                    <w:rPr>
                      <w:rFonts w:hAnsi="宋体"/>
                      <w:kern w:val="2"/>
                      <w:sz w:val="21"/>
                      <w:szCs w:val="21"/>
                    </w:rPr>
                    <w:t xml:space="preserve">GB/T </w:t>
                  </w:r>
                  <w:r>
                    <w:rPr>
                      <w:rFonts w:hint="eastAsia" w:hAnsi="宋体"/>
                      <w:kern w:val="2"/>
                      <w:sz w:val="21"/>
                      <w:szCs w:val="21"/>
                      <w:lang w:val="en-US" w:eastAsia="zh-CN"/>
                    </w:rPr>
                    <w:t>24851</w:t>
                  </w:r>
                  <w:r>
                    <w:rPr>
                      <w:rFonts w:hAnsi="宋体"/>
                      <w:kern w:val="2"/>
                      <w:sz w:val="21"/>
                      <w:szCs w:val="21"/>
                    </w:rPr>
                    <w:t>-</w:t>
                  </w:r>
                  <w:r>
                    <w:rPr>
                      <w:rFonts w:ascii="宋体" w:hAnsi="宋体" w:eastAsia="宋体"/>
                      <w:kern w:val="2"/>
                      <w:sz w:val="21"/>
                      <w:szCs w:val="21"/>
                    </w:rPr>
                    <w:t>2006</w:t>
                  </w:r>
                  <w:r>
                    <w:rPr>
                      <w:rFonts w:hAnsi="宋体"/>
                      <w:kern w:val="2"/>
                      <w:sz w:val="21"/>
                      <w:szCs w:val="21"/>
                    </w:rPr>
                    <w:t xml:space="preserve"> </w:t>
                  </w:r>
                  <w:r>
                    <w:rPr>
                      <w:rFonts w:hint="eastAsia" w:hAnsi="宋体"/>
                      <w:kern w:val="2"/>
                      <w:sz w:val="21"/>
                      <w:szCs w:val="21"/>
                      <w:lang w:val="en-US" w:eastAsia="zh-CN"/>
                    </w:rPr>
                    <w:t>建筑材料行业</w:t>
                  </w:r>
                  <w:r>
                    <w:rPr>
                      <w:rFonts w:hAnsi="宋体"/>
                      <w:kern w:val="2"/>
                      <w:sz w:val="21"/>
                      <w:szCs w:val="21"/>
                    </w:rPr>
                    <w:t>能源计量器具配备和管理</w:t>
                  </w:r>
                  <w:r>
                    <w:rPr>
                      <w:rFonts w:hint="eastAsia" w:hAnsi="宋体"/>
                      <w:kern w:val="2"/>
                      <w:sz w:val="21"/>
                      <w:szCs w:val="21"/>
                      <w:lang w:val="en-US" w:eastAsia="zh-CN"/>
                    </w:rPr>
                    <w:t>要求</w:t>
                  </w:r>
                </w:p>
              </w:tc>
              <w:tc>
                <w:tcPr>
                  <w:tcW w:w="1737" w:type="dxa"/>
                  <w:noWrap w:val="0"/>
                  <w:vAlign w:val="top"/>
                </w:tcPr>
                <w:p>
                  <w:pPr>
                    <w:spacing w:line="240" w:lineRule="auto"/>
                    <w:rPr>
                      <w:rFonts w:hint="eastAsia" w:ascii="Times New Roman" w:hAnsi="Times New Roman" w:eastAsia="宋体" w:cs="Times New Roman"/>
                      <w:kern w:val="2"/>
                      <w:sz w:val="21"/>
                      <w:szCs w:val="22"/>
                      <w:lang w:val="en-US" w:eastAsia="zh-CN" w:bidi="ar-SA"/>
                    </w:rPr>
                  </w:pPr>
                  <w:r>
                    <w:rPr>
                      <w:rFonts w:hint="eastAsia" w:eastAsia="宋体" w:cs="Times New Roman"/>
                      <w:kern w:val="2"/>
                      <w:sz w:val="21"/>
                      <w:szCs w:val="22"/>
                      <w:lang w:val="en-US" w:eastAsia="zh-CN" w:bidi="ar-SA"/>
                    </w:rPr>
                    <w:t>2022.5.30</w:t>
                  </w:r>
                </w:p>
              </w:tc>
              <w:tc>
                <w:tcPr>
                  <w:tcW w:w="2045" w:type="dxa"/>
                  <w:noWrap w:val="0"/>
                  <w:vAlign w:val="top"/>
                </w:tcPr>
                <w:p>
                  <w:pPr>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符合法规要求</w:t>
                  </w:r>
                </w:p>
              </w:tc>
              <w:tc>
                <w:tcPr>
                  <w:tcW w:w="1828" w:type="dxa"/>
                  <w:noWrap w:val="0"/>
                  <w:vAlign w:val="top"/>
                </w:tcPr>
                <w:p>
                  <w:pPr>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无</w:t>
                  </w:r>
                </w:p>
              </w:tc>
            </w:tr>
          </w:tbl>
          <w:p>
            <w:pPr>
              <w:pStyle w:val="13"/>
              <w:rPr>
                <w:rFonts w:hint="eastAsia"/>
                <w:lang w:val="en-US" w:eastAsia="zh-CN"/>
              </w:rPr>
            </w:pP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tcPr>
          <w:p>
            <w:pPr>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rPr>
              <w:t>不符合与纠正措施</w:t>
            </w:r>
          </w:p>
        </w:tc>
        <w:tc>
          <w:tcPr>
            <w:tcW w:w="960" w:type="dxa"/>
          </w:tcPr>
          <w:p>
            <w:pPr>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rPr>
              <w:t xml:space="preserve">10.1 </w:t>
            </w:r>
          </w:p>
        </w:tc>
        <w:tc>
          <w:tcPr>
            <w:tcW w:w="10004" w:type="dxa"/>
          </w:tcPr>
          <w:p>
            <w:pPr>
              <w:tabs>
                <w:tab w:val="left" w:pos="1337"/>
              </w:tabs>
              <w:rPr>
                <w:rFonts w:hint="eastAsia"/>
                <w:lang w:val="en-US" w:eastAsia="zh-CN"/>
              </w:rPr>
            </w:pPr>
            <w:r>
              <w:rPr>
                <w:rFonts w:hint="eastAsia"/>
                <w:highlight w:val="none"/>
              </w:rPr>
              <w:t>文件名称</w:t>
            </w:r>
            <w:r>
              <w:rPr>
                <w:rFonts w:hint="eastAsia"/>
                <w:highlight w:val="none"/>
                <w:lang w:eastAsia="zh-CN"/>
              </w:rPr>
              <w:t>：</w:t>
            </w:r>
            <w:r>
              <w:rPr>
                <w:rFonts w:hint="eastAsia"/>
                <w:highlight w:val="none"/>
              </w:rPr>
              <w:t>如：</w:t>
            </w:r>
            <w:r>
              <w:rPr>
                <w:color w:val="auto"/>
                <w:highlight w:val="none"/>
              </w:rPr>
              <w:sym w:font="Wingdings" w:char="00FE"/>
            </w:r>
            <w:r>
              <w:rPr>
                <w:rFonts w:hint="eastAsia"/>
                <w:highlight w:val="none"/>
              </w:rPr>
              <w:t>《</w:t>
            </w:r>
            <w:r>
              <w:rPr>
                <w:rFonts w:hint="eastAsia" w:asciiTheme="minorEastAsia" w:hAnsiTheme="minorEastAsia" w:eastAsiaTheme="minorEastAsia" w:cstheme="minorEastAsia"/>
                <w:bCs/>
                <w:szCs w:val="21"/>
              </w:rPr>
              <w:t>纠正和预防措施控制程序</w:t>
            </w:r>
            <w:r>
              <w:rPr>
                <w:rFonts w:hint="eastAsia"/>
                <w:highlight w:val="none"/>
              </w:rPr>
              <w:t>》</w:t>
            </w:r>
          </w:p>
          <w:p>
            <w:pPr>
              <w:rPr>
                <w:rFonts w:hint="default"/>
                <w:lang w:val="en-US" w:eastAsia="zh-CN"/>
              </w:rPr>
            </w:pPr>
            <w:r>
              <w:rPr>
                <w:rFonts w:hint="eastAsia"/>
              </w:rPr>
              <w:t>不符合的来源：</w:t>
            </w:r>
            <w:r>
              <w:rPr>
                <w:rFonts w:hint="eastAsia"/>
                <w:lang w:val="en-US" w:eastAsia="zh-CN"/>
              </w:rPr>
              <w:sym w:font="Wingdings" w:char="00FE"/>
            </w:r>
            <w:r>
              <w:rPr>
                <w:rFonts w:hint="eastAsia"/>
                <w:lang w:val="en-US" w:eastAsia="zh-CN"/>
              </w:rPr>
              <w:t xml:space="preserve">工作运行中发现的问题  </w:t>
            </w:r>
            <w:r>
              <w:rPr>
                <w:rFonts w:hint="eastAsia"/>
                <w:lang w:val="en-US" w:eastAsia="zh-CN"/>
              </w:rPr>
              <w:sym w:font="Wingdings" w:char="00FE"/>
            </w:r>
            <w:r>
              <w:rPr>
                <w:rFonts w:hint="eastAsia"/>
                <w:lang w:val="en-US" w:eastAsia="zh-CN"/>
              </w:rPr>
              <w:t>内审 ——本次内审发现不符合1项（在综合部）</w:t>
            </w:r>
          </w:p>
          <w:p>
            <w:r>
              <w:rPr>
                <w:rFonts w:hint="eastAsia"/>
              </w:rPr>
              <w:t>抽查采取纠正措施相关记录名称：《</w:t>
            </w:r>
            <w:r>
              <w:rPr>
                <w:rFonts w:hint="eastAsia"/>
                <w:lang w:val="en-US" w:eastAsia="zh-CN"/>
              </w:rPr>
              <w:t>不符合报告</w:t>
            </w:r>
            <w:r>
              <w:rPr>
                <w:rFonts w:hint="eastAsia"/>
              </w:rPr>
              <w:t xml:space="preserve"> 》</w:t>
            </w:r>
          </w:p>
          <w:tbl>
            <w:tblPr>
              <w:tblStyle w:val="11"/>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140"/>
              <w:gridCol w:w="1779"/>
              <w:gridCol w:w="1684"/>
              <w:gridCol w:w="1684"/>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754" w:type="dxa"/>
                </w:tcPr>
                <w:p>
                  <w:r>
                    <w:rPr>
                      <w:rFonts w:hint="eastAsia"/>
                    </w:rPr>
                    <w:t>日期</w:t>
                  </w:r>
                </w:p>
              </w:tc>
              <w:tc>
                <w:tcPr>
                  <w:tcW w:w="2140" w:type="dxa"/>
                </w:tcPr>
                <w:p>
                  <w:r>
                    <w:rPr>
                      <w:rFonts w:hint="eastAsia"/>
                    </w:rPr>
                    <w:t>不符合描述</w:t>
                  </w:r>
                </w:p>
              </w:tc>
              <w:tc>
                <w:tcPr>
                  <w:tcW w:w="1779" w:type="dxa"/>
                </w:tcPr>
                <w:p>
                  <w:r>
                    <w:rPr>
                      <w:rFonts w:hint="eastAsia"/>
                    </w:rPr>
                    <w:t>原因分析</w:t>
                  </w:r>
                </w:p>
              </w:tc>
              <w:tc>
                <w:tcPr>
                  <w:tcW w:w="1684" w:type="dxa"/>
                </w:tcPr>
                <w:p>
                  <w:pPr>
                    <w:rPr>
                      <w:rFonts w:hint="default" w:eastAsia="宋体"/>
                      <w:lang w:val="en-US" w:eastAsia="zh-CN"/>
                    </w:rPr>
                  </w:pPr>
                  <w:r>
                    <w:rPr>
                      <w:rFonts w:hint="eastAsia"/>
                      <w:lang w:val="en-US" w:eastAsia="zh-CN"/>
                    </w:rPr>
                    <w:t>纠正</w:t>
                  </w:r>
                </w:p>
              </w:tc>
              <w:tc>
                <w:tcPr>
                  <w:tcW w:w="1684" w:type="dxa"/>
                </w:tcPr>
                <w:p>
                  <w:r>
                    <w:rPr>
                      <w:rFonts w:hint="eastAsia"/>
                    </w:rPr>
                    <w:t>纠正措施</w:t>
                  </w:r>
                </w:p>
              </w:tc>
              <w:tc>
                <w:tcPr>
                  <w:tcW w:w="1476"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754" w:type="dxa"/>
                </w:tcPr>
                <w:p>
                  <w:pPr>
                    <w:spacing w:line="240" w:lineRule="auto"/>
                    <w:rPr>
                      <w:rFonts w:hint="default" w:eastAsia="宋体"/>
                      <w:sz w:val="21"/>
                      <w:szCs w:val="21"/>
                      <w:lang w:val="en-US" w:eastAsia="zh-CN"/>
                    </w:rPr>
                  </w:pPr>
                  <w:r>
                    <w:rPr>
                      <w:rFonts w:hint="eastAsia"/>
                      <w:sz w:val="21"/>
                      <w:szCs w:val="21"/>
                      <w:lang w:val="en-US" w:eastAsia="zh-CN"/>
                    </w:rPr>
                    <w:t>2022.8.30</w:t>
                  </w:r>
                </w:p>
              </w:tc>
              <w:tc>
                <w:tcPr>
                  <w:tcW w:w="2140" w:type="dxa"/>
                </w:tcPr>
                <w:p>
                  <w:pPr>
                    <w:spacing w:line="240" w:lineRule="auto"/>
                    <w:rPr>
                      <w:rFonts w:hint="eastAsia" w:ascii="宋体" w:hAnsi="宋体"/>
                      <w:sz w:val="21"/>
                      <w:szCs w:val="21"/>
                      <w:lang w:val="de-DE"/>
                    </w:rPr>
                  </w:pPr>
                  <w:r>
                    <w:rPr>
                      <w:rFonts w:hint="eastAsia" w:ascii="宋体" w:hAnsi="宋体"/>
                      <w:sz w:val="21"/>
                      <w:szCs w:val="21"/>
                      <w:lang w:val="en-US" w:eastAsia="zh-CN"/>
                    </w:rPr>
                    <w:t>查公司的能源数据收集未包括新鲜水</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p>
              </w:tc>
              <w:tc>
                <w:tcPr>
                  <w:tcW w:w="1779" w:type="dxa"/>
                  <w:vAlign w:val="top"/>
                </w:tcPr>
                <w:p>
                  <w:pPr>
                    <w:tabs>
                      <w:tab w:val="left" w:pos="5490"/>
                    </w:tabs>
                    <w:spacing w:line="240" w:lineRule="auto"/>
                    <w:ind w:firstLine="420" w:firstLineChars="200"/>
                    <w:rPr>
                      <w:rFonts w:hint="default"/>
                      <w:sz w:val="21"/>
                      <w:szCs w:val="21"/>
                      <w:lang w:val="en-US" w:eastAsia="zh-CN"/>
                    </w:rPr>
                  </w:pPr>
                  <w:r>
                    <w:rPr>
                      <w:rFonts w:hint="eastAsia" w:ascii="宋体" w:hAnsi="宋体"/>
                      <w:sz w:val="21"/>
                      <w:szCs w:val="21"/>
                      <w:lang w:val="en-US" w:eastAsia="zh-CN"/>
                    </w:rPr>
                    <w:t>由于管理人员对能源中种类识别不清楚，没有把水进行统计</w:t>
                  </w:r>
                  <w:r>
                    <w:rPr>
                      <w:rFonts w:hint="eastAsia" w:ascii="宋体" w:hAnsi="宋体"/>
                      <w:sz w:val="21"/>
                      <w:szCs w:val="21"/>
                    </w:rPr>
                    <w:t>。</w:t>
                  </w:r>
                </w:p>
              </w:tc>
              <w:tc>
                <w:tcPr>
                  <w:tcW w:w="168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在能源评审报告中完善水的数据。</w:t>
                  </w:r>
                </w:p>
              </w:tc>
              <w:tc>
                <w:tcPr>
                  <w:tcW w:w="168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rPr>
                    <w:t>组织人员进行</w:t>
                  </w:r>
                  <w:r>
                    <w:rPr>
                      <w:rFonts w:hint="eastAsia"/>
                      <w:sz w:val="21"/>
                      <w:szCs w:val="21"/>
                      <w:lang w:val="en-US" w:eastAsia="zh-CN"/>
                    </w:rPr>
                    <w:t>制度学习。</w:t>
                  </w:r>
                </w:p>
              </w:tc>
              <w:tc>
                <w:tcPr>
                  <w:tcW w:w="1476" w:type="dxa"/>
                </w:tcPr>
                <w:p>
                  <w:pPr>
                    <w:spacing w:line="240" w:lineRule="auto"/>
                    <w:rPr>
                      <w:sz w:val="21"/>
                      <w:szCs w:val="21"/>
                    </w:rPr>
                  </w:pPr>
                  <w:r>
                    <w:rPr>
                      <w:rFonts w:hint="eastAsia"/>
                      <w:sz w:val="21"/>
                      <w:szCs w:val="21"/>
                    </w:rPr>
                    <w:sym w:font="Wingdings" w:char="00FE"/>
                  </w:r>
                  <w:r>
                    <w:rPr>
                      <w:rFonts w:hint="eastAsia"/>
                      <w:sz w:val="21"/>
                      <w:szCs w:val="21"/>
                    </w:rPr>
                    <w:t>未再次发生</w:t>
                  </w:r>
                </w:p>
                <w:p>
                  <w:pPr>
                    <w:spacing w:line="240" w:lineRule="auto"/>
                    <w:rPr>
                      <w:sz w:val="21"/>
                      <w:szCs w:val="21"/>
                    </w:rPr>
                  </w:pPr>
                  <w:r>
                    <w:rPr>
                      <w:rFonts w:hint="eastAsia"/>
                      <w:sz w:val="21"/>
                      <w:szCs w:val="21"/>
                    </w:rPr>
                    <w:sym w:font="Wingdings" w:char="00A8"/>
                  </w:r>
                  <w:r>
                    <w:rPr>
                      <w:rFonts w:hint="eastAsia"/>
                      <w:sz w:val="21"/>
                      <w:szCs w:val="21"/>
                    </w:rPr>
                    <w:t>再次发生</w:t>
                  </w:r>
                </w:p>
              </w:tc>
            </w:tr>
          </w:tbl>
          <w:p>
            <w:pPr>
              <w:pStyle w:val="13"/>
              <w:rPr>
                <w:rFonts w:hint="default" w:eastAsia="宋体"/>
                <w:lang w:val="en-US" w:eastAsia="zh-CN"/>
              </w:rPr>
            </w:pPr>
            <w:r>
              <w:rPr>
                <w:rFonts w:hint="eastAsia"/>
                <w:lang w:val="en-US" w:eastAsia="zh-CN"/>
              </w:rPr>
              <w:t>通过内审、管理评审的问题及时进行纠正及整改。</w:t>
            </w:r>
          </w:p>
        </w:tc>
        <w:tc>
          <w:tcPr>
            <w:tcW w:w="1585" w:type="dxa"/>
          </w:tcPr>
          <w:p>
            <w:pPr>
              <w:rPr>
                <w:rFonts w:hint="eastAsia" w:eastAsia="宋体"/>
                <w:lang w:val="en-US" w:eastAsia="zh-CN"/>
              </w:rPr>
            </w:pPr>
            <w:r>
              <w:rPr>
                <w:rFonts w:hint="eastAsia"/>
                <w:lang w:val="en-US" w:eastAsia="zh-CN"/>
              </w:rPr>
              <w:t>Y</w:t>
            </w:r>
          </w:p>
        </w:tc>
      </w:tr>
    </w:tbl>
    <w:p>
      <w:pPr>
        <w:jc w:val="both"/>
        <w:rPr>
          <w:rFonts w:hint="eastAsia"/>
        </w:rPr>
      </w:pPr>
      <w:r>
        <w:rPr>
          <w:rFonts w:hint="eastAsia"/>
        </w:rPr>
        <w:t>说明：不符合标注N</w:t>
      </w:r>
    </w:p>
    <w:p>
      <w:pPr>
        <w:pStyle w:val="8"/>
        <w:rPr>
          <w:rFonts w:hint="eastAsia" w:ascii="Times New Roman" w:hAnsi="Times New Roman" w:eastAsia="宋体" w:cs="Times New Roman"/>
          <w:b w:val="0"/>
          <w:bCs w:val="0"/>
          <w:kern w:val="2"/>
          <w:sz w:val="21"/>
          <w:szCs w:val="22"/>
          <w:lang w:val="en-US" w:eastAsia="zh-CN" w:bidi="ar-SA"/>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48C8E"/>
    <w:multiLevelType w:val="singleLevel"/>
    <w:tmpl w:val="96348C8E"/>
    <w:lvl w:ilvl="0" w:tentative="0">
      <w:start w:val="1"/>
      <w:numFmt w:val="bullet"/>
      <w:pStyle w:val="4"/>
      <w:lvlText w:val=""/>
      <w:lvlJc w:val="left"/>
      <w:pPr>
        <w:tabs>
          <w:tab w:val="left" w:pos="2040"/>
        </w:tabs>
        <w:ind w:left="2040" w:hanging="360"/>
      </w:pPr>
      <w:rPr>
        <w:rFonts w:hint="default" w:ascii="Wingdings" w:hAnsi="Wingdings"/>
      </w:rPr>
    </w:lvl>
  </w:abstractNum>
  <w:abstractNum w:abstractNumId="1">
    <w:nsid w:val="00000015"/>
    <w:multiLevelType w:val="multilevel"/>
    <w:tmpl w:val="00000015"/>
    <w:lvl w:ilvl="0" w:tentative="0">
      <w:start w:val="1"/>
      <w:numFmt w:val="lowerLetter"/>
      <w:pStyle w:val="18"/>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hOGY5MzIwYjM5OWFmZGI4MTBhODVhYjUzMzlkOTUifQ=="/>
  </w:docVars>
  <w:rsids>
    <w:rsidRoot w:val="00000000"/>
    <w:rsid w:val="01DE6D8F"/>
    <w:rsid w:val="058E48F0"/>
    <w:rsid w:val="0A4C1CB8"/>
    <w:rsid w:val="0D576499"/>
    <w:rsid w:val="105C638F"/>
    <w:rsid w:val="114D18C5"/>
    <w:rsid w:val="115D0906"/>
    <w:rsid w:val="12C841EF"/>
    <w:rsid w:val="14497252"/>
    <w:rsid w:val="18437924"/>
    <w:rsid w:val="1B1C3EF0"/>
    <w:rsid w:val="1D0E4986"/>
    <w:rsid w:val="21376286"/>
    <w:rsid w:val="227F1D3B"/>
    <w:rsid w:val="24805237"/>
    <w:rsid w:val="273C51E1"/>
    <w:rsid w:val="2D612B18"/>
    <w:rsid w:val="2ED74C31"/>
    <w:rsid w:val="323B6CBA"/>
    <w:rsid w:val="35210247"/>
    <w:rsid w:val="353822FE"/>
    <w:rsid w:val="377E4FAF"/>
    <w:rsid w:val="38A5516B"/>
    <w:rsid w:val="38A94369"/>
    <w:rsid w:val="3B8A7415"/>
    <w:rsid w:val="3EC52689"/>
    <w:rsid w:val="52C8113E"/>
    <w:rsid w:val="533F355E"/>
    <w:rsid w:val="54D51413"/>
    <w:rsid w:val="55EC6C96"/>
    <w:rsid w:val="588E5593"/>
    <w:rsid w:val="5CD8258B"/>
    <w:rsid w:val="634D0811"/>
    <w:rsid w:val="659720FE"/>
    <w:rsid w:val="663D7D0D"/>
    <w:rsid w:val="688B6139"/>
    <w:rsid w:val="6B4104C1"/>
    <w:rsid w:val="6C612B27"/>
    <w:rsid w:val="6CA51568"/>
    <w:rsid w:val="714E0321"/>
    <w:rsid w:val="73EC265A"/>
    <w:rsid w:val="74D774D1"/>
    <w:rsid w:val="75271F30"/>
    <w:rsid w:val="780A13B7"/>
    <w:rsid w:val="78F50C42"/>
    <w:rsid w:val="7A1D5E2E"/>
    <w:rsid w:val="7BD5390A"/>
    <w:rsid w:val="7C08182D"/>
    <w:rsid w:val="7EB023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9"/>
    <w:pPr>
      <w:keepNext/>
      <w:keepLines/>
      <w:spacing w:line="360" w:lineRule="auto"/>
      <w:ind w:firstLine="200" w:firstLineChars="200"/>
      <w:outlineLvl w:val="1"/>
    </w:pPr>
    <w:rPr>
      <w:rFonts w:ascii="Cambria" w:hAnsi="Cambria" w:eastAsia="宋体" w:cs="Times New Roman"/>
      <w:b/>
      <w:bCs/>
      <w:sz w:val="24"/>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rPr>
      <w:sz w:val="24"/>
    </w:rPr>
  </w:style>
  <w:style w:type="paragraph" w:styleId="4">
    <w:name w:val="List Bullet 5"/>
    <w:basedOn w:val="1"/>
    <w:semiHidden/>
    <w:unhideWhenUsed/>
    <w:qFormat/>
    <w:uiPriority w:val="99"/>
    <w:pPr>
      <w:numPr>
        <w:ilvl w:val="0"/>
        <w:numId w:val="1"/>
      </w:numPr>
    </w:pPr>
  </w:style>
  <w:style w:type="paragraph" w:styleId="6">
    <w:name w:val="Plain Text"/>
    <w:basedOn w:val="1"/>
    <w:qFormat/>
    <w:uiPriority w:val="0"/>
    <w:pPr>
      <w:jc w:val="left"/>
    </w:pPr>
    <w:rPr>
      <w:rFonts w:ascii="Courier New" w:hAnsi="Courier New" w:eastAsia="PMingLiU" w:cs="Courier New"/>
      <w:sz w:val="20"/>
      <w:szCs w:val="20"/>
      <w:lang w:eastAsia="zh-TW"/>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9"/>
    <w:qFormat/>
    <w:uiPriority w:val="99"/>
    <w:rPr>
      <w:rFonts w:ascii="Times New Roman" w:hAnsi="Times New Roman" w:eastAsia="宋体" w:cs="Times New Roman"/>
      <w:sz w:val="18"/>
      <w:szCs w:val="18"/>
    </w:rPr>
  </w:style>
  <w:style w:type="character" w:customStyle="1" w:styleId="15">
    <w:name w:val="页脚 字符"/>
    <w:basedOn w:val="12"/>
    <w:link w:val="8"/>
    <w:qFormat/>
    <w:uiPriority w:val="99"/>
    <w:rPr>
      <w:rFonts w:ascii="Times New Roman" w:hAnsi="Times New Roman" w:eastAsia="宋体" w:cs="Times New Roman"/>
      <w:sz w:val="18"/>
      <w:szCs w:val="18"/>
    </w:rPr>
  </w:style>
  <w:style w:type="character" w:customStyle="1" w:styleId="16">
    <w:name w:val="批注框文本 字符"/>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styleId="19">
    <w:name w:val="List Paragraph"/>
    <w:basedOn w:val="1"/>
    <w:qFormat/>
    <w:uiPriority w:val="99"/>
    <w:pPr>
      <w:ind w:firstLine="420" w:firstLineChars="200"/>
    </w:pPr>
  </w:style>
  <w:style w:type="paragraph" w:customStyle="1" w:styleId="20">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3870</Words>
  <Characters>4335</Characters>
  <Lines>1</Lines>
  <Paragraphs>1</Paragraphs>
  <TotalTime>2</TotalTime>
  <ScaleCrop>false</ScaleCrop>
  <LinksUpToDate>false</LinksUpToDate>
  <CharactersWithSpaces>4398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2022-12-14T06:43:05Z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