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W w:w="1470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10"/>
        <w:gridCol w:w="1121"/>
        <w:gridCol w:w="1"/>
        <w:gridCol w:w="744"/>
        <w:gridCol w:w="1"/>
        <w:gridCol w:w="934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91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1"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93" w:type="dxa"/>
            <w:gridSpan w:val="4"/>
            <w:shd w:val="clear" w:color="auto" w:fill="auto"/>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w:t>
            </w:r>
            <w:r>
              <w:rPr>
                <w:rFonts w:hint="default"/>
                <w:sz w:val="24"/>
                <w:szCs w:val="24"/>
                <w:lang w:val="en-US" w:eastAsia="zh-CN"/>
              </w:rPr>
              <w:t>谭志军</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陪同人员：</w:t>
            </w:r>
            <w:r>
              <w:rPr>
                <w:rFonts w:hint="eastAsia"/>
                <w:color w:val="000000" w:themeColor="text1"/>
                <w:sz w:val="24"/>
                <w:szCs w:val="24"/>
                <w:lang w:val="en-US" w:eastAsia="zh-CN"/>
                <w14:textFill>
                  <w14:solidFill>
                    <w14:schemeClr w14:val="tx1"/>
                  </w14:solidFill>
                </w14:textFill>
              </w:rPr>
              <w:t>单晶晶</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910" w:type="dxa"/>
            <w:vMerge w:val="continue"/>
            <w:shd w:val="clear" w:color="auto" w:fill="auto"/>
            <w:vAlign w:val="center"/>
          </w:tcPr>
          <w:p/>
        </w:tc>
        <w:tc>
          <w:tcPr>
            <w:tcW w:w="1121" w:type="dxa"/>
            <w:vMerge w:val="continue"/>
            <w:shd w:val="clear" w:color="auto" w:fill="auto"/>
            <w:vAlign w:val="center"/>
          </w:tcPr>
          <w:p/>
        </w:tc>
        <w:tc>
          <w:tcPr>
            <w:tcW w:w="10093" w:type="dxa"/>
            <w:gridSpan w:val="4"/>
            <w:shd w:val="clear" w:color="auto" w:fill="auto"/>
            <w:vAlign w:val="center"/>
          </w:tcPr>
          <w:p>
            <w:pPr>
              <w:pStyle w:val="20"/>
              <w:shd w:val="clear"/>
              <w:rPr>
                <w:sz w:val="21"/>
                <w:szCs w:val="21"/>
              </w:rPr>
            </w:pPr>
            <w:r>
              <w:rPr>
                <w:rFonts w:hint="eastAsia"/>
                <w:sz w:val="21"/>
                <w:szCs w:val="21"/>
              </w:rPr>
              <w:t>审核员：</w:t>
            </w:r>
            <w:r>
              <w:rPr>
                <w:rFonts w:hint="eastAsia"/>
                <w:sz w:val="21"/>
                <w:szCs w:val="21"/>
                <w:lang w:val="en-US" w:eastAsia="zh-CN"/>
              </w:rPr>
              <w:t>范玲玲、</w:t>
            </w:r>
            <w:r>
              <w:rPr>
                <w:lang w:val="de-DE"/>
              </w:rPr>
              <w:t>崔敬伟</w:t>
            </w:r>
            <w:r>
              <w:rPr>
                <w:rFonts w:hint="eastAsia"/>
                <w:sz w:val="21"/>
                <w:szCs w:val="21"/>
                <w:lang w:val="en-US" w:eastAsia="zh-CN"/>
              </w:rPr>
              <w:t>（远程）   审核工具：微信视频、电话、文件传输</w:t>
            </w:r>
            <w:r>
              <w:rPr>
                <w:rFonts w:hint="eastAsia"/>
                <w:sz w:val="21"/>
                <w:szCs w:val="21"/>
              </w:rPr>
              <w:t xml:space="preserve"> </w:t>
            </w:r>
            <w:r>
              <w:rPr>
                <w:sz w:val="21"/>
                <w:szCs w:val="21"/>
              </w:rPr>
              <w:t xml:space="preserve"> </w:t>
            </w:r>
          </w:p>
          <w:p>
            <w:pPr>
              <w:pStyle w:val="20"/>
              <w:shd w:val="clear"/>
              <w:rPr>
                <w:rFonts w:hint="default" w:ascii="Times New Roman" w:hAnsi="Times New Roman" w:eastAsia="宋体" w:cs="Times New Roman"/>
                <w:bCs/>
                <w:spacing w:val="10"/>
                <w:kern w:val="2"/>
                <w:sz w:val="21"/>
                <w:lang w:val="en-US" w:eastAsia="zh-CN" w:bidi="ar-SA"/>
              </w:rPr>
            </w:pPr>
            <w:r>
              <w:rPr>
                <w:rFonts w:hint="eastAsia"/>
                <w:sz w:val="21"/>
                <w:szCs w:val="21"/>
              </w:rPr>
              <w:t>审核日期：</w:t>
            </w:r>
            <w:r>
              <w:rPr>
                <w:sz w:val="21"/>
                <w:szCs w:val="21"/>
              </w:rPr>
              <w:t>202</w:t>
            </w:r>
            <w:r>
              <w:rPr>
                <w:rFonts w:hint="eastAsia"/>
                <w:sz w:val="21"/>
                <w:szCs w:val="21"/>
                <w:lang w:val="en-US" w:eastAsia="zh-CN"/>
              </w:rPr>
              <w:t>2-12-15</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10" w:type="dxa"/>
            <w:vMerge w:val="continue"/>
            <w:shd w:val="clear" w:color="auto" w:fill="auto"/>
            <w:vAlign w:val="center"/>
          </w:tcPr>
          <w:p/>
        </w:tc>
        <w:tc>
          <w:tcPr>
            <w:tcW w:w="1121" w:type="dxa"/>
            <w:vMerge w:val="continue"/>
            <w:shd w:val="clear" w:color="auto" w:fill="auto"/>
            <w:vAlign w:val="center"/>
          </w:tcPr>
          <w:p/>
        </w:tc>
        <w:tc>
          <w:tcPr>
            <w:tcW w:w="10093" w:type="dxa"/>
            <w:gridSpan w:val="4"/>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default" w:ascii="Times New Roman" w:hAnsi="Times New Roman" w:eastAsia="宋体" w:cs="Times New Roman"/>
                <w:kern w:val="2"/>
                <w:sz w:val="21"/>
                <w:lang w:val="en-US" w:eastAsia="zh-CN" w:bidi="ar-SA"/>
              </w:rPr>
            </w:pPr>
            <w:r>
              <w:rPr>
                <w:rFonts w:hint="eastAsia"/>
              </w:rPr>
              <w:t>审核条款：</w:t>
            </w:r>
            <w:r>
              <w:rPr>
                <w:rFonts w:hint="eastAsia" w:ascii="宋体" w:hAnsi="宋体" w:cs="Times New Roman"/>
                <w:szCs w:val="21"/>
                <w:lang w:val="en-US" w:eastAsia="zh-CN"/>
              </w:rPr>
              <w:t>En：</w:t>
            </w:r>
            <w:r>
              <w:rPr>
                <w:rFonts w:hint="eastAsia" w:ascii="宋体" w:hAnsi="宋体" w:eastAsia="宋体" w:cs="Times New Roman"/>
                <w:b w:val="0"/>
                <w:bCs w:val="0"/>
                <w:sz w:val="21"/>
                <w:szCs w:val="21"/>
              </w:rPr>
              <w:t>4.1</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4.2</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4.3</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4.4</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5.1</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5.2</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5.3</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6.1</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9.3</w:t>
            </w:r>
            <w:r>
              <w:rPr>
                <w:rFonts w:hint="eastAsia" w:ascii="宋体" w:hAnsi="宋体" w:cs="Times New Roman"/>
                <w:b w:val="0"/>
                <w:bCs w:val="0"/>
                <w:sz w:val="21"/>
                <w:szCs w:val="21"/>
                <w:lang w:val="en-US" w:eastAsia="zh-CN"/>
              </w:rPr>
              <w:t>/10.1/10.2</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10" w:type="dxa"/>
            <w:vMerge w:val="restart"/>
            <w:shd w:val="clear" w:color="auto" w:fill="auto"/>
          </w:tcPr>
          <w:p>
            <w:r>
              <w:rPr>
                <w:rFonts w:hint="eastAsia"/>
              </w:rPr>
              <w:t>理解组织及其所处的环境</w:t>
            </w:r>
          </w:p>
        </w:tc>
        <w:tc>
          <w:tcPr>
            <w:tcW w:w="1122" w:type="dxa"/>
            <w:gridSpan w:val="2"/>
            <w:vMerge w:val="restart"/>
            <w:shd w:val="clear" w:color="auto" w:fill="auto"/>
          </w:tcPr>
          <w:p>
            <w:r>
              <w:rPr>
                <w:rFonts w:hint="eastAsia"/>
              </w:rPr>
              <w:t xml:space="preserve">En4.1 </w:t>
            </w:r>
          </w:p>
        </w:tc>
        <w:tc>
          <w:tcPr>
            <w:tcW w:w="745" w:type="dxa"/>
            <w:gridSpan w:val="2"/>
            <w:shd w:val="clear" w:color="auto" w:fill="auto"/>
          </w:tcPr>
          <w:p>
            <w:r>
              <w:rPr>
                <w:rFonts w:hint="eastAsia"/>
              </w:rPr>
              <w:t>文件名称</w:t>
            </w:r>
          </w:p>
        </w:tc>
        <w:tc>
          <w:tcPr>
            <w:tcW w:w="9347" w:type="dxa"/>
            <w:shd w:val="clear" w:color="auto" w:fill="auto"/>
          </w:tcPr>
          <w:p>
            <w:r>
              <w:rPr>
                <w:rFonts w:hint="eastAsia"/>
              </w:rPr>
              <w:t>如：</w:t>
            </w:r>
            <w:r>
              <w:rPr/>
              <w:sym w:font="Wingdings" w:char="00FE"/>
            </w:r>
            <w:r>
              <w:rPr>
                <w:rFonts w:hint="eastAsia"/>
              </w:rPr>
              <w:t>管理手册第4.1章、</w:t>
            </w:r>
            <w:r>
              <w:rPr/>
              <w:sym w:font="Wingdings" w:char="00FE"/>
            </w:r>
            <w:r>
              <w:rPr>
                <w:rFonts w:hint="eastAsia" w:ascii="宋体" w:hAnsi="宋体"/>
                <w:bCs/>
                <w:szCs w:val="21"/>
              </w:rPr>
              <w:t>相关方控制程序</w:t>
            </w:r>
            <w:r>
              <w:rPr>
                <w:rFonts w:hint="eastAsia"/>
              </w:rPr>
              <w:t>、</w:t>
            </w:r>
          </w:p>
        </w:tc>
        <w:tc>
          <w:tcPr>
            <w:tcW w:w="1585" w:type="dxa"/>
            <w:vMerge w:val="restart"/>
            <w:shd w:val="clear" w:color="auto" w:fill="auto"/>
          </w:tcPr>
          <w:p>
            <w:pPr>
              <w:rPr>
                <w:rFonts w:hint="eastAsia"/>
                <w:lang w:val="en-US" w:eastAsia="zh-CN"/>
              </w:rPr>
            </w:pPr>
            <w:r>
              <w:rPr>
                <w:rFonts w:hint="eastAsia"/>
                <w:lang w:eastAsia="zh-CN"/>
              </w:rPr>
              <w:t>☑</w:t>
            </w:r>
            <w:r>
              <w:rPr>
                <w:rFonts w:hint="eastAsia"/>
                <w:lang w:val="en-US" w:eastAsia="zh-CN"/>
              </w:rPr>
              <w:t>符合</w:t>
            </w:r>
          </w:p>
          <w:p>
            <w:pPr>
              <w:rPr>
                <w:rFonts w:hint="eastAsia" w:eastAsia="宋体"/>
                <w:lang w:val="en-US" w:eastAsia="zh-CN"/>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10" w:type="dxa"/>
            <w:vMerge w:val="continue"/>
            <w:shd w:val="clear" w:color="auto" w:fill="auto"/>
          </w:tcPr>
          <w:p/>
        </w:tc>
        <w:tc>
          <w:tcPr>
            <w:tcW w:w="1122" w:type="dxa"/>
            <w:gridSpan w:val="2"/>
            <w:vMerge w:val="continue"/>
            <w:shd w:val="clear" w:color="auto" w:fill="auto"/>
          </w:tcPr>
          <w:p/>
        </w:tc>
        <w:tc>
          <w:tcPr>
            <w:tcW w:w="745" w:type="dxa"/>
            <w:gridSpan w:val="2"/>
            <w:shd w:val="clear" w:color="auto" w:fill="auto"/>
          </w:tcPr>
          <w:p>
            <w:r>
              <w:rPr>
                <w:rFonts w:hint="eastAsia"/>
              </w:rPr>
              <w:t>运行证据</w:t>
            </w:r>
          </w:p>
        </w:tc>
        <w:tc>
          <w:tcPr>
            <w:tcW w:w="9347" w:type="dxa"/>
            <w:shd w:val="clear" w:color="auto" w:fill="auto"/>
          </w:tcPr>
          <w:p>
            <w:r>
              <w:rPr>
                <w:rFonts w:hint="eastAsia"/>
              </w:rPr>
              <w:t xml:space="preserve"> 与最高管理者沟通：</w:t>
            </w:r>
          </w:p>
          <w:p>
            <w:pPr>
              <w:rPr>
                <w:rFonts w:hint="default" w:cs="Times New Roman"/>
                <w:kern w:val="2"/>
                <w:sz w:val="21"/>
                <w:szCs w:val="22"/>
                <w:lang w:val="en-US" w:eastAsia="zh-CN" w:bidi="ar-SA"/>
              </w:rPr>
            </w:pPr>
            <w:r>
              <w:rPr>
                <w:rFonts w:hint="eastAsia"/>
              </w:rPr>
              <w:t xml:space="preserve">主要证据体现在 </w:t>
            </w:r>
            <w:r>
              <w:rPr>
                <w:rFonts w:hint="eastAsia"/>
              </w:rPr>
              <w:sym w:font="Wingdings" w:char="00FE"/>
            </w:r>
            <w:r>
              <w:rPr>
                <w:rFonts w:hint="eastAsia"/>
              </w:rPr>
              <w:t>《</w:t>
            </w:r>
            <w:r>
              <w:rPr>
                <w:rFonts w:hint="eastAsia"/>
                <w:lang w:val="en-US" w:eastAsia="zh-CN"/>
              </w:rPr>
              <w:t>管理手册》</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pPr>
              <w:keepNext w:val="0"/>
              <w:keepLines w:val="0"/>
              <w:pageBreakBefore w:val="0"/>
              <w:widowControl w:val="0"/>
              <w:kinsoku/>
              <w:wordWrap/>
              <w:overflowPunct/>
              <w:topLinePunct w:val="0"/>
              <w:autoSpaceDE/>
              <w:autoSpaceDN/>
              <w:bidi w:val="0"/>
              <w:adjustRightInd/>
              <w:snapToGrid/>
              <w:spacing w:before="157" w:beforeLines="50" w:after="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公司领导层结合公司的实际情况，充分识别外部、内部环境，以策划公司的能源管理活动，建立管理体系，改进能源绩效，以达到预期的目的。</w:t>
            </w:r>
          </w:p>
          <w:p>
            <w:pPr>
              <w:keepNext w:val="0"/>
              <w:keepLines w:val="0"/>
              <w:pageBreakBefore w:val="0"/>
              <w:widowControl w:val="0"/>
              <w:kinsoku/>
              <w:wordWrap/>
              <w:overflowPunct/>
              <w:topLinePunct w:val="0"/>
              <w:autoSpaceDE/>
              <w:autoSpaceDN/>
              <w:bidi w:val="0"/>
              <w:adjustRightInd/>
              <w:snapToGrid/>
              <w:spacing w:before="157" w:beforeLines="50" w:after="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公司编制的《</w:t>
            </w:r>
            <w:r>
              <w:rPr>
                <w:rFonts w:hint="eastAsia" w:ascii="宋体" w:hAnsi="宋体"/>
                <w:bCs/>
                <w:szCs w:val="21"/>
              </w:rPr>
              <w:t>相关方控制程序</w:t>
            </w:r>
            <w:r>
              <w:rPr>
                <w:rFonts w:hint="eastAsia" w:ascii="Times New Roman" w:hAnsi="Times New Roman" w:eastAsia="宋体" w:cs="Times New Roman"/>
                <w:szCs w:val="22"/>
                <w:lang w:val="en-US" w:eastAsia="zh-CN"/>
              </w:rPr>
              <w:t>》，确定了与其宗旨有关的外部和内部问题，它们影响到公司实现能源管理预期结果和改进其能源性能的能力。公司领导层在了解和识别内外部因素时，应充分考虑企业活动、产品和服务提供过程中发生相互作用的因素，并基于生命周期的观点实施能源因素的管理。公司领导层应采用适宜的方法，如定期召开经营管理会议，对这些内部和外部因素的中高风险进行监视和评审，确保充分识别、消除，降低或减缓风险，充分利用可能的发展机遇，保证实现企业效益及能源管理体系预期结果。</w:t>
            </w:r>
          </w:p>
          <w:p>
            <w:pPr>
              <w:keepNext w:val="0"/>
              <w:keepLines w:val="0"/>
              <w:pageBreakBefore w:val="0"/>
              <w:widowControl w:val="0"/>
              <w:kinsoku/>
              <w:wordWrap/>
              <w:overflowPunct/>
              <w:topLinePunct w:val="0"/>
              <w:autoSpaceDE/>
              <w:autoSpaceDN/>
              <w:bidi w:val="0"/>
              <w:adjustRightInd/>
              <w:snapToGrid/>
              <w:spacing w:before="157" w:beforeLines="50" w:after="0"/>
              <w:textAlignment w:val="auto"/>
              <w:rPr>
                <w:rFonts w:hint="eastAsia" w:eastAsia="宋体"/>
                <w:lang w:val="en-US" w:eastAsia="zh-CN"/>
              </w:rPr>
            </w:pPr>
            <w:r>
              <w:rPr>
                <w:rFonts w:hint="eastAsia" w:ascii="Times New Roman" w:hAnsi="Times New Roman" w:eastAsia="宋体" w:cs="Times New Roman"/>
                <w:szCs w:val="22"/>
                <w:lang w:val="en-US" w:eastAsia="zh-CN"/>
              </w:rPr>
              <w:t xml:space="preserve">公司定期组织对这些内外部问题的相关信息进行监视和评审，以确保其充分和适宜。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10" w:type="dxa"/>
            <w:vMerge w:val="restart"/>
            <w:shd w:val="clear" w:color="auto" w:fill="auto"/>
          </w:tcPr>
          <w:p>
            <w:r>
              <w:rPr>
                <w:rFonts w:hint="eastAsia"/>
              </w:rPr>
              <w:t>理解相关方的需求和期望</w:t>
            </w:r>
          </w:p>
        </w:tc>
        <w:tc>
          <w:tcPr>
            <w:tcW w:w="1122" w:type="dxa"/>
            <w:gridSpan w:val="2"/>
            <w:vMerge w:val="restart"/>
            <w:shd w:val="clear" w:color="auto" w:fill="auto"/>
          </w:tcPr>
          <w:p>
            <w:r>
              <w:rPr>
                <w:rFonts w:hint="eastAsia"/>
              </w:rPr>
              <w:t xml:space="preserve">En4.2 </w:t>
            </w:r>
          </w:p>
        </w:tc>
        <w:tc>
          <w:tcPr>
            <w:tcW w:w="745" w:type="dxa"/>
            <w:gridSpan w:val="2"/>
            <w:shd w:val="clear" w:color="auto" w:fill="auto"/>
          </w:tcPr>
          <w:p>
            <w:r>
              <w:rPr>
                <w:rFonts w:hint="eastAsia"/>
              </w:rPr>
              <w:t>文件名称</w:t>
            </w:r>
          </w:p>
        </w:tc>
        <w:tc>
          <w:tcPr>
            <w:tcW w:w="9347" w:type="dxa"/>
            <w:shd w:val="clear" w:color="auto" w:fill="auto"/>
          </w:tcPr>
          <w:p>
            <w:r>
              <w:rPr>
                <w:rFonts w:hint="eastAsia"/>
              </w:rPr>
              <w:t>如：</w:t>
            </w:r>
            <w:r>
              <w:rPr>
                <w:rFonts w:hint="eastAsia"/>
                <w:lang w:eastAsia="zh-CN"/>
              </w:rPr>
              <w:t>☑</w:t>
            </w:r>
            <w:r>
              <w:rPr>
                <w:rFonts w:hint="eastAsia" w:ascii="Times New Roman" w:hAnsi="Times New Roman" w:eastAsia="宋体" w:cs="Times New Roman"/>
                <w:szCs w:val="22"/>
              </w:rPr>
              <w:t>《</w:t>
            </w:r>
            <w:r>
              <w:rPr>
                <w:rFonts w:hint="eastAsia" w:ascii="宋体" w:hAnsi="宋体"/>
                <w:bCs/>
                <w:szCs w:val="21"/>
              </w:rPr>
              <w:t>相关方控制程序</w:t>
            </w:r>
            <w:r>
              <w:rPr>
                <w:rFonts w:hint="eastAsia" w:ascii="Times New Roman" w:hAnsi="Times New Roman" w:eastAsia="宋体" w:cs="Times New Roman"/>
                <w:szCs w:val="22"/>
              </w:rPr>
              <w:t>》</w:t>
            </w:r>
            <w:r>
              <w:rPr>
                <w:rFonts w:hint="eastAsia"/>
              </w:rPr>
              <w:t>、管理手册第</w:t>
            </w:r>
            <w:r>
              <w:rPr>
                <w:rFonts w:hint="eastAsia"/>
                <w:lang w:val="en-US" w:eastAsia="zh-CN"/>
              </w:rPr>
              <w:t>4.2</w:t>
            </w:r>
            <w:r>
              <w:rPr>
                <w:rFonts w:hint="eastAsia"/>
              </w:rPr>
              <w:t>章</w:t>
            </w:r>
          </w:p>
        </w:tc>
        <w:tc>
          <w:tcPr>
            <w:tcW w:w="1585" w:type="dxa"/>
            <w:vMerge w:val="restart"/>
            <w:shd w:val="clear" w:color="auto" w:fill="auto"/>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trPr>
        <w:tc>
          <w:tcPr>
            <w:tcW w:w="1910" w:type="dxa"/>
            <w:vMerge w:val="continue"/>
            <w:shd w:val="clear" w:color="auto" w:fill="auto"/>
          </w:tcPr>
          <w:p/>
        </w:tc>
        <w:tc>
          <w:tcPr>
            <w:tcW w:w="1122" w:type="dxa"/>
            <w:gridSpan w:val="2"/>
            <w:vMerge w:val="continue"/>
            <w:shd w:val="clear" w:color="auto" w:fill="auto"/>
          </w:tcPr>
          <w:p/>
        </w:tc>
        <w:tc>
          <w:tcPr>
            <w:tcW w:w="745" w:type="dxa"/>
            <w:gridSpan w:val="2"/>
            <w:shd w:val="clear" w:color="auto" w:fill="auto"/>
          </w:tcPr>
          <w:p>
            <w:r>
              <w:rPr>
                <w:rFonts w:hint="eastAsia"/>
              </w:rPr>
              <w:t>运行证据</w:t>
            </w:r>
          </w:p>
        </w:tc>
        <w:tc>
          <w:tcPr>
            <w:tcW w:w="9347" w:type="dxa"/>
            <w:shd w:val="clear" w:color="auto" w:fill="auto"/>
          </w:tcPr>
          <w:tbl>
            <w:tblPr>
              <w:tblStyle w:val="17"/>
              <w:tblpPr w:leftFromText="180" w:rightFromText="180" w:vertAnchor="text" w:horzAnchor="page" w:tblpX="178" w:tblpY="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139"/>
              <w:gridCol w:w="396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t>重要的相关方</w:t>
                  </w:r>
                </w:p>
              </w:tc>
              <w:tc>
                <w:tcPr>
                  <w:tcW w:w="2139"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t>相关方名称举例</w:t>
                  </w:r>
                </w:p>
              </w:tc>
              <w:tc>
                <w:tcPr>
                  <w:tcW w:w="3967"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t>重要的相关方需求和希望（不必全选）</w:t>
                  </w:r>
                </w:p>
              </w:tc>
              <w:tc>
                <w:tcPr>
                  <w:tcW w:w="1324"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主管部门</w:t>
                  </w:r>
                </w:p>
              </w:tc>
              <w:tc>
                <w:tcPr>
                  <w:tcW w:w="2139" w:type="dxa"/>
                </w:tcPr>
                <w:p>
                  <w:pPr>
                    <w:keepNext w:val="0"/>
                    <w:keepLines w:val="0"/>
                    <w:pageBreakBefore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lang w:val="en-US" w:eastAsia="zh-CN"/>
                    </w:rPr>
                    <w:t>市技术监督局、政府节能办</w:t>
                  </w:r>
                </w:p>
              </w:tc>
              <w:tc>
                <w:tcPr>
                  <w:tcW w:w="3967"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遵守能源相关的法律法规</w:t>
                  </w:r>
                </w:p>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t>□</w:t>
                  </w:r>
                </w:p>
              </w:tc>
              <w:tc>
                <w:tcPr>
                  <w:tcW w:w="1324"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供方</w:t>
                  </w:r>
                </w:p>
              </w:tc>
              <w:tc>
                <w:tcPr>
                  <w:tcW w:w="2139" w:type="dxa"/>
                  <w:vAlign w:val="top"/>
                </w:tcPr>
                <w:p>
                  <w:pPr>
                    <w:pStyle w:val="15"/>
                    <w:keepNext w:val="0"/>
                    <w:keepLines w:val="0"/>
                    <w:pageBreakBefore w:val="0"/>
                    <w:tabs>
                      <w:tab w:val="left" w:pos="540"/>
                      <w:tab w:val="clear" w:pos="1560"/>
                      <w:tab w:val="clear" w:pos="1985"/>
                    </w:tabs>
                    <w:kinsoku/>
                    <w:wordWrap/>
                    <w:overflowPunct/>
                    <w:topLinePunct w:val="0"/>
                    <w:autoSpaceDE/>
                    <w:autoSpaceDN/>
                    <w:bidi w:val="0"/>
                    <w:adjustRightInd/>
                    <w:snapToGrid/>
                    <w:spacing w:before="157" w:beforeLines="50" w:after="0" w:afterLines="0"/>
                    <w:ind w:left="0" w:leftChars="0" w:firstLine="0" w:firstLineChars="0"/>
                    <w:textAlignment w:val="auto"/>
                    <w:rPr>
                      <w:rFonts w:hint="default"/>
                      <w:lang w:val="en-US" w:eastAsia="zh-CN"/>
                    </w:rPr>
                  </w:pPr>
                  <w:r>
                    <w:rPr>
                      <w:rFonts w:hint="eastAsia"/>
                      <w:lang w:val="en-US" w:eastAsia="zh-CN"/>
                    </w:rPr>
                    <w:t>供电公司、供水公司</w:t>
                  </w:r>
                </w:p>
              </w:tc>
              <w:tc>
                <w:tcPr>
                  <w:tcW w:w="3967"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组织的持续经营、明示采购的节能管理要求</w:t>
                  </w:r>
                </w:p>
              </w:tc>
              <w:tc>
                <w:tcPr>
                  <w:tcW w:w="1324"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顾客</w:t>
                  </w:r>
                </w:p>
              </w:tc>
              <w:tc>
                <w:tcPr>
                  <w:tcW w:w="2139" w:type="dxa"/>
                  <w:vAlign w:val="top"/>
                </w:tcPr>
                <w:p>
                  <w:pPr>
                    <w:pStyle w:val="15"/>
                    <w:keepNext w:val="0"/>
                    <w:keepLines w:val="0"/>
                    <w:pageBreakBefore w:val="0"/>
                    <w:tabs>
                      <w:tab w:val="left" w:pos="540"/>
                      <w:tab w:val="clear" w:pos="1560"/>
                      <w:tab w:val="clear" w:pos="1985"/>
                    </w:tabs>
                    <w:kinsoku/>
                    <w:wordWrap/>
                    <w:overflowPunct/>
                    <w:topLinePunct w:val="0"/>
                    <w:autoSpaceDE/>
                    <w:autoSpaceDN/>
                    <w:bidi w:val="0"/>
                    <w:adjustRightInd/>
                    <w:snapToGrid/>
                    <w:spacing w:before="157" w:beforeLines="50" w:after="0" w:afterLines="0"/>
                    <w:ind w:left="0" w:leftChars="0" w:firstLine="0" w:firstLineChars="0"/>
                    <w:textAlignment w:val="auto"/>
                    <w:rPr>
                      <w:rFonts w:hint="default"/>
                      <w:lang w:val="en-US" w:eastAsia="zh-CN"/>
                    </w:rPr>
                  </w:pPr>
                  <w:r>
                    <w:rPr>
                      <w:rFonts w:hint="eastAsia"/>
                      <w:lang w:val="en-US" w:eastAsia="zh-CN"/>
                    </w:rPr>
                    <w:t>客户</w:t>
                  </w:r>
                </w:p>
              </w:tc>
              <w:tc>
                <w:tcPr>
                  <w:tcW w:w="3967" w:type="dxa"/>
                </w:tcPr>
                <w:p>
                  <w:pPr>
                    <w:keepNext w:val="0"/>
                    <w:keepLines w:val="0"/>
                    <w:pageBreakBefore w:val="0"/>
                    <w:kinsoku/>
                    <w:wordWrap/>
                    <w:overflowPunct/>
                    <w:topLinePunct w:val="0"/>
                    <w:autoSpaceDE/>
                    <w:autoSpaceDN/>
                    <w:bidi w:val="0"/>
                    <w:adjustRightInd/>
                    <w:snapToGrid/>
                    <w:spacing w:before="157" w:beforeLines="50"/>
                    <w:ind w:left="210" w:hanging="210" w:hangingChars="100"/>
                    <w:textAlignment w:val="auto"/>
                  </w:pPr>
                  <w:r>
                    <w:rPr>
                      <w:rFonts w:hint="eastAsia"/>
                      <w:lang w:eastAsia="zh-CN"/>
                    </w:rPr>
                    <w:t>☑</w:t>
                  </w:r>
                  <w:r>
                    <w:rPr>
                      <w:rFonts w:hint="eastAsia"/>
                    </w:rPr>
                    <w:t>不因能源消耗问题影响交付产品或服务；</w:t>
                  </w:r>
                </w:p>
              </w:tc>
              <w:tc>
                <w:tcPr>
                  <w:tcW w:w="1324"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员工</w:t>
                  </w:r>
                </w:p>
              </w:tc>
              <w:tc>
                <w:tcPr>
                  <w:tcW w:w="2139" w:type="dxa"/>
                </w:tcPr>
                <w:p>
                  <w:pPr>
                    <w:keepNext w:val="0"/>
                    <w:keepLines w:val="0"/>
                    <w:pageBreakBefore w:val="0"/>
                    <w:kinsoku/>
                    <w:wordWrap/>
                    <w:overflowPunct/>
                    <w:topLinePunct w:val="0"/>
                    <w:autoSpaceDE/>
                    <w:autoSpaceDN/>
                    <w:bidi w:val="0"/>
                    <w:adjustRightInd/>
                    <w:snapToGrid/>
                    <w:spacing w:before="157" w:beforeLines="50"/>
                    <w:textAlignment w:val="auto"/>
                    <w:rPr>
                      <w:rFonts w:hint="eastAsia"/>
                      <w:lang w:val="en-US" w:eastAsia="zh-CN"/>
                    </w:rPr>
                  </w:pPr>
                  <w:r>
                    <w:rPr>
                      <w:rFonts w:hint="eastAsia"/>
                      <w:lang w:val="en-US" w:eastAsia="zh-CN"/>
                    </w:rPr>
                    <w:t>员工</w:t>
                  </w:r>
                </w:p>
              </w:tc>
              <w:tc>
                <w:tcPr>
                  <w:tcW w:w="3967"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不因能源消耗问题停产，影响组织持续经营</w:t>
                  </w:r>
                </w:p>
              </w:tc>
              <w:tc>
                <w:tcPr>
                  <w:tcW w:w="1324"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投资方</w:t>
                  </w:r>
                </w:p>
              </w:tc>
              <w:tc>
                <w:tcPr>
                  <w:tcW w:w="2139" w:type="dxa"/>
                </w:tcPr>
                <w:p>
                  <w:pPr>
                    <w:keepNext w:val="0"/>
                    <w:keepLines w:val="0"/>
                    <w:pageBreakBefore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lang w:val="en-US" w:eastAsia="zh-CN"/>
                    </w:rPr>
                    <w:t>自然人</w:t>
                  </w:r>
                </w:p>
              </w:tc>
              <w:tc>
                <w:tcPr>
                  <w:tcW w:w="3967"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不因能源消耗问题停产，影响组织持续经营、盈利</w:t>
                  </w:r>
                </w:p>
              </w:tc>
              <w:tc>
                <w:tcPr>
                  <w:tcW w:w="1324"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pageBreakBefore w:val="0"/>
                    <w:kinsoku/>
                    <w:wordWrap/>
                    <w:overflowPunct/>
                    <w:topLinePunct w:val="0"/>
                    <w:autoSpaceDE/>
                    <w:autoSpaceDN/>
                    <w:bidi w:val="0"/>
                    <w:adjustRightInd/>
                    <w:snapToGrid/>
                    <w:spacing w:before="157" w:beforeLines="50"/>
                    <w:textAlignment w:val="auto"/>
                    <w:rPr>
                      <w:rFonts w:hint="default"/>
                      <w:lang w:val="en-US"/>
                    </w:rPr>
                  </w:pPr>
                  <w:r>
                    <w:rPr>
                      <w:rFonts w:hint="eastAsia"/>
                      <w:lang w:eastAsia="zh-CN"/>
                    </w:rPr>
                    <w:t>☑</w:t>
                  </w:r>
                  <w:r>
                    <w:rPr>
                      <w:rFonts w:hint="eastAsia"/>
                      <w:lang w:val="en-US" w:eastAsia="zh-CN"/>
                    </w:rPr>
                    <w:t>审核机构</w:t>
                  </w:r>
                </w:p>
              </w:tc>
              <w:tc>
                <w:tcPr>
                  <w:tcW w:w="2139" w:type="dxa"/>
                </w:tcPr>
                <w:p>
                  <w:pPr>
                    <w:keepNext w:val="0"/>
                    <w:keepLines w:val="0"/>
                    <w:pageBreakBefore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lang w:val="en-US" w:eastAsia="zh-CN"/>
                    </w:rPr>
                    <w:t>北京国标联合</w:t>
                  </w:r>
                </w:p>
              </w:tc>
              <w:tc>
                <w:tcPr>
                  <w:tcW w:w="3967"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lang w:eastAsia="zh-CN"/>
                    </w:rPr>
                    <w:t>☑</w:t>
                  </w:r>
                  <w:r>
                    <w:rPr>
                      <w:rFonts w:hint="eastAsia"/>
                    </w:rPr>
                    <w:t>不因能源消耗问题影响周围的环境</w:t>
                  </w:r>
                </w:p>
              </w:tc>
              <w:tc>
                <w:tcPr>
                  <w:tcW w:w="1324"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t>□其他</w:t>
                  </w:r>
                </w:p>
              </w:tc>
              <w:tc>
                <w:tcPr>
                  <w:tcW w:w="2139" w:type="dxa"/>
                </w:tcPr>
                <w:p>
                  <w:pPr>
                    <w:keepNext w:val="0"/>
                    <w:keepLines w:val="0"/>
                    <w:pageBreakBefore w:val="0"/>
                    <w:kinsoku/>
                    <w:wordWrap/>
                    <w:overflowPunct/>
                    <w:topLinePunct w:val="0"/>
                    <w:autoSpaceDE/>
                    <w:autoSpaceDN/>
                    <w:bidi w:val="0"/>
                    <w:adjustRightInd/>
                    <w:snapToGrid/>
                    <w:spacing w:before="157" w:beforeLines="50"/>
                    <w:textAlignment w:val="auto"/>
                  </w:pPr>
                </w:p>
              </w:tc>
              <w:tc>
                <w:tcPr>
                  <w:tcW w:w="3967" w:type="dxa"/>
                </w:tcPr>
                <w:p>
                  <w:pPr>
                    <w:keepNext w:val="0"/>
                    <w:keepLines w:val="0"/>
                    <w:pageBreakBefore w:val="0"/>
                    <w:kinsoku/>
                    <w:wordWrap/>
                    <w:overflowPunct/>
                    <w:topLinePunct w:val="0"/>
                    <w:autoSpaceDE/>
                    <w:autoSpaceDN/>
                    <w:bidi w:val="0"/>
                    <w:adjustRightInd/>
                    <w:snapToGrid/>
                    <w:spacing w:before="157" w:beforeLines="50"/>
                    <w:textAlignment w:val="auto"/>
                  </w:pPr>
                </w:p>
              </w:tc>
              <w:tc>
                <w:tcPr>
                  <w:tcW w:w="1324" w:type="dxa"/>
                </w:tcPr>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sym w:font="Wingdings" w:char="00A8"/>
                  </w:r>
                  <w:r>
                    <w:rPr>
                      <w:rFonts w:hint="eastAsia"/>
                    </w:rPr>
                    <w:t xml:space="preserve">是  </w:t>
                  </w:r>
                  <w:r>
                    <w:rPr>
                      <w:rFonts w:hint="eastAsia"/>
                    </w:rPr>
                    <w:sym w:font="Wingdings" w:char="00A8"/>
                  </w:r>
                  <w:r>
                    <w:rPr>
                      <w:rFonts w:hint="eastAsia"/>
                    </w:rPr>
                    <w:t>否</w:t>
                  </w:r>
                </w:p>
              </w:tc>
            </w:tr>
          </w:tbl>
          <w:p>
            <w:pPr>
              <w:keepNext w:val="0"/>
              <w:keepLines w:val="0"/>
              <w:pageBreakBefore w:val="0"/>
              <w:kinsoku/>
              <w:wordWrap/>
              <w:overflowPunct/>
              <w:topLinePunct w:val="0"/>
              <w:autoSpaceDE/>
              <w:autoSpaceDN/>
              <w:bidi w:val="0"/>
              <w:adjustRightInd/>
              <w:snapToGrid/>
              <w:spacing w:before="157" w:beforeLines="50"/>
              <w:textAlignment w:val="auto"/>
            </w:pPr>
            <w:r>
              <w:rPr>
                <w:rFonts w:hint="eastAsia"/>
              </w:rPr>
              <w:t xml:space="preserve">主要证据体现在 </w:t>
            </w:r>
            <w:r>
              <w:rPr>
                <w:rFonts w:hint="eastAsia"/>
              </w:rPr>
              <w:sym w:font="Wingdings" w:char="00FE"/>
            </w:r>
            <w:r>
              <w:rPr>
                <w:rFonts w:hint="eastAsia"/>
              </w:rPr>
              <w:t>《</w:t>
            </w:r>
            <w:r>
              <w:rPr>
                <w:rFonts w:hint="eastAsia"/>
                <w:highlight w:val="none"/>
              </w:rPr>
              <w:t>相关方</w:t>
            </w:r>
            <w:r>
              <w:rPr>
                <w:rFonts w:hint="eastAsia"/>
                <w:highlight w:val="none"/>
                <w:lang w:val="en-US" w:eastAsia="zh-CN"/>
              </w:rPr>
              <w:t>及其需求和</w:t>
            </w:r>
            <w:r>
              <w:rPr>
                <w:rFonts w:hint="eastAsia"/>
                <w:highlight w:val="none"/>
              </w:rPr>
              <w:t>期望</w:t>
            </w:r>
            <w:r>
              <w:rPr>
                <w:rFonts w:hint="eastAsia"/>
                <w:highlight w:val="none"/>
                <w:lang w:val="en-US" w:eastAsia="zh-CN"/>
              </w:rPr>
              <w:t>表</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确定了与能源绩效和能源管理体系有关的相关方，识别相关方的有关需求和期望，制订出双方共赢的发展方案。公司应对这些相关方及其要求的相关信息进行监视和评审。公司的相关方有：有员工、股东、质量技术监督局、生态环境局、应急局、</w:t>
            </w:r>
            <w:r>
              <w:rPr>
                <w:rFonts w:hint="eastAsia" w:cs="Times New Roman"/>
                <w:szCs w:val="22"/>
                <w:lang w:val="en-US" w:eastAsia="zh-CN"/>
              </w:rPr>
              <w:t>供电公司、供水公司、</w:t>
            </w:r>
            <w:r>
              <w:rPr>
                <w:rFonts w:hint="eastAsia" w:ascii="Times New Roman" w:hAnsi="Times New Roman" w:eastAsia="宋体" w:cs="Times New Roman"/>
                <w:szCs w:val="22"/>
                <w:lang w:val="en-US" w:eastAsia="zh-CN"/>
              </w:rPr>
              <w:t>发改局、工信局、供应商、客户等。</w:t>
            </w:r>
          </w:p>
          <w:p>
            <w:pPr>
              <w:pStyle w:val="14"/>
              <w:keepNext w:val="0"/>
              <w:keepLines w:val="0"/>
              <w:pageBreakBefore w:val="0"/>
              <w:kinsoku/>
              <w:wordWrap/>
              <w:overflowPunct/>
              <w:topLinePunct w:val="0"/>
              <w:autoSpaceDE/>
              <w:autoSpaceDN/>
              <w:bidi w:val="0"/>
              <w:adjustRightInd/>
              <w:snapToGrid/>
              <w:spacing w:before="157" w:beforeLines="50" w:line="240" w:lineRule="auto"/>
              <w:ind w:left="0" w:leftChars="0" w:firstLine="0" w:firstLineChars="0"/>
              <w:textAlignment w:val="auto"/>
            </w:pPr>
            <w:r>
              <w:rPr>
                <w:rFonts w:hint="eastAsia" w:ascii="Times New Roman" w:hAnsi="Times New Roman" w:eastAsia="宋体" w:cs="Times New Roman"/>
                <w:kern w:val="2"/>
                <w:sz w:val="21"/>
                <w:szCs w:val="22"/>
                <w:lang w:val="en-US" w:eastAsia="zh-CN" w:bidi="ar-SA"/>
              </w:rPr>
              <w:t>公司每年都对相关方客及其要求评审一次，发生变化时，采取措施应对等。</w:t>
            </w:r>
          </w:p>
          <w:p>
            <w:pPr>
              <w:pStyle w:val="19"/>
              <w:keepNext w:val="0"/>
              <w:keepLines w:val="0"/>
              <w:pageBreakBefore w:val="0"/>
              <w:kinsoku/>
              <w:wordWrap/>
              <w:overflowPunct/>
              <w:topLinePunct w:val="0"/>
              <w:autoSpaceDE/>
              <w:autoSpaceDN/>
              <w:bidi w:val="0"/>
              <w:adjustRightInd/>
              <w:snapToGrid/>
              <w:spacing w:before="157" w:beforeLines="50" w:after="0" w:line="240" w:lineRule="auto"/>
              <w:textAlignment w:val="auto"/>
              <w:rPr>
                <w:rFonts w:hint="default" w:eastAsia="宋体"/>
                <w:lang w:val="en-US" w:eastAsia="zh-CN"/>
              </w:rPr>
            </w:pPr>
            <w:r>
              <w:rPr>
                <w:rFonts w:hint="eastAsia" w:ascii="Times New Roman" w:hAnsi="Times New Roman" w:eastAsia="宋体" w:cs="Times New Roman"/>
                <w:color w:val="auto"/>
                <w:spacing w:val="0"/>
                <w:kern w:val="2"/>
                <w:sz w:val="21"/>
                <w:szCs w:val="22"/>
                <w:lang w:val="en-US" w:eastAsia="zh-CN" w:bidi="ar-SA"/>
              </w:rPr>
              <w:t>基本满足要求。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10" w:type="dxa"/>
            <w:vMerge w:val="restart"/>
            <w:shd w:val="clear" w:color="auto" w:fill="auto"/>
          </w:tcPr>
          <w:p>
            <w:r>
              <w:rPr>
                <w:rFonts w:hint="eastAsia"/>
              </w:rPr>
              <w:t>确定</w:t>
            </w:r>
            <w:r>
              <w:rPr>
                <w:rFonts w:hint="eastAsia"/>
                <w:lang w:val="en-US" w:eastAsia="zh-CN"/>
              </w:rPr>
              <w:t>能源</w:t>
            </w:r>
            <w:r>
              <w:rPr>
                <w:rFonts w:hint="eastAsia"/>
              </w:rPr>
              <w:t>管理体系的范围</w:t>
            </w:r>
          </w:p>
        </w:tc>
        <w:tc>
          <w:tcPr>
            <w:tcW w:w="1121" w:type="dxa"/>
            <w:vMerge w:val="restart"/>
            <w:shd w:val="clear" w:color="auto" w:fill="auto"/>
          </w:tcPr>
          <w:p>
            <w:pPr>
              <w:rPr>
                <w:rFonts w:hint="default"/>
                <w:lang w:val="en-US" w:eastAsia="zh-CN"/>
              </w:rPr>
            </w:pPr>
            <w:r>
              <w:rPr>
                <w:rFonts w:hint="eastAsia"/>
                <w:lang w:val="en-US" w:eastAsia="zh-CN"/>
              </w:rPr>
              <w:t>En</w:t>
            </w:r>
            <w:r>
              <w:rPr>
                <w:rFonts w:hint="eastAsia"/>
              </w:rPr>
              <w:t>4.3</w:t>
            </w:r>
          </w:p>
        </w:tc>
        <w:tc>
          <w:tcPr>
            <w:tcW w:w="745" w:type="dxa"/>
            <w:gridSpan w:val="2"/>
            <w:shd w:val="clear" w:color="auto" w:fill="auto"/>
          </w:tcPr>
          <w:p>
            <w:r>
              <w:rPr>
                <w:rFonts w:hint="eastAsia"/>
              </w:rPr>
              <w:t>文件名称</w:t>
            </w:r>
          </w:p>
        </w:tc>
        <w:tc>
          <w:tcPr>
            <w:tcW w:w="9348" w:type="dxa"/>
            <w:gridSpan w:val="2"/>
            <w:shd w:val="clear" w:color="auto" w:fill="auto"/>
          </w:tcPr>
          <w:p>
            <w:r>
              <w:rPr>
                <w:rFonts w:hint="eastAsia"/>
              </w:rPr>
              <w:t>如：</w:t>
            </w:r>
            <w:r>
              <w:rPr/>
              <w:sym w:font="Wingdings" w:char="00FE"/>
            </w:r>
            <w:r>
              <w:rPr>
                <w:rFonts w:hint="eastAsia"/>
              </w:rPr>
              <w:t>管理手册第4.3章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10" w:type="dxa"/>
            <w:vMerge w:val="continue"/>
            <w:shd w:val="clear" w:color="auto" w:fill="auto"/>
          </w:tcPr>
          <w:p/>
        </w:tc>
        <w:tc>
          <w:tcPr>
            <w:tcW w:w="1121" w:type="dxa"/>
            <w:vMerge w:val="continue"/>
            <w:shd w:val="clear" w:color="auto" w:fill="auto"/>
          </w:tcPr>
          <w:p/>
        </w:tc>
        <w:tc>
          <w:tcPr>
            <w:tcW w:w="745" w:type="dxa"/>
            <w:gridSpan w:val="2"/>
            <w:shd w:val="clear" w:color="auto" w:fill="auto"/>
          </w:tcPr>
          <w:p>
            <w:r>
              <w:rPr>
                <w:rFonts w:hint="eastAsia"/>
              </w:rPr>
              <w:t>运行证据</w:t>
            </w:r>
          </w:p>
        </w:tc>
        <w:tc>
          <w:tcPr>
            <w:tcW w:w="9348" w:type="dxa"/>
            <w:gridSpan w:val="2"/>
            <w:shd w:val="clear" w:color="auto" w:fill="auto"/>
          </w:tcPr>
          <w:p>
            <w:r>
              <w:rPr>
                <w:rFonts w:hint="eastAsia"/>
              </w:rPr>
              <w:t>组织应明确相关管理体系的范围；</w:t>
            </w:r>
          </w:p>
          <w:tbl>
            <w:tblPr>
              <w:tblStyle w:val="17"/>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11" w:type="dxa"/>
                </w:tcPr>
                <w:p>
                  <w:r>
                    <w:rPr>
                      <w:rFonts w:hint="eastAsia"/>
                    </w:rPr>
                    <w:t>范围的项目</w:t>
                  </w:r>
                </w:p>
              </w:tc>
              <w:tc>
                <w:tcPr>
                  <w:tcW w:w="7059"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11" w:type="dxa"/>
                </w:tcPr>
                <w:p>
                  <w:r>
                    <w:rPr>
                      <w:rFonts w:hint="eastAsia"/>
                    </w:rPr>
                    <w:t>产品/服务的活动</w:t>
                  </w:r>
                </w:p>
              </w:tc>
              <w:tc>
                <w:tcPr>
                  <w:tcW w:w="7059" w:type="dxa"/>
                </w:tcPr>
                <w:p>
                  <w:pPr>
                    <w:pStyle w:val="14"/>
                  </w:pPr>
                  <w:bookmarkStart w:id="0" w:name="审核范围"/>
                  <w:r>
                    <w:rPr>
                      <w:sz w:val="20"/>
                    </w:rPr>
                    <w:t>CCC资质范围内的配电开关控制设备的制造，仪器仪表设备（含压力仪表、温度仪表、含水分析仪表、液位计、流量类仪表及装置、载荷传感器、振动传感器、位移传感器、油井RTU及远程终端控制模块、油田采出水水质在线分析仪、电力有源滤波器）的设计生产，余热技术利用服务。</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11" w:type="dxa"/>
                </w:tcPr>
                <w:p>
                  <w:r>
                    <w:rPr>
                      <w:rFonts w:hint="eastAsia"/>
                    </w:rPr>
                    <w:t xml:space="preserve">审核范围描述 </w:t>
                  </w:r>
                </w:p>
              </w:tc>
              <w:tc>
                <w:tcPr>
                  <w:tcW w:w="7059" w:type="dxa"/>
                </w:tcPr>
                <w:p>
                  <w:r>
                    <w:rPr>
                      <w:sz w:val="20"/>
                    </w:rPr>
                    <w:t>CCC资质范围内的配电开关控制设备的制造，仪器仪表设备（含压力仪表、温度仪表、含水分析仪表、液位计、流量类仪表及装置、载荷传感器、振动传感器、位移传感器、油井RTU及远程终端控制模块、油田采出水水质在线分析仪、电力有源滤波器）的设计生产，余热技术利用服务过程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lang w:val="en-US" w:eastAsia="zh-CN"/>
                    </w:rPr>
                  </w:pPr>
                  <w:r>
                    <w:rPr>
                      <w:rFonts w:hint="eastAsia"/>
                      <w:lang w:val="en-US" w:eastAsia="zh-CN"/>
                    </w:rPr>
                    <w:t>注册地址</w:t>
                  </w:r>
                </w:p>
              </w:tc>
              <w:tc>
                <w:tcPr>
                  <w:tcW w:w="7059" w:type="dxa"/>
                  <w:vAlign w:val="center"/>
                </w:tcPr>
                <w:p>
                  <w:pPr>
                    <w:rPr>
                      <w:rFonts w:hint="eastAsia"/>
                      <w:lang w:val="en-US" w:eastAsia="zh-CN"/>
                    </w:rPr>
                  </w:pPr>
                  <w:bookmarkStart w:id="1" w:name="注册地址"/>
                  <w:r>
                    <w:rPr>
                      <w:rFonts w:asciiTheme="minorEastAsia" w:hAnsiTheme="minorEastAsia" w:eastAsiaTheme="minorEastAsia"/>
                      <w:sz w:val="20"/>
                    </w:rPr>
                    <w:t>东营市河口区和平街以南、河口二、三矿以西</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7059" w:type="dxa"/>
                  <w:vAlign w:val="center"/>
                </w:tcPr>
                <w:p>
                  <w:pPr>
                    <w:rPr>
                      <w:rFonts w:hint="eastAsia"/>
                      <w:lang w:val="en-US" w:eastAsia="zh-CN"/>
                    </w:rPr>
                  </w:pPr>
                  <w:bookmarkStart w:id="2" w:name="生产地址"/>
                  <w:r>
                    <w:rPr>
                      <w:rFonts w:asciiTheme="minorEastAsia" w:hAnsiTheme="minorEastAsia" w:eastAsiaTheme="minorEastAsia"/>
                      <w:sz w:val="20"/>
                    </w:rPr>
                    <w:t>山东省东营市河口区通海科技楼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7059"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7059" w:type="dxa"/>
                </w:tcPr>
                <w:p>
                  <w:pPr>
                    <w:widowControl/>
                    <w:jc w:val="left"/>
                    <w:rPr>
                      <w:rFonts w:ascii="宋体" w:hAnsi="宋体" w:cs="宋体"/>
                      <w:color w:val="000000"/>
                      <w:kern w:val="0"/>
                      <w:szCs w:val="21"/>
                    </w:rPr>
                  </w:pPr>
                  <w:r>
                    <w:rPr>
                      <w:rFonts w:ascii="宋体" w:hAnsi="宋体" w:cs="宋体"/>
                      <w:color w:val="000000"/>
                      <w:kern w:val="0"/>
                      <w:szCs w:val="21"/>
                    </w:rPr>
                    <w:t>山东省东营市河口区通海科技楼</w:t>
                  </w:r>
                </w:p>
                <w:p>
                  <w:pPr>
                    <w:rPr>
                      <w:rFonts w:hint="default"/>
                      <w:lang w:val="en-US" w:eastAsia="zh-CN"/>
                    </w:rPr>
                  </w:pPr>
                  <w:r>
                    <w:rPr>
                      <w:rFonts w:hint="eastAsia"/>
                      <w:lang w:val="en-US" w:eastAsia="zh-CN"/>
                    </w:rPr>
                    <w:t>①</w:t>
                  </w:r>
                  <w:r>
                    <w:rPr>
                      <w:rFonts w:hint="default"/>
                      <w:lang w:val="en-US" w:eastAsia="zh-CN"/>
                    </w:rPr>
                    <w:t>电气生产车间</w:t>
                  </w:r>
                  <w:r>
                    <w:rPr>
                      <w:rFonts w:hint="eastAsia"/>
                      <w:lang w:val="en-US" w:eastAsia="zh-CN"/>
                    </w:rPr>
                    <w:t>：</w:t>
                  </w:r>
                  <w:r>
                    <w:rPr>
                      <w:rFonts w:hint="default"/>
                      <w:lang w:val="en-US" w:eastAsia="zh-CN"/>
                    </w:rPr>
                    <w:t>河口区海宁路中</w:t>
                  </w:r>
                  <w:r>
                    <w:rPr>
                      <w:rFonts w:hint="default"/>
                      <w:lang w:val="en-US" w:eastAsia="zh-CN"/>
                    </w:rPr>
                    <w:tab/>
                  </w:r>
                </w:p>
                <w:p>
                  <w:pPr>
                    <w:rPr>
                      <w:rFonts w:hint="default"/>
                      <w:lang w:val="en-US" w:eastAsia="zh-CN"/>
                    </w:rPr>
                  </w:pPr>
                  <w:r>
                    <w:rPr>
                      <w:rFonts w:hint="eastAsia"/>
                      <w:lang w:val="en-US" w:eastAsia="zh-CN"/>
                    </w:rPr>
                    <w:t>②</w:t>
                  </w:r>
                  <w:r>
                    <w:rPr>
                      <w:rFonts w:hint="default"/>
                      <w:lang w:val="en-US" w:eastAsia="zh-CN"/>
                    </w:rPr>
                    <w:t>仪表生产车间</w:t>
                  </w:r>
                  <w:r>
                    <w:rPr>
                      <w:rFonts w:hint="eastAsia"/>
                      <w:lang w:val="en-US" w:eastAsia="zh-CN"/>
                    </w:rPr>
                    <w:t>：</w:t>
                  </w:r>
                  <w:r>
                    <w:rPr>
                      <w:rFonts w:hint="default"/>
                      <w:lang w:val="en-US" w:eastAsia="zh-CN"/>
                    </w:rPr>
                    <w:t>河口区公园街北首</w:t>
                  </w:r>
                </w:p>
                <w:p>
                  <w:r>
                    <w:rPr>
                      <w:rFonts w:hint="eastAsia"/>
                      <w:lang w:val="en-US" w:eastAsia="zh-CN"/>
                    </w:rPr>
                    <w:t>③</w:t>
                  </w:r>
                  <w:r>
                    <w:rPr>
                      <w:rFonts w:hint="default"/>
                      <w:lang w:val="en-US" w:eastAsia="zh-CN"/>
                    </w:rPr>
                    <w:t>余热</w:t>
                  </w:r>
                  <w:r>
                    <w:rPr>
                      <w:rFonts w:hint="eastAsia"/>
                      <w:lang w:val="en-US" w:eastAsia="zh-CN"/>
                    </w:rPr>
                    <w:t>服务：</w:t>
                  </w:r>
                  <w:r>
                    <w:rPr>
                      <w:rFonts w:hint="eastAsia"/>
                      <w:color w:val="auto"/>
                      <w:sz w:val="21"/>
                      <w:szCs w:val="21"/>
                    </w:rPr>
                    <w:t>河口区河滨路通海工业园</w:t>
                  </w:r>
                  <w:r>
                    <w:rPr>
                      <w:rFonts w:hint="default"/>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059" w:type="dxa"/>
                </w:tcPr>
                <w:p>
                  <w:r>
                    <w:rPr>
                      <w:rFonts w:hint="eastAsia"/>
                    </w:rPr>
                    <w:sym w:font="Wingdings" w:char="00FE"/>
                  </w:r>
                  <w:r>
                    <w:rPr>
                      <w:rFonts w:hint="eastAsia"/>
                    </w:rPr>
                    <w:t>与组织结构图一致</w:t>
                  </w:r>
                </w:p>
                <w:p>
                  <w:r>
                    <w:rPr>
                      <w:rFonts w:hint="eastAsia"/>
                    </w:rPr>
                    <w:sym w:font="Wingdings" w:char="00A8"/>
                  </w:r>
                  <w:r>
                    <w:rPr>
                      <w:rFonts w:hint="eastAsia"/>
                    </w:rPr>
                    <w:t xml:space="preserve">分支机构，如：                   </w:t>
                  </w:r>
                </w:p>
                <w:p>
                  <w:r>
                    <w:rPr>
                      <w:rFonts w:hint="eastAsia"/>
                    </w:rPr>
                    <w:sym w:font="Wingdings" w:char="00A8"/>
                  </w:r>
                  <w:r>
                    <w:rPr>
                      <w:rFonts w:hint="eastAsia"/>
                    </w:rPr>
                    <w:t xml:space="preserve">临时场所，如：             </w:t>
                  </w:r>
                  <w: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059" w:type="dxa"/>
                </w:tcPr>
                <w:p>
                  <w:pPr>
                    <w:rPr>
                      <w:rFonts w:hint="default"/>
                      <w:lang w:val="en-US" w:eastAsia="zh-CN"/>
                    </w:rPr>
                  </w:pPr>
                  <w:r>
                    <w:fldChar w:fldCharType="begin"/>
                  </w:r>
                  <w:r>
                    <w:instrText xml:space="preserve"> </w:instrText>
                  </w:r>
                  <w:r>
                    <w:rPr>
                      <w:rFonts w:hint="eastAsia"/>
                    </w:rPr>
                    <w:instrText xml:space="preserve">eq \o\ac(□)</w:instrText>
                  </w:r>
                  <w:r>
                    <w:fldChar w:fldCharType="end"/>
                  </w:r>
                  <w:r>
                    <w:rPr>
                      <w:rFonts w:hint="eastAsia"/>
                    </w:rPr>
                    <w:t xml:space="preserve"> 体系建立以来</w:t>
                  </w:r>
                </w:p>
                <w:p>
                  <w:pPr>
                    <w:rPr>
                      <w:rFonts w:hint="eastAsia"/>
                      <w:lang w:val="en-US" w:eastAsia="zh-CN"/>
                    </w:rPr>
                  </w:pPr>
                  <w:r>
                    <w:rPr>
                      <w:rFonts w:hint="eastAsia"/>
                    </w:rPr>
                    <w:sym w:font="Wingdings" w:char="00FE"/>
                  </w:r>
                  <w:r>
                    <w:rPr>
                      <w:rFonts w:hint="eastAsia"/>
                      <w:lang w:val="en-US" w:eastAsia="zh-CN"/>
                    </w:rPr>
                    <w:t>近一年</w:t>
                  </w:r>
                  <w:r>
                    <w:rPr>
                      <w:rFonts w:hint="eastAsia"/>
                    </w:rPr>
                    <w:t>以来</w:t>
                  </w:r>
                </w:p>
              </w:tc>
            </w:tr>
          </w:tbl>
          <w:p/>
          <w:p>
            <w:pPr>
              <w:rPr>
                <w:rFonts w:hint="eastAsia"/>
              </w:rPr>
            </w:pPr>
            <w:r>
              <w:rPr>
                <w:rFonts w:hint="eastAsia"/>
              </w:rPr>
              <w:t>在企业的管理手册中有描述。</w:t>
            </w:r>
          </w:p>
          <w:p>
            <w:pPr>
              <w:keepNext w:val="0"/>
              <w:keepLines w:val="0"/>
              <w:pageBreakBefore w:val="0"/>
              <w:widowControl/>
              <w:kinsoku/>
              <w:wordWrap/>
              <w:overflowPunct/>
              <w:topLinePunct w:val="0"/>
              <w:autoSpaceDE/>
              <w:autoSpaceDN/>
              <w:bidi w:val="0"/>
              <w:adjustRightInd/>
              <w:snapToGrid/>
              <w:spacing w:before="157" w:beforeLines="50" w:line="240" w:lineRule="auto"/>
              <w:jc w:val="left"/>
              <w:textAlignment w:val="auto"/>
              <w:rPr>
                <w:rFonts w:hint="eastAsia"/>
                <w:lang w:eastAsia="zh-CN"/>
              </w:rPr>
            </w:pPr>
            <w:r>
              <w:rPr>
                <w:rFonts w:hint="eastAsia"/>
              </w:rPr>
              <w:t>按照GB/T 23331-2020/ISO 50001:2018及</w:t>
            </w:r>
            <w:r>
              <w:rPr>
                <w:rFonts w:hint="eastAsia" w:ascii="宋体" w:hAnsi="宋体" w:eastAsia="宋体" w:cs="宋体"/>
                <w:b w:val="0"/>
                <w:bCs w:val="0"/>
                <w:color w:val="000000"/>
                <w:kern w:val="0"/>
                <w:sz w:val="21"/>
                <w:szCs w:val="21"/>
                <w:lang w:val="en-US" w:eastAsia="zh-CN" w:bidi="ar"/>
              </w:rPr>
              <w:t>RB/T119-2015 能源管理体系 机械制造 行业认证要求</w:t>
            </w:r>
            <w:r>
              <w:rPr>
                <w:rFonts w:hint="eastAsia"/>
              </w:rPr>
              <w:t xml:space="preserve"> 等标准的要求建立的能源管理体系，已形成《能源管理体系手册》，并实施和保持，持续改进体系的其有效性。通过运行管理体系达到能源管理体系所需的过程融入到企业的生产过程，制定所需的准则和方法并进行有效控制</w:t>
            </w:r>
            <w:r>
              <w:rPr>
                <w:rFonts w:hint="eastAsia"/>
                <w:lang w:eastAsia="zh-CN"/>
              </w:rPr>
              <w:t>。</w:t>
            </w:r>
            <w:r>
              <w:rPr>
                <w:rFonts w:hint="eastAsia"/>
              </w:rPr>
              <w:t>能源管理体系自202</w:t>
            </w:r>
            <w:r>
              <w:rPr>
                <w:rFonts w:hint="eastAsia"/>
                <w:lang w:val="en-US" w:eastAsia="zh-CN"/>
              </w:rPr>
              <w:t>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日正式实施运行以来</w:t>
            </w:r>
            <w:r>
              <w:rPr>
                <w:rFonts w:hint="eastAsia"/>
                <w:lang w:val="en-US" w:eastAsia="zh-CN"/>
              </w:rPr>
              <w:t>，能源管理体系运行</w:t>
            </w:r>
            <w:r>
              <w:rPr>
                <w:rFonts w:hint="eastAsia"/>
              </w:rPr>
              <w:t>已取得较好的能源绩效。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10" w:type="dxa"/>
            <w:vMerge w:val="restart"/>
            <w:shd w:val="clear" w:color="auto" w:fill="auto"/>
          </w:tcPr>
          <w:p>
            <w:r>
              <w:rPr>
                <w:rFonts w:hint="eastAsia"/>
              </w:rPr>
              <w:t>能源管理体系</w:t>
            </w:r>
          </w:p>
        </w:tc>
        <w:tc>
          <w:tcPr>
            <w:tcW w:w="1122" w:type="dxa"/>
            <w:gridSpan w:val="2"/>
            <w:vMerge w:val="restart"/>
            <w:shd w:val="clear" w:color="auto" w:fill="auto"/>
          </w:tcPr>
          <w:p>
            <w:r>
              <w:rPr>
                <w:rFonts w:hint="eastAsia"/>
              </w:rPr>
              <w:t>E</w:t>
            </w:r>
            <w:r>
              <w:rPr>
                <w:rFonts w:hint="eastAsia"/>
                <w:lang w:val="en-US" w:eastAsia="zh-CN"/>
              </w:rPr>
              <w:t>n</w:t>
            </w:r>
            <w:r>
              <w:rPr>
                <w:rFonts w:hint="eastAsia"/>
              </w:rPr>
              <w:t xml:space="preserve">4.4 </w:t>
            </w:r>
          </w:p>
        </w:tc>
        <w:tc>
          <w:tcPr>
            <w:tcW w:w="745" w:type="dxa"/>
            <w:gridSpan w:val="2"/>
            <w:shd w:val="clear" w:color="auto" w:fill="auto"/>
          </w:tcPr>
          <w:p>
            <w:r>
              <w:rPr>
                <w:rFonts w:hint="eastAsia"/>
              </w:rPr>
              <w:t>文件名称</w:t>
            </w:r>
          </w:p>
        </w:tc>
        <w:tc>
          <w:tcPr>
            <w:tcW w:w="9347" w:type="dxa"/>
            <w:shd w:val="clear" w:color="auto" w:fill="auto"/>
          </w:tcPr>
          <w:p>
            <w:r>
              <w:rPr>
                <w:rFonts w:hint="eastAsia"/>
              </w:rPr>
              <w:t>如：管理手册第</w:t>
            </w:r>
            <w:r>
              <w:rPr>
                <w:rFonts w:hint="eastAsia"/>
                <w:lang w:val="en-US" w:eastAsia="zh-CN"/>
              </w:rPr>
              <w:t>4.4</w:t>
            </w:r>
            <w:r>
              <w:rPr>
                <w:rFonts w:hint="eastAsia"/>
              </w:rPr>
              <w:t>章</w:t>
            </w:r>
          </w:p>
        </w:tc>
        <w:tc>
          <w:tcPr>
            <w:tcW w:w="1585" w:type="dxa"/>
            <w:vMerge w:val="restart"/>
            <w:shd w:val="clear" w:color="auto" w:fill="auto"/>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8" w:hRule="atLeast"/>
        </w:trPr>
        <w:tc>
          <w:tcPr>
            <w:tcW w:w="1910" w:type="dxa"/>
            <w:vMerge w:val="continue"/>
            <w:shd w:val="clear" w:color="auto" w:fill="auto"/>
          </w:tcPr>
          <w:p/>
        </w:tc>
        <w:tc>
          <w:tcPr>
            <w:tcW w:w="1122" w:type="dxa"/>
            <w:gridSpan w:val="2"/>
            <w:vMerge w:val="continue"/>
            <w:shd w:val="clear" w:color="auto" w:fill="auto"/>
          </w:tcPr>
          <w:p/>
        </w:tc>
        <w:tc>
          <w:tcPr>
            <w:tcW w:w="745" w:type="dxa"/>
            <w:gridSpan w:val="2"/>
            <w:shd w:val="clear" w:color="auto" w:fill="auto"/>
          </w:tcPr>
          <w:p>
            <w:r>
              <w:rPr>
                <w:rFonts w:hint="eastAsia"/>
              </w:rPr>
              <w:t>运行证据</w:t>
            </w:r>
          </w:p>
        </w:tc>
        <w:tc>
          <w:tcPr>
            <w:tcW w:w="9347" w:type="dxa"/>
            <w:shd w:val="clear" w:color="auto" w:fill="auto"/>
          </w:tcPr>
          <w:p>
            <w:pPr>
              <w:keepNext w:val="0"/>
              <w:keepLines w:val="0"/>
              <w:pageBreakBefore w:val="0"/>
              <w:widowControl w:val="0"/>
              <w:kinsoku/>
              <w:wordWrap/>
              <w:overflowPunct/>
              <w:topLinePunct w:val="0"/>
              <w:autoSpaceDE/>
              <w:autoSpaceDN/>
              <w:bidi w:val="0"/>
              <w:adjustRightInd/>
              <w:snapToGrid/>
              <w:spacing w:before="120"/>
              <w:textAlignment w:val="auto"/>
              <w:rPr>
                <w:rFonts w:hint="eastAsia"/>
                <w:lang w:val="en-GB"/>
              </w:rPr>
            </w:pPr>
            <w:r>
              <w:rPr>
                <w:rFonts w:hint="eastAsia"/>
              </w:rPr>
              <w:t>组织考虑了内外部问题和相关方期望对</w:t>
            </w:r>
            <w:r>
              <w:rPr>
                <w:rFonts w:hint="eastAsia"/>
                <w:lang w:val="en-US" w:eastAsia="zh-CN"/>
              </w:rPr>
              <w:t>能源</w:t>
            </w:r>
            <w:r>
              <w:rPr>
                <w:rFonts w:hint="eastAsia"/>
              </w:rPr>
              <w:t>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rPr>
                <w:rFonts w:hint="eastAsia" w:ascii="Times New Roman" w:hAnsi="Times New Roman" w:eastAsia="宋体" w:cs="Times New Roman"/>
                <w:szCs w:val="22"/>
                <w:lang w:val="en-US" w:eastAsia="zh-CN"/>
              </w:rPr>
            </w:pPr>
            <w:bookmarkStart w:id="3" w:name="组织名称"/>
            <w:r>
              <w:rPr>
                <w:sz w:val="21"/>
                <w:szCs w:val="21"/>
              </w:rPr>
              <w:t>山东胜利通海集团东营天蓝节能科技有限公司</w:t>
            </w:r>
            <w:bookmarkEnd w:id="3"/>
            <w:r>
              <w:rPr>
                <w:rFonts w:hint="eastAsia" w:ascii="Times New Roman" w:hAnsi="Times New Roman" w:eastAsia="宋体" w:cs="Times New Roman"/>
                <w:szCs w:val="22"/>
                <w:lang w:val="en-US" w:eastAsia="zh-CN"/>
              </w:rPr>
              <w:t>成立于</w:t>
            </w:r>
            <w:r>
              <w:rPr>
                <w:rFonts w:hint="eastAsia" w:ascii="宋体" w:hAnsi="宋体" w:cs="宋体"/>
                <w:color w:val="auto"/>
                <w:kern w:val="0"/>
                <w:szCs w:val="21"/>
              </w:rPr>
              <w:t>2</w:t>
            </w:r>
            <w:r>
              <w:rPr>
                <w:rFonts w:hint="eastAsia" w:ascii="宋体" w:hAnsi="宋体" w:cs="宋体"/>
                <w:color w:val="auto"/>
                <w:kern w:val="0"/>
                <w:szCs w:val="21"/>
                <w:lang w:val="en-US" w:eastAsia="zh-CN"/>
              </w:rPr>
              <w:t>012</w:t>
            </w:r>
            <w:r>
              <w:rPr>
                <w:rFonts w:hint="eastAsia" w:ascii="宋体" w:hAnsi="宋体" w:cs="宋体"/>
                <w:color w:val="auto"/>
                <w:kern w:val="0"/>
                <w:szCs w:val="21"/>
              </w:rPr>
              <w:t>-09-12</w:t>
            </w:r>
            <w:r>
              <w:rPr>
                <w:rFonts w:hint="eastAsia" w:ascii="Times New Roman" w:hAnsi="Times New Roman" w:eastAsia="宋体" w:cs="Times New Roman"/>
                <w:color w:val="auto"/>
                <w:szCs w:val="22"/>
                <w:lang w:val="en-US" w:eastAsia="zh-CN"/>
              </w:rPr>
              <w:t>，</w:t>
            </w:r>
            <w:r>
              <w:rPr>
                <w:rFonts w:hint="eastAsia" w:ascii="Times New Roman" w:hAnsi="Times New Roman" w:eastAsia="宋体" w:cs="Times New Roman"/>
                <w:szCs w:val="22"/>
                <w:lang w:val="en-US" w:eastAsia="zh-CN"/>
              </w:rPr>
              <w:t>注册地位于</w:t>
            </w:r>
            <w:r>
              <w:rPr>
                <w:rFonts w:hint="eastAsia" w:ascii="宋体" w:hAnsi="宋体" w:cs="宋体"/>
                <w:color w:val="000000"/>
                <w:kern w:val="0"/>
                <w:szCs w:val="21"/>
              </w:rPr>
              <w:t>东营市河口区和平街以南、河口二、三矿以西</w:t>
            </w:r>
            <w:r>
              <w:rPr>
                <w:rFonts w:hint="eastAsia" w:ascii="Times New Roman" w:hAnsi="Times New Roman" w:eastAsia="宋体" w:cs="Times New Roman"/>
                <w:szCs w:val="22"/>
                <w:lang w:val="en-US" w:eastAsia="zh-CN"/>
              </w:rPr>
              <w:t>，法定代表人为</w:t>
            </w:r>
            <w:r>
              <w:rPr>
                <w:rFonts w:hint="eastAsia" w:ascii="宋体" w:hAnsi="宋体" w:cs="宋体"/>
                <w:color w:val="000000"/>
                <w:kern w:val="0"/>
                <w:szCs w:val="21"/>
              </w:rPr>
              <w:t>高志刚</w:t>
            </w:r>
            <w:r>
              <w:rPr>
                <w:rFonts w:hint="eastAsia" w:ascii="Times New Roman" w:hAnsi="Times New Roman" w:eastAsia="宋体" w:cs="Times New Roman"/>
                <w:szCs w:val="22"/>
                <w:lang w:val="en-US" w:eastAsia="zh-CN"/>
              </w:rPr>
              <w:t>。经营范围包括</w:t>
            </w:r>
            <w:r>
              <w:rPr>
                <w:rFonts w:hint="eastAsia" w:ascii="宋体" w:hAnsi="宋体" w:cs="宋体"/>
                <w:color w:val="000000"/>
                <w:kern w:val="0"/>
                <w:szCs w:val="21"/>
              </w:rPr>
              <w:t>经营范围包括合同能源管理；石油设备及配件、变频控制柜、变送器、控制器、化工产品（不含危险品）、电子安防产品、计算机、软件及辅助设备、办公自动化设备、阀门及配套设备的销售；软件开发，自动化控制系统集成及销售；石油技术、废气利用技术、电子安防技术、光电一体化技术的研发；信息网络技术、能源综合利用技术、高效节能技术的服务；低压成套电器设备生产、销售；电子工程；仪器仪表设备生产、销售；质检技术服务；配电开关控制设备制造；制冷设备维修；电气安装；管道和设备安装；计算机和辅助设备修理；日用电器修理；机械设备、办公用品、制冷、空调设备销售。（依法须经批准的项目，经相关部门批准后方可开展经营活动）许可项目：各类工程建设活动（依法须经批准的项目，经相关部门批准后方可开展经营活动，具体经营项目以审批结果为准</w:t>
            </w:r>
            <w:r>
              <w:rPr>
                <w:rFonts w:hint="eastAsia" w:ascii="宋体" w:hAnsi="宋体" w:cs="宋体"/>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spacing w:before="120"/>
              <w:textAlignment w:val="auto"/>
              <w:rPr>
                <w:rFonts w:hint="eastAsia"/>
                <w:szCs w:val="22"/>
              </w:rPr>
            </w:pPr>
            <w:r>
              <w:rPr>
                <w:rFonts w:hint="eastAsia"/>
                <w:szCs w:val="22"/>
                <w:lang w:val="en-US" w:eastAsia="zh-CN"/>
              </w:rPr>
              <w:t>公司总经理重视节能降耗工作，任命副总经理</w:t>
            </w:r>
            <w:r>
              <w:rPr>
                <w:rFonts w:hint="eastAsia" w:asciiTheme="minorEastAsia" w:hAnsiTheme="minorEastAsia"/>
                <w:sz w:val="21"/>
                <w:szCs w:val="21"/>
              </w:rPr>
              <w:t>柴泽峰</w:t>
            </w:r>
            <w:r>
              <w:rPr>
                <w:rFonts w:hint="eastAsia"/>
                <w:szCs w:val="22"/>
                <w:lang w:val="en-US" w:eastAsia="zh-CN"/>
              </w:rPr>
              <w:t>为能源体系管理者代表，具体负责能源管理工作。为了系统高效地开展节约能源工作，使公司原有的节能管理更加系统化、规范化、标准化，公司根据GB/T 23331-2020 idt ISO 50001:2018标准、RB/T119-2015标准及国家相关法律法规，充分结合公司能源管理的实际情况，建立能源管理体系，并编写“管理手册”及相应的能源控制文件，通过全面系统的策划、实施、检查和改进，对能源管理的全过程进行系统的科学监控，有效控制能源消耗并最终实现提高能源利用效率、降低能源消耗的目的。</w:t>
            </w:r>
          </w:p>
          <w:p>
            <w:pPr>
              <w:pStyle w:val="20"/>
              <w:keepNext w:val="0"/>
              <w:keepLines w:val="0"/>
              <w:pageBreakBefore w:val="0"/>
              <w:widowControl w:val="0"/>
              <w:kinsoku/>
              <w:wordWrap/>
              <w:overflowPunct/>
              <w:topLinePunct w:val="0"/>
              <w:autoSpaceDE/>
              <w:autoSpaceDN/>
              <w:bidi w:val="0"/>
              <w:adjustRightInd/>
              <w:snapToGrid/>
              <w:spacing w:before="120" w:after="0"/>
              <w:textAlignment w:val="auto"/>
              <w:rPr>
                <w:rFonts w:hint="default"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企业建立了能源管理体系的运行过程管理，采用PDCA的循环管理不断提升管理水平。</w:t>
            </w:r>
          </w:p>
          <w:p>
            <w:pPr>
              <w:keepNext w:val="0"/>
              <w:keepLines w:val="0"/>
              <w:pageBreakBefore w:val="0"/>
              <w:widowControl w:val="0"/>
              <w:kinsoku/>
              <w:wordWrap/>
              <w:overflowPunct/>
              <w:topLinePunct w:val="0"/>
              <w:autoSpaceDE/>
              <w:autoSpaceDN/>
              <w:bidi w:val="0"/>
              <w:adjustRightInd/>
              <w:snapToGrid/>
              <w:spacing w:before="120"/>
              <w:textAlignment w:val="auto"/>
              <w:rPr>
                <w:rFonts w:hint="default"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能源种类：电、水</w:t>
            </w:r>
          </w:p>
          <w:p>
            <w:pPr>
              <w:keepNext w:val="0"/>
              <w:keepLines w:val="0"/>
              <w:pageBreakBefore w:val="0"/>
              <w:kinsoku/>
              <w:wordWrap/>
              <w:overflowPunct/>
              <w:topLinePunct w:val="0"/>
              <w:autoSpaceDE/>
              <w:autoSpaceDN/>
              <w:bidi w:val="0"/>
              <w:adjustRightInd/>
              <w:snapToGrid/>
              <w:spacing w:before="120"/>
              <w:textAlignment w:val="auto"/>
            </w:pPr>
            <w:r>
              <w:rPr>
                <w:rFonts w:hint="eastAsia"/>
              </w:rPr>
              <w:t>影响运行的重要</w:t>
            </w:r>
            <w:r>
              <w:rPr>
                <w:rFonts w:hint="eastAsia"/>
                <w:lang w:val="en-GB"/>
              </w:rPr>
              <w:t>过程如下</w:t>
            </w:r>
            <w:r>
              <w:rPr>
                <w:rFonts w:hint="eastAsia"/>
              </w:rPr>
              <w:t>:</w:t>
            </w:r>
            <w:r>
              <w:rPr>
                <w:rFonts w:hint="eastAsia"/>
                <w:lang w:val="en-GB"/>
              </w:rPr>
              <w:t xml:space="preserve"> （</w:t>
            </w:r>
            <w:r>
              <w:rPr>
                <w:rFonts w:hint="eastAsia"/>
              </w:rPr>
              <w:t>不必全选</w:t>
            </w:r>
            <w:r>
              <w:rPr>
                <w:rFonts w:hint="eastAsia"/>
                <w:lang w:val="en-GB"/>
              </w:rPr>
              <w:t>）</w:t>
            </w:r>
          </w:p>
          <w:p>
            <w:pPr>
              <w:keepNext w:val="0"/>
              <w:keepLines w:val="0"/>
              <w:pageBreakBefore w:val="0"/>
              <w:kinsoku/>
              <w:wordWrap/>
              <w:overflowPunct/>
              <w:topLinePunct w:val="0"/>
              <w:autoSpaceDE/>
              <w:autoSpaceDN/>
              <w:bidi w:val="0"/>
              <w:adjustRightInd/>
              <w:snapToGrid/>
              <w:spacing w:before="120"/>
              <w:textAlignment w:val="auto"/>
              <w:rPr>
                <w:rFonts w:hint="eastAsia"/>
              </w:rPr>
            </w:pPr>
            <w:r>
              <w:rPr>
                <w:rFonts w:hint="eastAsia"/>
              </w:rPr>
              <w:t xml:space="preserve">☑能源消耗过程控制 □污染物排放控制 </w:t>
            </w:r>
            <w:r>
              <w:rPr>
                <w:rFonts w:hint="eastAsia"/>
                <w:lang w:eastAsia="zh-CN"/>
              </w:rPr>
              <w:t>☑</w:t>
            </w:r>
            <w:r>
              <w:rPr>
                <w:rFonts w:hint="eastAsia"/>
              </w:rPr>
              <w:t xml:space="preserve">人员能力管理 </w:t>
            </w:r>
            <w:r>
              <w:rPr>
                <w:rFonts w:hint="eastAsia"/>
                <w:lang w:eastAsia="zh-CN"/>
              </w:rPr>
              <w:t>□</w:t>
            </w:r>
            <w:r>
              <w:rPr>
                <w:rFonts w:hint="eastAsia"/>
              </w:rPr>
              <w:t xml:space="preserve">危化品管理 </w:t>
            </w:r>
            <w:r>
              <w:rPr>
                <w:rFonts w:hint="eastAsia"/>
                <w:lang w:eastAsia="zh-CN"/>
              </w:rPr>
              <w:t>□</w:t>
            </w:r>
            <w:r>
              <w:rPr>
                <w:rFonts w:hint="eastAsia"/>
              </w:rPr>
              <w:t xml:space="preserve">特种设备的能效管理 </w:t>
            </w:r>
          </w:p>
          <w:p>
            <w:pPr>
              <w:keepNext w:val="0"/>
              <w:keepLines w:val="0"/>
              <w:pageBreakBefore w:val="0"/>
              <w:kinsoku/>
              <w:wordWrap/>
              <w:overflowPunct/>
              <w:topLinePunct w:val="0"/>
              <w:autoSpaceDE/>
              <w:autoSpaceDN/>
              <w:bidi w:val="0"/>
              <w:adjustRightInd/>
              <w:snapToGrid/>
              <w:spacing w:before="120"/>
              <w:textAlignment w:val="auto"/>
            </w:pPr>
            <w:r>
              <w:rPr>
                <w:rFonts w:hint="eastAsia"/>
              </w:rPr>
              <w:t xml:space="preserve"> ☑主要耗能设备管理  ☑能源计量管理  □其他  </w:t>
            </w:r>
          </w:p>
          <w:p>
            <w:pPr>
              <w:keepNext w:val="0"/>
              <w:keepLines w:val="0"/>
              <w:pageBreakBefore w:val="0"/>
              <w:kinsoku/>
              <w:wordWrap/>
              <w:overflowPunct/>
              <w:topLinePunct w:val="0"/>
              <w:autoSpaceDE/>
              <w:autoSpaceDN/>
              <w:bidi w:val="0"/>
              <w:adjustRightInd/>
              <w:snapToGrid/>
              <w:spacing w:before="120"/>
              <w:textAlignment w:val="auto"/>
            </w:pPr>
            <w:r>
              <w:rPr>
                <w:rFonts w:hint="eastAsia"/>
                <w:lang w:val="en-GB"/>
              </w:rPr>
              <w:t>组织通过</w:t>
            </w:r>
            <w:r>
              <w:rPr>
                <w:rFonts w:hint="eastAsia"/>
              </w:rPr>
              <w:t>节能</w:t>
            </w:r>
            <w:r>
              <w:rPr>
                <w:rFonts w:hint="eastAsia"/>
                <w:lang w:val="en-GB"/>
              </w:rPr>
              <w:t>目标的建立、实施、</w:t>
            </w:r>
            <w:r>
              <w:rPr>
                <w:rFonts w:hint="eastAsia"/>
              </w:rPr>
              <w:t>能源评审</w:t>
            </w:r>
            <w:r>
              <w:rPr>
                <w:rFonts w:hint="eastAsia"/>
                <w:lang w:val="en-GB"/>
              </w:rPr>
              <w:t>、内审和管理评审等方式，有效地</w:t>
            </w:r>
            <w:r>
              <w:rPr>
                <w:rFonts w:hint="eastAsia"/>
              </w:rPr>
              <w:t>管理及</w:t>
            </w:r>
            <w:r>
              <w:rPr>
                <w:rFonts w:hint="eastAsia"/>
                <w:lang w:val="en-GB"/>
              </w:rPr>
              <w:t>控制这些</w:t>
            </w:r>
            <w:r>
              <w:rPr>
                <w:rFonts w:hint="eastAsia"/>
              </w:rPr>
              <w:t>能源管理体系中覆盖的过程</w:t>
            </w:r>
            <w:r>
              <w:rPr>
                <w:rFonts w:hint="eastAsia"/>
                <w:lang w:val="en-GB"/>
              </w:rPr>
              <w:t>和活动</w:t>
            </w:r>
            <w:r>
              <w:rPr>
                <w:rFonts w:hint="eastAsia"/>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10" w:type="dxa"/>
            <w:vMerge w:val="restart"/>
            <w:shd w:val="clear" w:color="auto" w:fill="auto"/>
          </w:tcPr>
          <w:p>
            <w:r>
              <w:rPr>
                <w:rFonts w:hint="eastAsia"/>
              </w:rPr>
              <w:t>领导作用与承诺</w:t>
            </w:r>
          </w:p>
        </w:tc>
        <w:tc>
          <w:tcPr>
            <w:tcW w:w="1122" w:type="dxa"/>
            <w:gridSpan w:val="2"/>
            <w:vMerge w:val="restart"/>
            <w:shd w:val="clear" w:color="auto" w:fill="auto"/>
          </w:tcPr>
          <w:p>
            <w:r>
              <w:rPr>
                <w:rFonts w:hint="eastAsia"/>
              </w:rPr>
              <w:t>En5.1</w:t>
            </w:r>
          </w:p>
        </w:tc>
        <w:tc>
          <w:tcPr>
            <w:tcW w:w="745" w:type="dxa"/>
            <w:gridSpan w:val="2"/>
            <w:shd w:val="clear" w:color="auto" w:fill="auto"/>
          </w:tcPr>
          <w:p>
            <w:r>
              <w:rPr>
                <w:rFonts w:hint="eastAsia"/>
              </w:rPr>
              <w:t>文件名称</w:t>
            </w:r>
          </w:p>
        </w:tc>
        <w:tc>
          <w:tcPr>
            <w:tcW w:w="9347" w:type="dxa"/>
            <w:shd w:val="clear" w:color="auto" w:fill="auto"/>
          </w:tcPr>
          <w:p>
            <w:r>
              <w:rPr>
                <w:rFonts w:hint="eastAsia"/>
              </w:rPr>
              <w:t>如：管理手册第</w:t>
            </w:r>
            <w:r>
              <w:rPr>
                <w:rFonts w:hint="eastAsia"/>
                <w:lang w:val="en-US" w:eastAsia="zh-CN"/>
              </w:rPr>
              <w:t>5.5</w:t>
            </w:r>
            <w:r>
              <w:rPr>
                <w:rFonts w:hint="eastAsia"/>
              </w:rPr>
              <w:t>章和“总经理岗位职责”</w:t>
            </w:r>
          </w:p>
        </w:tc>
        <w:tc>
          <w:tcPr>
            <w:tcW w:w="1585" w:type="dxa"/>
            <w:vMerge w:val="restart"/>
            <w:shd w:val="clear" w:color="auto" w:fill="auto"/>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10" w:type="dxa"/>
            <w:vMerge w:val="continue"/>
            <w:shd w:val="clear" w:color="auto" w:fill="auto"/>
          </w:tcPr>
          <w:p/>
        </w:tc>
        <w:tc>
          <w:tcPr>
            <w:tcW w:w="1122" w:type="dxa"/>
            <w:gridSpan w:val="2"/>
            <w:vMerge w:val="continue"/>
            <w:shd w:val="clear" w:color="auto" w:fill="auto"/>
          </w:tcPr>
          <w:p/>
        </w:tc>
        <w:tc>
          <w:tcPr>
            <w:tcW w:w="745" w:type="dxa"/>
            <w:gridSpan w:val="2"/>
            <w:shd w:val="clear" w:color="auto" w:fill="auto"/>
          </w:tcPr>
          <w:p>
            <w:r>
              <w:rPr>
                <w:rFonts w:hint="eastAsia"/>
              </w:rPr>
              <w:t>运行证据</w:t>
            </w:r>
          </w:p>
        </w:tc>
        <w:tc>
          <w:tcPr>
            <w:tcW w:w="9347" w:type="dxa"/>
            <w:shd w:val="clear" w:color="auto" w:fill="auto"/>
          </w:tcPr>
          <w:p>
            <w:r>
              <w:rPr>
                <w:rFonts w:hint="eastAsia"/>
              </w:rPr>
              <w:t xml:space="preserve"> 与最高管理者沟通其领导作用与承诺：</w:t>
            </w:r>
          </w:p>
          <w:p>
            <w:r>
              <w:rPr>
                <w:rFonts w:hint="eastAsia"/>
              </w:rPr>
              <w:sym w:font="Wingdings" w:char="00FE"/>
            </w:r>
            <w:r>
              <w:rPr>
                <w:rFonts w:hint="eastAsia"/>
              </w:rPr>
              <w:t xml:space="preserve">对能源管理体系的有效性负责； </w:t>
            </w:r>
          </w:p>
          <w:p>
            <w:r>
              <w:rPr>
                <w:rFonts w:hint="eastAsia"/>
              </w:rPr>
              <w:sym w:font="Wingdings" w:char="00FE"/>
            </w:r>
            <w:r>
              <w:rPr>
                <w:rFonts w:hint="eastAsia"/>
              </w:rPr>
              <w:t xml:space="preserve">确保建立能源方针和能源目标，并与组织的战略方向和所处的环境相一致； </w:t>
            </w:r>
          </w:p>
          <w:p>
            <w:r>
              <w:rPr>
                <w:rFonts w:hint="eastAsia"/>
              </w:rPr>
              <w:sym w:font="Wingdings" w:char="00FE"/>
            </w:r>
            <w:r>
              <w:rPr>
                <w:rFonts w:hint="eastAsia"/>
              </w:rPr>
              <w:t xml:space="preserve">确保将能源管理体系要求融入组织的业务过程；  </w:t>
            </w:r>
          </w:p>
          <w:p>
            <w:r>
              <w:rPr>
                <w:rFonts w:hint="eastAsia"/>
              </w:rPr>
              <w:sym w:font="Wingdings" w:char="00FE"/>
            </w:r>
            <w:r>
              <w:rPr>
                <w:rFonts w:hint="eastAsia"/>
              </w:rPr>
              <w:t xml:space="preserve">促进使用过程方法和基于风险的思维； </w:t>
            </w:r>
          </w:p>
          <w:p>
            <w:r>
              <w:rPr>
                <w:rFonts w:hint="eastAsia"/>
              </w:rPr>
              <w:sym w:font="Wingdings" w:char="00FE"/>
            </w:r>
            <w:r>
              <w:rPr>
                <w:rFonts w:hint="eastAsia"/>
              </w:rPr>
              <w:t xml:space="preserve">确保可获得能源管理体系所需的资源； </w:t>
            </w:r>
          </w:p>
          <w:p>
            <w:r>
              <w:rPr>
                <w:rFonts w:hint="eastAsia"/>
              </w:rPr>
              <w:sym w:font="Wingdings" w:char="00FE"/>
            </w:r>
            <w:r>
              <w:rPr>
                <w:rFonts w:hint="eastAsia"/>
              </w:rPr>
              <w:t>就有效的能源管理的重要性和符合性绩效沟通；</w:t>
            </w:r>
          </w:p>
          <w:p>
            <w:r>
              <w:rPr>
                <w:rFonts w:hint="eastAsia"/>
              </w:rPr>
              <w:sym w:font="Wingdings" w:char="00FE"/>
            </w:r>
            <w:r>
              <w:rPr>
                <w:rFonts w:hint="eastAsia"/>
              </w:rPr>
              <w:t>确保能源管理体系实现其预期结果；</w:t>
            </w:r>
          </w:p>
          <w:p>
            <w:r>
              <w:rPr>
                <w:rFonts w:hint="eastAsia"/>
              </w:rPr>
              <w:sym w:font="Wingdings" w:char="00FE"/>
            </w:r>
            <w:r>
              <w:rPr>
                <w:rFonts w:hint="eastAsia"/>
              </w:rPr>
              <w:t>指导并支持员对能源管理体系的有效性做出贡献；</w:t>
            </w:r>
          </w:p>
          <w:p>
            <w:r>
              <w:rPr>
                <w:rFonts w:hint="eastAsia"/>
              </w:rPr>
              <w:sym w:font="Wingdings" w:char="00FE"/>
            </w:r>
            <w:r>
              <w:rPr>
                <w:rFonts w:hint="eastAsia"/>
              </w:rPr>
              <w:t>促进推动改进；</w:t>
            </w:r>
          </w:p>
          <w:p>
            <w:r>
              <w:rPr>
                <w:rFonts w:hint="eastAsia"/>
              </w:rPr>
              <w:sym w:font="Wingdings" w:char="00FE"/>
            </w:r>
            <w:r>
              <w:rPr>
                <w:rFonts w:hint="eastAsia"/>
              </w:rPr>
              <w:t>支持其他相关管理人员在其职责范围内证实其领导作用。</w:t>
            </w:r>
          </w:p>
          <w:p>
            <w:r>
              <w:rPr>
                <w:rFonts w:hint="eastAsia"/>
              </w:rPr>
              <w:sym w:font="Wingdings" w:char="00FE"/>
            </w:r>
            <w:r>
              <w:rPr>
                <w:rFonts w:hint="eastAsia"/>
              </w:rPr>
              <w:t xml:space="preserve"> 覆盖了标准第5.1章的全面要求，</w:t>
            </w:r>
            <w:r>
              <w:rPr>
                <w:rFonts w:hint="eastAsia"/>
              </w:rPr>
              <w:sym w:font="Wingdings" w:char="00A8"/>
            </w:r>
            <w:r>
              <w:rPr>
                <w:rFonts w:hint="eastAsia"/>
              </w:rPr>
              <w:t xml:space="preserve"> 未覆盖标准第5.1章的全面要求，缺少：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10" w:type="dxa"/>
            <w:vMerge w:val="restart"/>
            <w:shd w:val="clear" w:color="auto" w:fill="auto"/>
          </w:tcPr>
          <w:p>
            <w:r>
              <w:rPr>
                <w:rFonts w:hint="eastAsia"/>
                <w:lang w:val="en-US" w:eastAsia="zh-CN"/>
              </w:rPr>
              <w:t>管理</w:t>
            </w:r>
            <w:r>
              <w:rPr>
                <w:rFonts w:hint="eastAsia"/>
              </w:rPr>
              <w:t>方针</w:t>
            </w:r>
          </w:p>
        </w:tc>
        <w:tc>
          <w:tcPr>
            <w:tcW w:w="1121" w:type="dxa"/>
            <w:vMerge w:val="restart"/>
            <w:shd w:val="clear" w:color="auto" w:fill="auto"/>
          </w:tcPr>
          <w:p>
            <w:pPr>
              <w:pStyle w:val="20"/>
              <w:rPr>
                <w:rFonts w:hint="default"/>
                <w:lang w:val="en-US" w:eastAsia="zh-CN"/>
              </w:rPr>
            </w:pPr>
            <w:r>
              <w:rPr>
                <w:rFonts w:hint="eastAsia"/>
                <w:lang w:val="en-US" w:eastAsia="zh-CN"/>
              </w:rPr>
              <w:t>En</w:t>
            </w:r>
            <w:r>
              <w:rPr>
                <w:rFonts w:hint="eastAsia"/>
              </w:rPr>
              <w:t>5.2</w:t>
            </w:r>
          </w:p>
        </w:tc>
        <w:tc>
          <w:tcPr>
            <w:tcW w:w="745" w:type="dxa"/>
            <w:gridSpan w:val="2"/>
            <w:shd w:val="clear" w:color="auto" w:fill="auto"/>
          </w:tcPr>
          <w:p>
            <w:r>
              <w:rPr>
                <w:rFonts w:hint="eastAsia"/>
              </w:rPr>
              <w:t>文件名称</w:t>
            </w:r>
          </w:p>
        </w:tc>
        <w:tc>
          <w:tcPr>
            <w:tcW w:w="934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910" w:type="dxa"/>
            <w:vMerge w:val="continue"/>
            <w:shd w:val="clear" w:color="auto" w:fill="auto"/>
          </w:tcPr>
          <w:p/>
        </w:tc>
        <w:tc>
          <w:tcPr>
            <w:tcW w:w="1121" w:type="dxa"/>
            <w:vMerge w:val="continue"/>
            <w:shd w:val="clear" w:color="auto" w:fill="auto"/>
          </w:tcPr>
          <w:p/>
        </w:tc>
        <w:tc>
          <w:tcPr>
            <w:tcW w:w="745" w:type="dxa"/>
            <w:gridSpan w:val="2"/>
            <w:shd w:val="clear" w:color="auto" w:fill="auto"/>
          </w:tcPr>
          <w:p>
            <w:r>
              <w:rPr>
                <w:rFonts w:hint="eastAsia"/>
              </w:rPr>
              <w:t>运行证据</w:t>
            </w:r>
          </w:p>
        </w:tc>
        <w:tc>
          <w:tcPr>
            <w:tcW w:w="9348" w:type="dxa"/>
            <w:gridSpan w:val="2"/>
            <w:shd w:val="clear" w:color="auto" w:fill="auto"/>
          </w:tcPr>
          <w:p>
            <w:pPr>
              <w:adjustRightInd w:val="0"/>
              <w:snapToGrid w:val="0"/>
              <w:spacing w:line="276" w:lineRule="auto"/>
              <w:rPr>
                <w:rFonts w:hint="eastAsia"/>
                <w:lang w:val="zh-CN"/>
              </w:rPr>
            </w:pPr>
            <w:r>
              <w:rPr>
                <w:rFonts w:hint="eastAsia"/>
              </w:rPr>
              <w:t>最高管理者制定了文件化的管理体系方针：</w:t>
            </w:r>
            <w:r>
              <w:rPr>
                <w:rFonts w:hint="eastAsia" w:ascii="宋体" w:hAnsi="宋体" w:cs="宋体"/>
                <w:szCs w:val="21"/>
              </w:rPr>
              <w:t>科技领先，服务规范，持续改进，顾客满意；遵守法规，控制污染，</w:t>
            </w:r>
            <w:r>
              <w:rPr>
                <w:rFonts w:hint="eastAsia" w:ascii="宋体" w:hAnsi="宋体" w:eastAsia="宋体" w:cs="宋体"/>
                <w:szCs w:val="21"/>
              </w:rPr>
              <w:t>保护环境节能减排，持</w:t>
            </w:r>
            <w:r>
              <w:rPr>
                <w:rFonts w:hint="eastAsia" w:ascii="宋体" w:hAnsi="宋体" w:cs="宋体"/>
                <w:szCs w:val="21"/>
              </w:rPr>
              <w:t>续发展；安全第一，预防为主，以人为本，健康安全。</w:t>
            </w:r>
          </w:p>
          <w:p>
            <w:r>
              <w:fldChar w:fldCharType="begin"/>
            </w:r>
            <w:r>
              <w:instrText xml:space="preserve"> </w:instrText>
            </w:r>
            <w:r>
              <w:rPr>
                <w:rFonts w:hint="eastAsia"/>
              </w:rPr>
              <w:instrText xml:space="preserve">eq \o\ac(□,√)</w:instrText>
            </w:r>
            <w:r>
              <w:fldChar w:fldCharType="end"/>
            </w:r>
            <w:r>
              <w:rPr>
                <w:rFonts w:hint="eastAsia"/>
              </w:rPr>
              <w:t>适应组织的宗旨和环境并支持其战略方向</w:t>
            </w:r>
          </w:p>
          <w:p>
            <w:pPr>
              <w:rPr>
                <w:lang w:val="en-GB"/>
              </w:rPr>
            </w:pPr>
            <w:r>
              <w:fldChar w:fldCharType="begin"/>
            </w:r>
            <w:r>
              <w:instrText xml:space="preserve"> </w:instrText>
            </w:r>
            <w:r>
              <w:rPr>
                <w:rFonts w:hint="eastAsia"/>
              </w:rPr>
              <w:instrText xml:space="preserve">eq \o\ac(□,√)</w:instrText>
            </w:r>
            <w:r>
              <w:fldChar w:fldCharType="end"/>
            </w:r>
            <w:r>
              <w:rPr>
                <w:rFonts w:hint="eastAsia"/>
                <w:lang w:val="en-US" w:eastAsia="zh-CN"/>
              </w:rPr>
              <w:t>能源</w:t>
            </w:r>
            <w:r>
              <w:rPr>
                <w:rFonts w:hint="eastAsia"/>
                <w:lang w:val="en-GB"/>
              </w:rPr>
              <w:t>方针合理恰当并为相应的</w:t>
            </w:r>
            <w:r>
              <w:rPr>
                <w:rFonts w:hint="eastAsia"/>
                <w:lang w:val="en-US" w:eastAsia="zh-CN"/>
              </w:rPr>
              <w:t>能源</w:t>
            </w:r>
            <w:r>
              <w:rPr>
                <w:rFonts w:hint="eastAsia"/>
                <w:lang w:val="en-GB"/>
              </w:rPr>
              <w:t>目标提供了框架。</w:t>
            </w:r>
          </w:p>
          <w:p>
            <w:r>
              <w:fldChar w:fldCharType="begin"/>
            </w:r>
            <w:r>
              <w:instrText xml:space="preserve"> </w:instrText>
            </w:r>
            <w:r>
              <w:rPr>
                <w:rFonts w:hint="eastAsia"/>
              </w:rPr>
              <w:instrText xml:space="preserve">eq \o\ac(□,√)</w:instrText>
            </w:r>
            <w:r>
              <w:fldChar w:fldCharType="end"/>
            </w:r>
            <w:r>
              <w:rPr>
                <w:rFonts w:hint="eastAsia"/>
              </w:rPr>
              <w:t xml:space="preserve">包括满足适用要求的承诺； </w:t>
            </w:r>
          </w:p>
          <w:p>
            <w:pPr>
              <w:rPr>
                <w:lang w:val="en-GB"/>
              </w:rPr>
            </w:pPr>
            <w:r>
              <w:fldChar w:fldCharType="begin"/>
            </w:r>
            <w:r>
              <w:instrText xml:space="preserve"> </w:instrText>
            </w:r>
            <w:r>
              <w:rPr>
                <w:rFonts w:hint="eastAsia"/>
              </w:rPr>
              <w:instrText xml:space="preserve">eq \o\ac(□,√)</w:instrText>
            </w:r>
            <w:r>
              <w:fldChar w:fldCharType="end"/>
            </w:r>
            <w:r>
              <w:rPr>
                <w:rFonts w:hint="eastAsia"/>
              </w:rPr>
              <w:t>包括持续改进</w:t>
            </w:r>
            <w:r>
              <w:rPr>
                <w:rFonts w:hint="eastAsia"/>
                <w:lang w:val="en-US" w:eastAsia="zh-CN"/>
              </w:rPr>
              <w:t>能源</w:t>
            </w:r>
            <w:r>
              <w:rPr>
                <w:rFonts w:hint="eastAsia"/>
              </w:rPr>
              <w:t>管理体系的承诺</w:t>
            </w:r>
          </w:p>
          <w:p>
            <w:r>
              <w:rPr>
                <w:rFonts w:hint="eastAsia"/>
                <w:lang w:eastAsia="zh-CN"/>
              </w:rPr>
              <w:t>☑</w:t>
            </w:r>
            <w:r>
              <w:t>适合于组织的宗旨和所处的环境</w:t>
            </w:r>
            <w:r>
              <w:rPr>
                <w:lang w:val="zh-CN"/>
              </w:rPr>
              <w:t>.包括</w:t>
            </w:r>
            <w:r>
              <w:t>其活动、产品和服务的性质、规模和</w:t>
            </w:r>
            <w:r>
              <w:rPr>
                <w:rFonts w:hint="eastAsia"/>
              </w:rPr>
              <w:t>能源消耗</w:t>
            </w:r>
          </w:p>
          <w:p>
            <w:pPr>
              <w:rPr>
                <w:lang w:val="en-GB"/>
              </w:rPr>
            </w:pPr>
            <w:r>
              <w:rPr>
                <w:rFonts w:hint="eastAsia"/>
                <w:lang w:eastAsia="zh-CN"/>
              </w:rPr>
              <w:t>☑</w:t>
            </w:r>
            <w:r>
              <w:t>为制定</w:t>
            </w:r>
            <w:r>
              <w:rPr>
                <w:rFonts w:hint="eastAsia"/>
              </w:rPr>
              <w:t>节能</w:t>
            </w:r>
            <w:r>
              <w:t>目标提供框架</w:t>
            </w:r>
            <w:r>
              <w:rPr>
                <w:rFonts w:hint="eastAsia"/>
                <w:lang w:val="en-GB"/>
              </w:rPr>
              <w:t>。</w:t>
            </w:r>
          </w:p>
          <w:p>
            <w:r>
              <w:rPr>
                <w:rFonts w:hint="eastAsia"/>
                <w:lang w:eastAsia="zh-CN"/>
              </w:rPr>
              <w:t>☑</w:t>
            </w:r>
            <w:r>
              <w:t>包括在持续改进能源绩效和能源管理体系有效性方面的领导作用和承诺</w:t>
            </w:r>
            <w:r>
              <w:rPr>
                <w:rFonts w:hint="eastAsia"/>
              </w:rPr>
              <w:t xml:space="preserve">； </w:t>
            </w:r>
          </w:p>
          <w:p>
            <w:r>
              <w:rPr>
                <w:rFonts w:hint="eastAsia"/>
                <w:lang w:eastAsia="zh-CN"/>
              </w:rPr>
              <w:t>☑</w:t>
            </w:r>
            <w:r>
              <w:t>包括履行其合规义务的承诺</w:t>
            </w:r>
          </w:p>
          <w:p>
            <w:pPr>
              <w:pStyle w:val="20"/>
            </w:pPr>
            <w:r>
              <w:rPr>
                <w:rFonts w:hint="eastAsia"/>
                <w:lang w:eastAsia="zh-CN"/>
              </w:rPr>
              <w:t>☑</w:t>
            </w:r>
            <w:r>
              <w:t>确保能源绩效参数适宜地体现能源绩效；</w:t>
            </w:r>
          </w:p>
          <w:p>
            <w:r>
              <w:fldChar w:fldCharType="begin"/>
            </w:r>
            <w:r>
              <w:instrText xml:space="preserve"> </w:instrText>
            </w:r>
            <w:r>
              <w:rPr>
                <w:rFonts w:hint="eastAsia"/>
              </w:rPr>
              <w:instrText xml:space="preserve">eq \o\ac(□,√)</w:instrText>
            </w:r>
            <w:r>
              <w:fldChar w:fldCharType="end"/>
            </w:r>
            <w:r>
              <w:rPr>
                <w:rFonts w:hint="eastAsia"/>
              </w:rPr>
              <w:t>在组织内得到沟通、理解和应用，通过：</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展板  </w:t>
            </w:r>
            <w:r>
              <w:rPr>
                <w:rFonts w:hint="eastAsia"/>
              </w:rPr>
              <w:sym w:font="Wingdings" w:char="00A8"/>
            </w:r>
            <w:r>
              <w:rPr>
                <w:rFonts w:hint="eastAsia"/>
              </w:rPr>
              <w:t xml:space="preserve">标语  </w:t>
            </w:r>
            <w:r>
              <w:fldChar w:fldCharType="begin"/>
            </w:r>
            <w:r>
              <w:instrText xml:space="preserve"> </w:instrText>
            </w:r>
            <w:r>
              <w:rPr>
                <w:rFonts w:hint="eastAsia"/>
              </w:rPr>
              <w:instrText xml:space="preserve">eq \o\ac(□,√)</w:instrText>
            </w:r>
            <w:r>
              <w:fldChar w:fldCharType="end"/>
            </w:r>
            <w:r>
              <w:rPr>
                <w:rFonts w:hint="eastAsia"/>
              </w:rPr>
              <w:t xml:space="preserve">会议  </w:t>
            </w:r>
            <w:r>
              <w:fldChar w:fldCharType="begin"/>
            </w:r>
            <w:r>
              <w:instrText xml:space="preserve"> </w:instrText>
            </w:r>
            <w:r>
              <w:rPr>
                <w:rFonts w:hint="eastAsia"/>
              </w:rPr>
              <w:instrText xml:space="preserve">eq \o\ac(□,√)</w:instrText>
            </w:r>
            <w:r>
              <w:fldChar w:fldCharType="end"/>
            </w:r>
            <w:r>
              <w:rPr>
                <w:rFonts w:hint="eastAsia"/>
              </w:rPr>
              <w:t xml:space="preserve">文件发放   </w:t>
            </w:r>
            <w:r>
              <w:rPr>
                <w:rFonts w:hint="eastAsia"/>
              </w:rPr>
              <w:sym w:font="Wingdings" w:char="00A8"/>
            </w:r>
            <w:r>
              <w:rPr>
                <w:rFonts w:hint="eastAsia"/>
              </w:rPr>
              <w:t xml:space="preserve">其他  </w:t>
            </w:r>
          </w:p>
          <w:p>
            <w:pPr>
              <w:rPr>
                <w:rFonts w:hint="default"/>
                <w:lang w:val="en-US" w:eastAsia="zh-CN"/>
              </w:rPr>
            </w:pPr>
            <w:r>
              <w:fldChar w:fldCharType="begin"/>
            </w:r>
            <w:r>
              <w:instrText xml:space="preserve"> </w:instrText>
            </w:r>
            <w:r>
              <w:rPr>
                <w:rFonts w:hint="eastAsia"/>
              </w:rPr>
              <w:instrText xml:space="preserve">eq \o\ac(□,√)</w:instrText>
            </w:r>
            <w:r>
              <w:fldChar w:fldCharType="end"/>
            </w:r>
            <w:r>
              <w:rPr>
                <w:rFonts w:hint="eastAsia"/>
              </w:rPr>
              <w:t>在相关方有需要时提供。通过：</w:t>
            </w:r>
            <w:r>
              <w:rPr>
                <w:rFonts w:hint="eastAsia"/>
              </w:rPr>
              <w:sym w:font="Wingdings" w:char="00A8"/>
            </w:r>
            <w:r>
              <w:rPr>
                <w:rFonts w:hint="eastAsia"/>
              </w:rPr>
              <w:t xml:space="preserve">网站 </w:t>
            </w:r>
            <w:r>
              <w:fldChar w:fldCharType="begin"/>
            </w:r>
            <w:r>
              <w:instrText xml:space="preserve"> </w:instrText>
            </w:r>
            <w:r>
              <w:rPr>
                <w:rFonts w:hint="eastAsia"/>
              </w:rPr>
              <w:instrText xml:space="preserve">eq \o\ac(□,√)</w:instrText>
            </w:r>
            <w: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合同、招投标书等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10" w:type="dxa"/>
            <w:vMerge w:val="restart"/>
            <w:shd w:val="clear" w:color="auto" w:fill="auto"/>
          </w:tcPr>
          <w:p>
            <w:r>
              <w:rPr>
                <w:rFonts w:hint="eastAsia"/>
              </w:rPr>
              <w:t>组织的岗位、职责和权限</w:t>
            </w:r>
          </w:p>
          <w:p/>
        </w:tc>
        <w:tc>
          <w:tcPr>
            <w:tcW w:w="1121" w:type="dxa"/>
            <w:vMerge w:val="restart"/>
            <w:shd w:val="clear" w:color="auto" w:fill="auto"/>
          </w:tcPr>
          <w:p>
            <w:pPr>
              <w:rPr>
                <w:rFonts w:hint="eastAsia" w:eastAsia="宋体"/>
                <w:lang w:eastAsia="zh-CN"/>
              </w:rPr>
            </w:pPr>
            <w:r>
              <w:rPr>
                <w:rFonts w:hint="eastAsia"/>
                <w:lang w:val="en-US" w:eastAsia="zh-CN"/>
              </w:rPr>
              <w:t>En</w:t>
            </w:r>
            <w:r>
              <w:rPr>
                <w:rFonts w:hint="eastAsia"/>
              </w:rPr>
              <w:t>5.</w:t>
            </w:r>
            <w:r>
              <w:rPr>
                <w:rFonts w:hint="eastAsia"/>
                <w:lang w:val="en-US" w:eastAsia="zh-CN"/>
              </w:rPr>
              <w:t>3</w:t>
            </w:r>
          </w:p>
        </w:tc>
        <w:tc>
          <w:tcPr>
            <w:tcW w:w="745" w:type="dxa"/>
            <w:gridSpan w:val="2"/>
            <w:shd w:val="clear" w:color="auto" w:fill="auto"/>
          </w:tcPr>
          <w:p>
            <w:r>
              <w:rPr>
                <w:rFonts w:hint="eastAsia"/>
              </w:rPr>
              <w:t>文件名称</w:t>
            </w:r>
          </w:p>
        </w:tc>
        <w:tc>
          <w:tcPr>
            <w:tcW w:w="934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9" w:hRule="atLeast"/>
        </w:trPr>
        <w:tc>
          <w:tcPr>
            <w:tcW w:w="1910" w:type="dxa"/>
            <w:vMerge w:val="continue"/>
            <w:shd w:val="clear" w:color="auto" w:fill="auto"/>
          </w:tcPr>
          <w:p/>
        </w:tc>
        <w:tc>
          <w:tcPr>
            <w:tcW w:w="1121" w:type="dxa"/>
            <w:vMerge w:val="continue"/>
            <w:shd w:val="clear" w:color="auto" w:fill="auto"/>
          </w:tcPr>
          <w:p/>
        </w:tc>
        <w:tc>
          <w:tcPr>
            <w:tcW w:w="745" w:type="dxa"/>
            <w:gridSpan w:val="2"/>
            <w:shd w:val="clear" w:color="auto" w:fill="auto"/>
          </w:tcPr>
          <w:p>
            <w:r>
              <w:rPr>
                <w:rFonts w:hint="eastAsia"/>
              </w:rPr>
              <w:t>运行证据</w:t>
            </w:r>
          </w:p>
        </w:tc>
        <w:tc>
          <w:tcPr>
            <w:tcW w:w="9348" w:type="dxa"/>
            <w:gridSpan w:val="2"/>
            <w:shd w:val="clear" w:color="auto" w:fill="auto"/>
          </w:tcPr>
          <w:p>
            <w:r>
              <w:rPr>
                <w:rFonts w:hint="eastAsia"/>
              </w:rPr>
              <w:t>最高管理者确定了组织架构及相关岗位的职责、权限，并进行了全员的沟通和理解；</w:t>
            </w:r>
          </w:p>
          <w:p>
            <w:pPr>
              <w:pStyle w:val="9"/>
              <w:rPr>
                <w:rFonts w:hint="eastAsia"/>
                <w:color w:val="auto"/>
                <w:sz w:val="21"/>
                <w:szCs w:val="21"/>
                <w:highlight w:val="none"/>
                <w:lang w:val="en-US" w:eastAsia="zh-CN"/>
              </w:rPr>
            </w:pP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能源管理体系策划和推动</w:t>
                  </w:r>
                </w:p>
              </w:tc>
              <w:tc>
                <w:tcPr>
                  <w:tcW w:w="2261" w:type="dxa"/>
                </w:tcPr>
                <w:p>
                  <w:pPr>
                    <w:rPr>
                      <w:rFonts w:hint="default" w:eastAsia="宋体"/>
                      <w:color w:val="0000FF"/>
                      <w:highlight w:val="none"/>
                      <w:lang w:val="en-US" w:eastAsia="zh-CN"/>
                    </w:rPr>
                  </w:pPr>
                  <w:r>
                    <w:rPr>
                      <w:rFonts w:hint="eastAsia" w:cs="Times New Roman"/>
                      <w:szCs w:val="22"/>
                      <w:highlight w:val="none"/>
                      <w:lang w:val="en-US" w:eastAsia="zh-CN"/>
                    </w:rPr>
                    <w:t>综合部</w:t>
                  </w:r>
                </w:p>
              </w:tc>
              <w:tc>
                <w:tcPr>
                  <w:tcW w:w="2261" w:type="dxa"/>
                </w:tcPr>
                <w:p>
                  <w:pPr>
                    <w:rPr>
                      <w:highlight w:val="none"/>
                    </w:rPr>
                  </w:pPr>
                  <w:r>
                    <w:rPr>
                      <w:rFonts w:hint="eastAsia"/>
                      <w:highlight w:val="none"/>
                      <w:lang w:val="en-US" w:eastAsia="zh-CN"/>
                    </w:rPr>
                    <w:t>生产</w:t>
                  </w:r>
                  <w:r>
                    <w:rPr>
                      <w:rFonts w:hint="eastAsia"/>
                      <w:highlight w:val="none"/>
                    </w:rPr>
                    <w:t>设计开发过程</w:t>
                  </w:r>
                </w:p>
              </w:tc>
              <w:tc>
                <w:tcPr>
                  <w:tcW w:w="2261" w:type="dxa"/>
                </w:tcPr>
                <w:p>
                  <w:pPr>
                    <w:rPr>
                      <w:rFonts w:hint="default" w:eastAsia="宋体"/>
                      <w:color w:val="0000FF"/>
                      <w:highlight w:val="none"/>
                      <w:lang w:val="en-US" w:eastAsia="zh-CN"/>
                    </w:rPr>
                  </w:pPr>
                  <w:r>
                    <w:rPr>
                      <w:rFonts w:hint="eastAsia"/>
                      <w:lang w:val="en-US" w:eastAsia="zh-CN"/>
                    </w:rPr>
                    <w:t>工程部、项目部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生产控制过程</w:t>
                  </w:r>
                </w:p>
              </w:tc>
              <w:tc>
                <w:tcPr>
                  <w:tcW w:w="2261" w:type="dxa"/>
                </w:tcPr>
                <w:p>
                  <w:pPr>
                    <w:rPr>
                      <w:rFonts w:hint="default" w:eastAsia="宋体"/>
                      <w:color w:val="0000FF"/>
                      <w:highlight w:val="none"/>
                      <w:lang w:val="en-US" w:eastAsia="zh-CN"/>
                    </w:rPr>
                  </w:pPr>
                  <w:r>
                    <w:rPr>
                      <w:rFonts w:hint="eastAsia" w:cs="Times New Roman"/>
                      <w:lang w:val="en-US" w:eastAsia="zh-CN"/>
                    </w:rPr>
                    <w:t>工程部</w:t>
                  </w:r>
                </w:p>
              </w:tc>
              <w:tc>
                <w:tcPr>
                  <w:tcW w:w="2261" w:type="dxa"/>
                </w:tcPr>
                <w:p>
                  <w:pPr>
                    <w:rPr>
                      <w:highlight w:val="none"/>
                    </w:rPr>
                  </w:pPr>
                  <w:r>
                    <w:rPr>
                      <w:rFonts w:hint="eastAsia"/>
                      <w:highlight w:val="none"/>
                      <w:lang w:val="en-US" w:eastAsia="zh-CN"/>
                    </w:rPr>
                    <w:t>产品生产和检验</w:t>
                  </w:r>
                  <w:r>
                    <w:rPr>
                      <w:rFonts w:hint="eastAsia"/>
                      <w:highlight w:val="none"/>
                    </w:rPr>
                    <w:t>过程</w:t>
                  </w:r>
                </w:p>
              </w:tc>
              <w:tc>
                <w:tcPr>
                  <w:tcW w:w="2261" w:type="dxa"/>
                </w:tcPr>
                <w:p>
                  <w:pPr>
                    <w:rPr>
                      <w:rFonts w:hint="default" w:eastAsia="宋体"/>
                      <w:color w:val="0000FF"/>
                      <w:highlight w:val="none"/>
                      <w:lang w:val="en-US" w:eastAsia="zh-CN"/>
                    </w:rPr>
                  </w:pP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0000FF"/>
                      <w:highlight w:val="none"/>
                      <w:lang w:val="en-US" w:eastAsia="zh-CN"/>
                    </w:rPr>
                  </w:pPr>
                  <w:r>
                    <w:rPr>
                      <w:rFonts w:hint="eastAsia"/>
                      <w:highlight w:val="none"/>
                      <w:vertAlign w:val="baseline"/>
                      <w:lang w:val="en-US" w:eastAsia="zh-CN"/>
                    </w:rPr>
                    <w:t>综合部</w:t>
                  </w:r>
                </w:p>
              </w:tc>
              <w:tc>
                <w:tcPr>
                  <w:tcW w:w="2261" w:type="dxa"/>
                </w:tcPr>
                <w:p>
                  <w:pPr>
                    <w:rPr>
                      <w:rFonts w:hint="default" w:eastAsia="宋体"/>
                      <w:highlight w:val="none"/>
                      <w:lang w:val="en-US" w:eastAsia="zh-CN"/>
                    </w:rPr>
                  </w:pPr>
                  <w:r>
                    <w:rPr>
                      <w:rFonts w:hint="eastAsia"/>
                      <w:highlight w:val="none"/>
                      <w:lang w:val="en-US" w:eastAsia="zh-CN"/>
                    </w:rPr>
                    <w:t>能源资金支持</w:t>
                  </w:r>
                </w:p>
              </w:tc>
              <w:tc>
                <w:tcPr>
                  <w:tcW w:w="2261" w:type="dxa"/>
                </w:tcPr>
                <w:p>
                  <w:pPr>
                    <w:rPr>
                      <w:rFonts w:hint="eastAsia" w:eastAsia="宋体"/>
                      <w:highlight w:val="none"/>
                      <w:lang w:val="en-US" w:eastAsia="zh-CN"/>
                    </w:rPr>
                  </w:pPr>
                  <w:r>
                    <w:rPr>
                      <w:rFonts w:hint="eastAsia"/>
                      <w:highlight w:val="none"/>
                      <w:lang w:val="en-US" w:eastAsia="zh-CN"/>
                    </w:rPr>
                    <w:t>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能源管理</w:t>
                  </w:r>
                </w:p>
              </w:tc>
              <w:tc>
                <w:tcPr>
                  <w:tcW w:w="2261" w:type="dxa"/>
                </w:tcPr>
                <w:p>
                  <w:pPr>
                    <w:rPr>
                      <w:rFonts w:hint="default"/>
                      <w:highlight w:val="none"/>
                      <w:lang w:val="en-US"/>
                    </w:rPr>
                  </w:pPr>
                  <w:r>
                    <w:rPr>
                      <w:rFonts w:hint="eastAsia"/>
                      <w:highlight w:val="none"/>
                      <w:vertAlign w:val="baseline"/>
                      <w:lang w:val="en-US" w:eastAsia="zh-CN"/>
                    </w:rPr>
                    <w:t>综合部/工程部</w:t>
                  </w:r>
                </w:p>
              </w:tc>
              <w:tc>
                <w:tcPr>
                  <w:tcW w:w="2261" w:type="dxa"/>
                </w:tcPr>
                <w:p>
                  <w:pPr>
                    <w:rPr>
                      <w:highlight w:val="none"/>
                    </w:rPr>
                  </w:pPr>
                </w:p>
              </w:tc>
              <w:tc>
                <w:tcPr>
                  <w:tcW w:w="2261" w:type="dxa"/>
                </w:tcPr>
                <w:p>
                  <w:pPr>
                    <w:rPr>
                      <w:highlight w:val="none"/>
                    </w:rPr>
                  </w:pPr>
                </w:p>
              </w:tc>
            </w:tr>
          </w:tbl>
          <w:p>
            <w:pPr>
              <w:pStyle w:val="9"/>
              <w:rPr>
                <w:rFonts w:hint="eastAsia"/>
              </w:rPr>
            </w:pPr>
          </w:p>
          <w:p>
            <w:pPr>
              <w:pStyle w:val="9"/>
              <w:rPr>
                <w:rFonts w:hint="default"/>
                <w:color w:val="auto"/>
                <w:sz w:val="21"/>
                <w:szCs w:val="21"/>
                <w:highlight w:val="none"/>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w:t>
            </w:r>
            <w:r>
              <w:rPr>
                <w:rFonts w:hint="eastAsia" w:asciiTheme="minorEastAsia" w:hAnsiTheme="minorEastAsia"/>
                <w:sz w:val="21"/>
                <w:szCs w:val="21"/>
                <w:u w:val="single"/>
              </w:rPr>
              <w:t>柴泽峰</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各部门职责见各部门审核记录。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10" w:type="dxa"/>
            <w:vMerge w:val="restart"/>
            <w:shd w:val="clear" w:color="auto" w:fill="auto"/>
          </w:tcPr>
          <w:p>
            <w:pPr>
              <w:rPr>
                <w:color w:val="000000"/>
                <w:szCs w:val="21"/>
              </w:rPr>
            </w:pPr>
            <w:r>
              <w:rPr>
                <w:rFonts w:hint="eastAsia"/>
                <w:color w:val="000000"/>
                <w:szCs w:val="21"/>
              </w:rPr>
              <w:t>应对风险和机遇的措施</w:t>
            </w:r>
          </w:p>
          <w:p/>
        </w:tc>
        <w:tc>
          <w:tcPr>
            <w:tcW w:w="1121" w:type="dxa"/>
            <w:vMerge w:val="restart"/>
            <w:shd w:val="clear" w:color="auto" w:fill="auto"/>
          </w:tcPr>
          <w:p>
            <w:r>
              <w:rPr>
                <w:rFonts w:hint="eastAsia"/>
                <w:color w:val="000000"/>
                <w:szCs w:val="21"/>
              </w:rPr>
              <w:t>En6.1  </w:t>
            </w:r>
          </w:p>
        </w:tc>
        <w:tc>
          <w:tcPr>
            <w:tcW w:w="745" w:type="dxa"/>
            <w:gridSpan w:val="2"/>
            <w:shd w:val="clear" w:color="auto" w:fill="auto"/>
          </w:tcPr>
          <w:p>
            <w:r>
              <w:rPr>
                <w:rFonts w:hint="eastAsia"/>
              </w:rPr>
              <w:t>文件名称</w:t>
            </w:r>
          </w:p>
        </w:tc>
        <w:tc>
          <w:tcPr>
            <w:tcW w:w="9348" w:type="dxa"/>
            <w:gridSpan w:val="2"/>
            <w:shd w:val="clear" w:color="auto" w:fill="auto"/>
          </w:tcPr>
          <w:p>
            <w:r>
              <w:rPr>
                <w:rFonts w:hint="eastAsia"/>
              </w:rPr>
              <w:t>如：</w:t>
            </w:r>
            <w:r>
              <w:rPr>
                <w:rFonts w:hint="eastAsia"/>
                <w:lang w:eastAsia="zh-CN"/>
              </w:rPr>
              <w:t>《</w:t>
            </w:r>
            <w:r>
              <w:rPr>
                <w:rFonts w:hint="eastAsia" w:ascii="宋体" w:hAnsi="宋体"/>
                <w:bCs/>
                <w:szCs w:val="21"/>
              </w:rPr>
              <w:t>风险和机遇应对控制程序</w:t>
            </w:r>
            <w:r>
              <w:rPr>
                <w:rFonts w:hint="eastAsia"/>
                <w:lang w:eastAsia="zh-CN"/>
              </w:rPr>
              <w:t>》</w:t>
            </w:r>
            <w:r>
              <w:rPr>
                <w:rFonts w:hint="eastAsia"/>
              </w:rPr>
              <w:t>、手册第</w:t>
            </w:r>
            <w:r>
              <w:rPr>
                <w:rFonts w:hint="eastAsia"/>
                <w:lang w:val="en-US" w:eastAsia="zh-CN"/>
              </w:rPr>
              <w:t>6.1</w:t>
            </w:r>
            <w:r>
              <w:rPr>
                <w:rFonts w:hint="eastAsia"/>
              </w:rPr>
              <w:t>条款</w:t>
            </w:r>
          </w:p>
        </w:tc>
        <w:tc>
          <w:tcPr>
            <w:tcW w:w="1585" w:type="dxa"/>
            <w:vMerge w:val="restart"/>
            <w:shd w:val="clear" w:color="auto" w:fill="auto"/>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1910" w:type="dxa"/>
            <w:vMerge w:val="continue"/>
            <w:shd w:val="clear" w:color="auto" w:fill="auto"/>
          </w:tcPr>
          <w:p/>
        </w:tc>
        <w:tc>
          <w:tcPr>
            <w:tcW w:w="1121" w:type="dxa"/>
            <w:vMerge w:val="continue"/>
            <w:shd w:val="clear" w:color="auto" w:fill="auto"/>
          </w:tcPr>
          <w:p/>
        </w:tc>
        <w:tc>
          <w:tcPr>
            <w:tcW w:w="745" w:type="dxa"/>
            <w:gridSpan w:val="2"/>
            <w:shd w:val="clear" w:color="auto" w:fill="auto"/>
          </w:tcPr>
          <w:p>
            <w:r>
              <w:rPr>
                <w:rFonts w:hint="eastAsia"/>
              </w:rPr>
              <w:t>运行证据</w:t>
            </w:r>
          </w:p>
        </w:tc>
        <w:tc>
          <w:tcPr>
            <w:tcW w:w="9348" w:type="dxa"/>
            <w:gridSpan w:val="2"/>
            <w:shd w:val="clear" w:color="auto" w:fill="auto"/>
          </w:tcPr>
          <w:p>
            <w:pPr>
              <w:rPr>
                <w:rFonts w:hint="eastAsia"/>
              </w:rPr>
            </w:pPr>
            <w:r>
              <w:rPr>
                <w:rFonts w:hint="eastAsia"/>
              </w:rPr>
              <w:t>分析风险的方法：</w:t>
            </w:r>
          </w:p>
          <w:p>
            <w:r>
              <w:rPr>
                <w:rFonts w:hint="eastAsia"/>
              </w:rPr>
              <w:sym w:font="Wingdings" w:char="00A8"/>
            </w:r>
            <w:r>
              <w:rPr>
                <w:rFonts w:hint="eastAsia"/>
              </w:rPr>
              <w:t xml:space="preserve">能源消耗限值的符合性  </w:t>
            </w:r>
            <w:r>
              <w:rPr>
                <w:rFonts w:hint="eastAsia"/>
              </w:rPr>
              <w:sym w:font="Wingdings" w:char="00FE"/>
            </w:r>
            <w:r>
              <w:rPr>
                <w:rFonts w:hint="eastAsia"/>
              </w:rPr>
              <w:t xml:space="preserve">法律法规的合规性   </w:t>
            </w:r>
            <w:r>
              <w:rPr>
                <w:rFonts w:hint="eastAsia"/>
              </w:rPr>
              <w:sym w:font="Wingdings" w:char="00FE"/>
            </w:r>
            <w:r>
              <w:rPr>
                <w:rFonts w:hint="eastAsia"/>
              </w:rPr>
              <w:t xml:space="preserve">考虑组织所处环境和相关方需求的符合性  </w:t>
            </w:r>
            <w:r>
              <w:rPr>
                <w:rFonts w:hint="eastAsia"/>
              </w:rPr>
              <w:sym w:font="Wingdings" w:char="00A8"/>
            </w:r>
            <w:r>
              <w:rPr>
                <w:rFonts w:hint="eastAsia"/>
              </w:rPr>
              <w:t>其他</w:t>
            </w:r>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A8"/>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Pr>
              <w:rPr>
                <w:rFonts w:hint="default" w:eastAsia="宋体"/>
                <w:lang w:val="en-US" w:eastAsia="zh-CN"/>
              </w:rPr>
            </w:pPr>
            <w:r>
              <w:rPr>
                <w:rFonts w:hint="eastAsia"/>
                <w:lang w:val="en-US" w:eastAsia="zh-CN"/>
              </w:rPr>
              <w:t xml:space="preserve">      </w:t>
            </w:r>
          </w:p>
          <w:p>
            <w:r>
              <w:rPr>
                <w:rFonts w:hint="eastAsia"/>
              </w:rPr>
              <w:t xml:space="preserve">列举2~3项应对主要风险的描述：         </w:t>
            </w:r>
          </w:p>
          <w:tbl>
            <w:tblPr>
              <w:tblStyle w:val="1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321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tcPr>
                <w:p>
                  <w:r>
                    <w:rPr>
                      <w:rFonts w:hint="eastAsia"/>
                    </w:rPr>
                    <w:t>主要的风险描述</w:t>
                  </w:r>
                </w:p>
              </w:tc>
              <w:tc>
                <w:tcPr>
                  <w:tcW w:w="3213"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2" w:type="dxa"/>
                </w:tcPr>
                <w:p>
                  <w:pPr>
                    <w:rPr>
                      <w:rFonts w:hint="eastAsia"/>
                      <w:lang w:val="en-US" w:eastAsia="zh-CN"/>
                    </w:rPr>
                  </w:pPr>
                  <w:r>
                    <w:rPr>
                      <w:rFonts w:hint="eastAsia"/>
                      <w:lang w:val="en-US" w:eastAsia="zh-CN"/>
                    </w:rPr>
                    <w:t>政策风险——不满足法律法规和政策要求</w:t>
                  </w:r>
                </w:p>
              </w:tc>
              <w:tc>
                <w:tcPr>
                  <w:tcW w:w="3213" w:type="dxa"/>
                </w:tcPr>
                <w:p>
                  <w:pPr>
                    <w:rPr>
                      <w:rFonts w:hint="eastAsia"/>
                      <w:lang w:val="en-US" w:eastAsia="zh-CN"/>
                    </w:rPr>
                  </w:pPr>
                  <w:r>
                    <w:rPr>
                      <w:rFonts w:hint="eastAsia"/>
                      <w:lang w:val="en-US" w:eastAsia="zh-CN"/>
                    </w:rPr>
                    <w:t>主要职能部门按照要求加强法律法规的收集评价；</w:t>
                  </w:r>
                </w:p>
                <w:p>
                  <w:pPr>
                    <w:rPr>
                      <w:rFonts w:hint="default"/>
                      <w:lang w:val="en-US"/>
                    </w:rPr>
                  </w:pPr>
                </w:p>
              </w:tc>
              <w:tc>
                <w:tcPr>
                  <w:tcW w:w="1717" w:type="dxa"/>
                </w:tcPr>
                <w:p>
                  <w:pPr>
                    <w:rPr>
                      <w:rFonts w:hint="default"/>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vAlign w:val="top"/>
                </w:tcPr>
                <w:p>
                  <w:pPr>
                    <w:rPr>
                      <w:rFonts w:hint="default"/>
                      <w:lang w:val="en-US" w:eastAsia="zh-CN"/>
                    </w:rPr>
                  </w:pPr>
                  <w:r>
                    <w:rPr>
                      <w:rFonts w:hint="eastAsia" w:ascii="Times New Roman" w:hAnsi="Times New Roman" w:eastAsia="宋体" w:cs="Times New Roman"/>
                      <w:szCs w:val="22"/>
                      <w:lang w:val="en-US" w:eastAsia="zh-CN"/>
                    </w:rPr>
                    <w:t>上级主管部门的监督检查容易发现公司操作不规范的地方，严重时可导致公司的停业</w:t>
                  </w:r>
                  <w:r>
                    <w:rPr>
                      <w:rFonts w:hint="eastAsia" w:cs="Times New Roman"/>
                      <w:szCs w:val="22"/>
                      <w:lang w:val="en-US" w:eastAsia="zh-CN"/>
                    </w:rPr>
                    <w:t>整顿</w:t>
                  </w:r>
                </w:p>
              </w:tc>
              <w:tc>
                <w:tcPr>
                  <w:tcW w:w="3213" w:type="dxa"/>
                  <w:vAlign w:val="top"/>
                </w:tcPr>
                <w:p>
                  <w:pPr>
                    <w:rPr>
                      <w:rFonts w:hint="default"/>
                      <w:lang w:val="en-US" w:eastAsia="zh-CN"/>
                    </w:rPr>
                  </w:pPr>
                  <w:r>
                    <w:rPr>
                      <w:rFonts w:hint="eastAsia"/>
                      <w:lang w:val="en-US" w:eastAsia="zh-CN"/>
                    </w:rPr>
                    <w:t>按照规范操作</w:t>
                  </w:r>
                </w:p>
              </w:tc>
              <w:tc>
                <w:tcPr>
                  <w:tcW w:w="1717" w:type="dxa"/>
                  <w:vAlign w:val="top"/>
                </w:tcPr>
                <w:p>
                  <w:pPr>
                    <w:rPr>
                      <w:rFonts w:hint="eastAsia"/>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tcPr>
                <w:p>
                  <w:pPr>
                    <w:rPr>
                      <w:rFonts w:hint="eastAsia"/>
                      <w:lang w:val="en-US" w:eastAsia="zh-CN"/>
                    </w:rPr>
                  </w:pPr>
                </w:p>
              </w:tc>
              <w:tc>
                <w:tcPr>
                  <w:tcW w:w="3213" w:type="dxa"/>
                </w:tcPr>
                <w:p>
                  <w:pPr>
                    <w:rPr>
                      <w:rFonts w:hint="default"/>
                      <w:lang w:val="en-US" w:eastAsia="zh-CN"/>
                    </w:rPr>
                  </w:pPr>
                </w:p>
              </w:tc>
              <w:tc>
                <w:tcPr>
                  <w:tcW w:w="1717" w:type="dxa"/>
                </w:tcPr>
                <w:p/>
              </w:tc>
            </w:tr>
          </w:tbl>
          <w:p/>
          <w:p>
            <w:pPr>
              <w:rPr>
                <w:rFonts w:hint="eastAsia"/>
              </w:rPr>
            </w:pPr>
          </w:p>
          <w:p>
            <w:pPr>
              <w:rPr>
                <w:rFonts w:hint="eastAsia"/>
              </w:rPr>
            </w:pPr>
          </w:p>
          <w:p>
            <w:pPr>
              <w:rPr>
                <w:rFonts w:hint="eastAsia"/>
              </w:rPr>
            </w:pPr>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FE"/>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1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3"/>
              <w:gridCol w:w="323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r>
                    <w:rPr>
                      <w:rFonts w:hint="eastAsia"/>
                    </w:rPr>
                    <w:t>主要的机遇描述</w:t>
                  </w:r>
                </w:p>
              </w:tc>
              <w:tc>
                <w:tcPr>
                  <w:tcW w:w="323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rPr>
                      <w:rFonts w:hint="default"/>
                      <w:lang w:val="en-US" w:eastAsia="zh-CN"/>
                    </w:rPr>
                  </w:pPr>
                  <w:r>
                    <w:rPr>
                      <w:rFonts w:hint="eastAsia" w:cs="Times New Roman"/>
                      <w:szCs w:val="22"/>
                      <w:lang w:val="en-US" w:eastAsia="zh-CN"/>
                    </w:rPr>
                    <w:t>国家政策和市场</w:t>
                  </w:r>
                  <w:r>
                    <w:rPr>
                      <w:rFonts w:hint="eastAsia" w:ascii="Times New Roman" w:hAnsi="Times New Roman" w:eastAsia="宋体" w:cs="Times New Roman"/>
                      <w:szCs w:val="22"/>
                      <w:lang w:val="en-US" w:eastAsia="zh-CN"/>
                    </w:rPr>
                    <w:t>，</w:t>
                  </w:r>
                  <w:r>
                    <w:rPr>
                      <w:rFonts w:hint="eastAsia" w:cs="Times New Roman"/>
                      <w:szCs w:val="22"/>
                      <w:lang w:val="en-US" w:eastAsia="zh-CN"/>
                    </w:rPr>
                    <w:t>政策鼓励好</w:t>
                  </w:r>
                  <w:r>
                    <w:rPr>
                      <w:rFonts w:hint="eastAsia" w:ascii="Times New Roman" w:hAnsi="Times New Roman" w:eastAsia="宋体" w:cs="Times New Roman"/>
                      <w:szCs w:val="22"/>
                      <w:lang w:val="en-US" w:eastAsia="zh-CN"/>
                    </w:rPr>
                    <w:t>，市场就会越来越大。在公司加强管理的前提下前景会越来越好。</w:t>
                  </w:r>
                </w:p>
              </w:tc>
              <w:tc>
                <w:tcPr>
                  <w:tcW w:w="3232" w:type="dxa"/>
                </w:tcPr>
                <w:p>
                  <w:pPr>
                    <w:rPr>
                      <w:rFonts w:hint="default"/>
                      <w:lang w:val="en-US" w:eastAsia="zh-CN"/>
                    </w:rPr>
                  </w:pPr>
                  <w:r>
                    <w:rPr>
                      <w:rFonts w:hint="eastAsia"/>
                      <w:lang w:val="en-US" w:eastAsia="zh-CN"/>
                    </w:rPr>
                    <w:t>及时解决市场和客户提出的问题，赢得客户的信赖</w:t>
                  </w:r>
                </w:p>
              </w:tc>
              <w:tc>
                <w:tcPr>
                  <w:tcW w:w="1717" w:type="dxa"/>
                  <w:vAlign w:val="top"/>
                </w:tcPr>
                <w:p>
                  <w:pPr>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rPr>
                      <w:rFonts w:hint="default"/>
                      <w:lang w:val="en-US" w:eastAsia="zh-CN"/>
                    </w:rPr>
                  </w:pPr>
                </w:p>
              </w:tc>
              <w:tc>
                <w:tcPr>
                  <w:tcW w:w="3232" w:type="dxa"/>
                </w:tcPr>
                <w:p>
                  <w:pPr>
                    <w:rPr>
                      <w:rFonts w:hint="default"/>
                      <w:lang w:val="en-US" w:eastAsia="zh-CN"/>
                    </w:rPr>
                  </w:pPr>
                </w:p>
              </w:tc>
              <w:tc>
                <w:tcPr>
                  <w:tcW w:w="1717" w:type="dxa"/>
                </w:tcPr>
                <w:p>
                  <w:pPr>
                    <w:rPr>
                      <w:rFonts w:hint="default"/>
                      <w:lang w:val="en-US" w:eastAsia="zh-CN"/>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 xml:space="preserve">组织能源管理体系范围内的潜在紧急情况，如 </w:t>
            </w:r>
            <w:r>
              <w:rPr>
                <w:rFonts w:hint="eastAsia"/>
              </w:rPr>
              <w:sym w:font="Wingdings" w:char="00FE"/>
            </w:r>
            <w:r>
              <w:rPr>
                <w:rFonts w:hint="eastAsia"/>
              </w:rPr>
              <w:t xml:space="preserve">法规未识别  </w:t>
            </w:r>
            <w:r>
              <w:rPr>
                <w:rFonts w:hint="eastAsia"/>
              </w:rPr>
              <w:sym w:font="Wingdings" w:char="00FE"/>
            </w:r>
            <w:r>
              <w:rPr>
                <w:rFonts w:hint="eastAsia"/>
              </w:rPr>
              <w:t xml:space="preserve">违规操作  </w:t>
            </w:r>
            <w:r>
              <w:rPr>
                <w:rFonts w:hint="eastAsia"/>
              </w:rPr>
              <w:sym w:font="Wingdings" w:char="00A8"/>
            </w:r>
            <w:r>
              <w:rPr>
                <w:rFonts w:hint="eastAsia"/>
              </w:rPr>
              <w:t xml:space="preserve">其他                      </w:t>
            </w:r>
          </w:p>
          <w:p>
            <w:pPr>
              <w:rPr>
                <w:rFonts w:hint="eastAsia"/>
              </w:rPr>
            </w:pPr>
            <w:r>
              <w:rPr>
                <w:rFonts w:hint="eastAsia"/>
              </w:rPr>
              <w:t xml:space="preserve">可能具有能源消耗的潜在紧急情况，如  </w:t>
            </w:r>
            <w:r>
              <w:rPr>
                <w:rFonts w:hint="eastAsia"/>
              </w:rPr>
              <w:sym w:font="Wingdings" w:char="00FE"/>
            </w:r>
            <w:r>
              <w:rPr>
                <w:rFonts w:hint="eastAsia"/>
              </w:rPr>
              <w:t xml:space="preserve">火灾  </w:t>
            </w:r>
            <w:r>
              <w:rPr>
                <w:rFonts w:hint="eastAsia"/>
              </w:rPr>
              <w:sym w:font="Wingdings" w:char="00A8"/>
            </w:r>
            <w:r>
              <w:rPr>
                <w:rFonts w:hint="eastAsia"/>
              </w:rPr>
              <w:t xml:space="preserve">危化品泄露  </w:t>
            </w:r>
            <w:r>
              <w:rPr>
                <w:rFonts w:hint="eastAsia"/>
              </w:rPr>
              <w:sym w:font="Wingdings" w:char="00A8"/>
            </w:r>
            <w:r>
              <w:rPr>
                <w:rFonts w:hint="eastAsia"/>
              </w:rPr>
              <w:t xml:space="preserve">能源消耗限值不满足  </w:t>
            </w:r>
            <w:r>
              <w:rPr>
                <w:rFonts w:hint="eastAsia"/>
              </w:rPr>
              <w:sym w:font="Wingdings" w:char="00A8"/>
            </w:r>
            <w:r>
              <w:rPr>
                <w:rFonts w:hint="eastAsia"/>
                <w:lang w:val="en-US" w:eastAsia="zh-CN"/>
              </w:rPr>
              <w:t xml:space="preserve">  </w:t>
            </w:r>
            <w:r>
              <w:rPr>
                <w:rFonts w:hint="eastAsia"/>
              </w:rPr>
              <w:t xml:space="preserve">                     </w:t>
            </w:r>
          </w:p>
          <w:p>
            <w:pPr>
              <w:rPr>
                <w:rFonts w:hint="eastAsia"/>
              </w:rPr>
            </w:pPr>
            <w:r>
              <w:rPr>
                <w:rFonts w:hint="eastAsia"/>
              </w:rPr>
              <w:t xml:space="preserve">主要证据体现在 </w:t>
            </w:r>
            <w:r>
              <w:rPr>
                <w:rFonts w:hint="eastAsia"/>
              </w:rPr>
              <w:sym w:font="Wingdings" w:char="00FE"/>
            </w:r>
            <w:r>
              <w:rPr>
                <w:rFonts w:hint="eastAsia"/>
                <w:lang w:eastAsia="zh-CN"/>
              </w:rPr>
              <w:t>《</w:t>
            </w:r>
            <w:r>
              <w:rPr>
                <w:rFonts w:hint="eastAsia"/>
              </w:rPr>
              <w:t>风险</w:t>
            </w:r>
            <w:r>
              <w:rPr>
                <w:rFonts w:hint="eastAsia"/>
                <w:lang w:val="en-US" w:eastAsia="zh-CN"/>
              </w:rPr>
              <w:t>识别和评价</w:t>
            </w:r>
            <w:r>
              <w:rPr>
                <w:rFonts w:hint="eastAsia"/>
              </w:rPr>
              <w:t>表</w:t>
            </w:r>
            <w:r>
              <w:rPr>
                <w:rFonts w:hint="eastAsia"/>
                <w:lang w:val="en-US" w:eastAsia="zh-CN"/>
              </w:rPr>
              <w:t>及控制措施</w:t>
            </w:r>
            <w:r>
              <w:rPr>
                <w:rFonts w:hint="eastAsia"/>
              </w:rPr>
              <w:t xml:space="preserve">》  </w:t>
            </w:r>
            <w:r>
              <w:rPr>
                <w:rFonts w:hint="eastAsia"/>
              </w:rPr>
              <w:sym w:font="Wingdings" w:char="00A8"/>
            </w:r>
            <w:r>
              <w:rPr>
                <w:rFonts w:hint="eastAsia"/>
              </w:rPr>
              <w:t>其他</w:t>
            </w:r>
          </w:p>
          <w:p>
            <w:pPr>
              <w:pStyle w:val="19"/>
              <w:rPr>
                <w:rFonts w:hint="default" w:ascii="Times New Roman" w:hAnsi="Times New Roman" w:eastAsia="宋体" w:cs="Times New Roman"/>
                <w:color w:val="0000FF"/>
                <w:spacing w:val="0"/>
                <w:kern w:val="2"/>
                <w:sz w:val="21"/>
                <w:szCs w:val="22"/>
                <w:lang w:val="en-US" w:eastAsia="zh-CN" w:bidi="ar-SA"/>
              </w:rPr>
            </w:pPr>
            <w:r>
              <w:rPr>
                <w:rFonts w:hint="eastAsia" w:ascii="Times New Roman" w:hAnsi="Times New Roman" w:eastAsia="宋体" w:cs="Times New Roman"/>
                <w:color w:val="auto"/>
                <w:spacing w:val="0"/>
                <w:kern w:val="2"/>
                <w:sz w:val="21"/>
                <w:szCs w:val="22"/>
                <w:lang w:val="en-US" w:eastAsia="zh-CN" w:bidi="ar-SA"/>
              </w:rPr>
              <w:t>基本满足要求。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10" w:type="dxa"/>
            <w:shd w:val="clear" w:color="auto" w:fill="auto"/>
          </w:tcPr>
          <w:p>
            <w:pPr>
              <w:rPr>
                <w:highlight w:val="none"/>
              </w:rPr>
            </w:pPr>
            <w:r>
              <w:rPr>
                <w:rFonts w:hint="eastAsia"/>
                <w:lang w:val="en-US" w:eastAsia="zh-CN"/>
              </w:rPr>
              <w:t>法律法规、</w:t>
            </w:r>
            <w:r>
              <w:rPr>
                <w:rFonts w:hint="eastAsia"/>
              </w:rPr>
              <w:t>合规</w:t>
            </w:r>
            <w:r>
              <w:rPr>
                <w:rFonts w:hint="eastAsia"/>
                <w:lang w:val="en-US" w:eastAsia="zh-CN"/>
              </w:rPr>
              <w:t>性评价</w:t>
            </w:r>
          </w:p>
        </w:tc>
        <w:tc>
          <w:tcPr>
            <w:tcW w:w="1121" w:type="dxa"/>
            <w:shd w:val="clear" w:color="auto" w:fill="auto"/>
          </w:tcPr>
          <w:p>
            <w:pPr>
              <w:rPr>
                <w:rFonts w:hint="default" w:eastAsia="宋体"/>
                <w:highlight w:val="none"/>
                <w:lang w:val="en-US" w:eastAsia="zh-CN"/>
              </w:rPr>
            </w:pPr>
            <w:r>
              <w:rPr>
                <w:rFonts w:hint="eastAsia"/>
                <w:highlight w:val="none"/>
                <w:lang w:val="en-US" w:eastAsia="zh-CN"/>
              </w:rPr>
              <w:t>9.1.2</w:t>
            </w:r>
          </w:p>
        </w:tc>
        <w:tc>
          <w:tcPr>
            <w:tcW w:w="745" w:type="dxa"/>
            <w:gridSpan w:val="2"/>
            <w:shd w:val="clear" w:color="auto" w:fill="auto"/>
          </w:tcPr>
          <w:p>
            <w:pPr>
              <w:rPr>
                <w:rFonts w:hint="eastAsia"/>
                <w:highlight w:val="none"/>
              </w:rPr>
            </w:pPr>
            <w:r>
              <w:rPr>
                <w:rFonts w:hint="eastAsia"/>
                <w:lang w:val="en-US" w:eastAsia="zh-CN"/>
              </w:rPr>
              <w:t>文件名称</w:t>
            </w:r>
            <w:r>
              <w:rPr>
                <w:rFonts w:hint="eastAsia"/>
              </w:rPr>
              <w:t>运行证据</w:t>
            </w:r>
          </w:p>
        </w:tc>
        <w:tc>
          <w:tcPr>
            <w:tcW w:w="9348" w:type="dxa"/>
            <w:gridSpan w:val="2"/>
            <w:shd w:val="clear" w:color="auto" w:fill="auto"/>
          </w:tcPr>
          <w:p>
            <w:pPr>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eastAsia="zh-CN"/>
              </w:rPr>
            </w:pPr>
            <w:r>
              <w:rPr>
                <w:rFonts w:hint="eastAsia"/>
              </w:rPr>
              <w:t>文件名称</w:t>
            </w:r>
            <w:r>
              <w:rPr>
                <w:rFonts w:hint="eastAsia"/>
                <w:lang w:eastAsia="zh-CN"/>
              </w:rPr>
              <w:t>：</w:t>
            </w:r>
            <w:r>
              <w:rPr>
                <w:rFonts w:hint="eastAsia"/>
              </w:rPr>
              <w:t>如：</w:t>
            </w:r>
            <w:r>
              <w:rPr/>
              <w:sym w:font="Wingdings" w:char="00FE"/>
            </w:r>
            <w:r>
              <w:rPr>
                <w:rFonts w:hint="eastAsia"/>
              </w:rPr>
              <w:t>手册第</w:t>
            </w:r>
            <w:r>
              <w:rPr>
                <w:rFonts w:hint="eastAsia"/>
                <w:lang w:val="en-US" w:eastAsia="zh-CN"/>
              </w:rPr>
              <w:t>4.2</w:t>
            </w:r>
            <w:r>
              <w:rPr>
                <w:rFonts w:hint="eastAsia"/>
              </w:rPr>
              <w:t>条款、</w:t>
            </w:r>
            <w:r>
              <w:rPr>
                <w:rFonts w:hint="eastAsia"/>
                <w:lang w:val="en-US" w:eastAsia="zh-CN"/>
              </w:rPr>
              <w:t>9.1.2条款、</w:t>
            </w:r>
            <w:r>
              <w:rPr/>
              <w:sym w:font="Wingdings" w:char="00A8"/>
            </w:r>
            <w:r>
              <w:rPr>
                <w:rFonts w:hint="eastAsia"/>
              </w:rPr>
              <w:t>《</w:t>
            </w:r>
            <w:r>
              <w:rPr>
                <w:rFonts w:hint="eastAsia" w:asciiTheme="minorEastAsia" w:hAnsiTheme="minorEastAsia" w:eastAsiaTheme="minorEastAsia" w:cstheme="minorEastAsia"/>
                <w:szCs w:val="21"/>
              </w:rPr>
              <w:t>法律法规和其他要求获取识别更新控制程序</w:t>
            </w:r>
            <w:r>
              <w:rPr>
                <w:rFonts w:hint="eastAsia"/>
              </w:rPr>
              <w:t>》</w:t>
            </w:r>
            <w:r>
              <w:rPr>
                <w:rFonts w:hint="eastAsia"/>
                <w:lang w:eastAsia="zh-CN"/>
              </w:rPr>
              <w:t>；</w:t>
            </w:r>
          </w:p>
          <w:p>
            <w:pPr>
              <w:spacing w:line="240" w:lineRule="auto"/>
            </w:pPr>
            <w:r>
              <w:rPr>
                <w:rFonts w:hint="eastAsia"/>
              </w:rPr>
              <w:t>组织收集法律法规和其他要求的渠道：</w:t>
            </w:r>
          </w:p>
          <w:p>
            <w:pPr>
              <w:spacing w:line="240" w:lineRule="auto"/>
            </w:pPr>
            <w:r>
              <w:rPr/>
              <w:sym w:font="Wingdings" w:char="00FE"/>
            </w:r>
            <w:r>
              <w:rPr>
                <w:rFonts w:hint="eastAsia"/>
              </w:rPr>
              <w:t xml:space="preserve">专业网站  </w:t>
            </w:r>
            <w:r>
              <w:rPr/>
              <w:sym w:font="Wingdings" w:char="00FE"/>
            </w:r>
            <w:r>
              <w:rPr>
                <w:rFonts w:hint="eastAsia"/>
              </w:rPr>
              <w:t xml:space="preserve">主管机构    </w:t>
            </w:r>
            <w:r>
              <w:rPr/>
              <w:sym w:font="Wingdings" w:char="00FE"/>
            </w:r>
            <w:r>
              <w:rPr>
                <w:rFonts w:hint="eastAsia"/>
              </w:rPr>
              <w:t xml:space="preserve">专业书店   </w:t>
            </w:r>
            <w:r>
              <w:rPr/>
              <w:sym w:font="Wingdings" w:char="00A8"/>
            </w:r>
            <w:r>
              <w:rPr>
                <w:rFonts w:hint="eastAsia"/>
              </w:rPr>
              <w:t>其他</w:t>
            </w:r>
          </w:p>
          <w:p>
            <w:pPr>
              <w:spacing w:line="240" w:lineRule="auto"/>
            </w:pPr>
            <w:r>
              <w:rPr>
                <w:rFonts w:hint="eastAsia"/>
              </w:rPr>
              <w:t>列举主要的相关法律法规是：</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1167"/>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spacing w:line="240" w:lineRule="auto"/>
                  </w:pPr>
                  <w:r>
                    <w:rPr>
                      <w:rFonts w:hint="eastAsia"/>
                    </w:rPr>
                    <w:t>法律法规名称</w:t>
                  </w:r>
                </w:p>
              </w:tc>
              <w:tc>
                <w:tcPr>
                  <w:tcW w:w="1167" w:type="dxa"/>
                  <w:noWrap w:val="0"/>
                  <w:vAlign w:val="top"/>
                </w:tcPr>
                <w:p>
                  <w:pPr>
                    <w:spacing w:line="240" w:lineRule="auto"/>
                  </w:pPr>
                  <w:r>
                    <w:rPr>
                      <w:rFonts w:hint="eastAsia"/>
                    </w:rPr>
                    <w:t>具体条款</w:t>
                  </w:r>
                </w:p>
              </w:tc>
              <w:tc>
                <w:tcPr>
                  <w:tcW w:w="1671" w:type="dxa"/>
                  <w:noWrap w:val="0"/>
                  <w:vAlign w:val="top"/>
                </w:tcPr>
                <w:p>
                  <w:pPr>
                    <w:spacing w:line="240" w:lineRule="auto"/>
                  </w:pPr>
                  <w:r>
                    <w:rPr>
                      <w:rFonts w:hint="eastAsia"/>
                    </w:rPr>
                    <w:t>应用过程</w:t>
                  </w:r>
                </w:p>
              </w:tc>
              <w:tc>
                <w:tcPr>
                  <w:tcW w:w="1453" w:type="dxa"/>
                  <w:noWrap w:val="0"/>
                  <w:vAlign w:val="top"/>
                </w:tcPr>
                <w:p>
                  <w:pPr>
                    <w:spacing w:line="240" w:lineRule="auto"/>
                  </w:pPr>
                  <w:r>
                    <w:rPr>
                      <w:rFonts w:hint="eastAsia"/>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160"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GB17167-2006用能单位能源计量器具配备及管理导则</w:t>
                  </w:r>
                </w:p>
              </w:tc>
              <w:tc>
                <w:tcPr>
                  <w:tcW w:w="1167" w:type="dxa"/>
                  <w:noWrap w:val="0"/>
                  <w:vAlign w:val="center"/>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全部</w:t>
                  </w:r>
                </w:p>
              </w:tc>
              <w:tc>
                <w:tcPr>
                  <w:tcW w:w="1671" w:type="dxa"/>
                  <w:noWrap w:val="0"/>
                  <w:vAlign w:val="center"/>
                </w:tcPr>
                <w:p>
                  <w:pPr>
                    <w:spacing w:line="24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能源计量</w:t>
                  </w:r>
                </w:p>
              </w:tc>
              <w:tc>
                <w:tcPr>
                  <w:tcW w:w="1453" w:type="dxa"/>
                  <w:noWrap w:val="0"/>
                  <w:vAlign w:val="center"/>
                </w:tcPr>
                <w:p>
                  <w:pPr>
                    <w:spacing w:line="240" w:lineRule="auto"/>
                    <w:rPr>
                      <w:rFonts w:hint="default" w:ascii="Times New Roman" w:hAnsi="Times New Roman" w:eastAsia="宋体" w:cs="Times New Roman"/>
                      <w:szCs w:val="22"/>
                      <w:lang w:val="en-US" w:eastAsia="zh-CN"/>
                    </w:rPr>
                  </w:pPr>
                  <w:r>
                    <w:rPr>
                      <w:rFonts w:hint="eastAsia" w:cs="Times New Roman"/>
                      <w:szCs w:val="22"/>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2589- 2020</w:t>
                  </w:r>
                  <w:r>
                    <w:rPr>
                      <w:rFonts w:hint="eastAsia" w:ascii="Times New Roman" w:hAnsi="Times New Roman" w:eastAsia="宋体" w:cs="Times New Roman"/>
                      <w:szCs w:val="22"/>
                      <w:lang w:val="en-US" w:eastAsia="zh-CN"/>
                    </w:rPr>
                    <w:tab/>
                  </w:r>
                  <w:r>
                    <w:rPr>
                      <w:rFonts w:hint="eastAsia" w:ascii="Times New Roman" w:hAnsi="Times New Roman" w:eastAsia="宋体" w:cs="Times New Roman"/>
                      <w:szCs w:val="22"/>
                      <w:lang w:val="en-US" w:eastAsia="zh-CN"/>
                    </w:rPr>
                    <w:t>综合能耗计算通则</w:t>
                  </w:r>
                </w:p>
              </w:tc>
              <w:tc>
                <w:tcPr>
                  <w:tcW w:w="1167" w:type="dxa"/>
                  <w:noWrap w:val="0"/>
                  <w:vAlign w:val="center"/>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全部</w:t>
                  </w:r>
                </w:p>
              </w:tc>
              <w:tc>
                <w:tcPr>
                  <w:tcW w:w="1671" w:type="dxa"/>
                  <w:noWrap w:val="0"/>
                  <w:vAlign w:val="center"/>
                </w:tcPr>
                <w:p>
                  <w:pPr>
                    <w:spacing w:line="24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能源评审</w:t>
                  </w:r>
                  <w:r>
                    <w:rPr>
                      <w:rFonts w:hint="eastAsia" w:cs="Times New Roman"/>
                      <w:szCs w:val="22"/>
                      <w:lang w:val="en-US" w:eastAsia="zh-CN"/>
                    </w:rPr>
                    <w:t>、计算</w:t>
                  </w:r>
                </w:p>
              </w:tc>
              <w:tc>
                <w:tcPr>
                  <w:tcW w:w="1453" w:type="dxa"/>
                  <w:noWrap w:val="0"/>
                  <w:vAlign w:val="center"/>
                </w:tcPr>
                <w:p>
                  <w:pPr>
                    <w:spacing w:line="240" w:lineRule="auto"/>
                    <w:rPr>
                      <w:rFonts w:hint="eastAsia" w:ascii="Times New Roman" w:hAnsi="Times New Roman" w:eastAsia="宋体" w:cs="Times New Roman"/>
                      <w:szCs w:val="22"/>
                      <w:lang w:val="en-US" w:eastAsia="zh-CN"/>
                    </w:rPr>
                  </w:pPr>
                  <w:r>
                    <w:rPr>
                      <w:rFonts w:hint="eastAsia" w:cs="Times New Roman"/>
                      <w:szCs w:val="22"/>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160"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GB 24789-2009《用水单位水计量器具配备和管理通则》</w:t>
                  </w:r>
                </w:p>
              </w:tc>
              <w:tc>
                <w:tcPr>
                  <w:tcW w:w="1167" w:type="dxa"/>
                  <w:noWrap w:val="0"/>
                  <w:vAlign w:val="center"/>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全部</w:t>
                  </w:r>
                </w:p>
              </w:tc>
              <w:tc>
                <w:tcPr>
                  <w:tcW w:w="1671" w:type="dxa"/>
                  <w:noWrap w:val="0"/>
                  <w:vAlign w:val="center"/>
                </w:tcPr>
                <w:p>
                  <w:pPr>
                    <w:spacing w:line="240" w:lineRule="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能源管理</w:t>
                  </w:r>
                </w:p>
              </w:tc>
              <w:tc>
                <w:tcPr>
                  <w:tcW w:w="1453" w:type="dxa"/>
                  <w:noWrap w:val="0"/>
                  <w:vAlign w:val="center"/>
                </w:tcPr>
                <w:p>
                  <w:pPr>
                    <w:spacing w:line="240" w:lineRule="auto"/>
                    <w:rPr>
                      <w:rFonts w:hint="eastAsia" w:ascii="Times New Roman" w:hAnsi="Times New Roman" w:eastAsia="宋体" w:cs="Times New Roman"/>
                      <w:kern w:val="2"/>
                      <w:sz w:val="21"/>
                      <w:szCs w:val="22"/>
                      <w:lang w:val="en-US" w:eastAsia="zh-CN" w:bidi="ar-SA"/>
                    </w:rPr>
                  </w:pPr>
                  <w:r>
                    <w:rPr>
                      <w:rFonts w:hint="eastAsia" w:cs="Times New Roman"/>
                      <w:szCs w:val="22"/>
                      <w:lang w:val="en-US" w:eastAsia="zh-CN"/>
                    </w:rPr>
                    <w:t>工程部</w:t>
                  </w:r>
                </w:p>
              </w:tc>
            </w:tr>
          </w:tbl>
          <w:p>
            <w:pPr>
              <w:spacing w:line="240" w:lineRule="auto"/>
            </w:pPr>
            <w:r>
              <w:rPr>
                <w:rFonts w:hint="eastAsia"/>
              </w:rPr>
              <w:t>企业的合规性评价是不是按照文件要求执行，结论描述是否准确。</w:t>
            </w:r>
          </w:p>
          <w:p>
            <w:pPr>
              <w:spacing w:line="240" w:lineRule="auto"/>
            </w:pPr>
            <w:r>
              <w:rPr/>
              <w:sym w:font="Wingdings" w:char="00A8"/>
            </w:r>
            <w:r>
              <w:rPr>
                <w:rFonts w:hint="eastAsia"/>
              </w:rPr>
              <w:t>自管理体系建立后/</w:t>
            </w:r>
            <w:r>
              <w:rPr/>
              <w:sym w:font="Wingdings" w:char="00FE"/>
            </w:r>
            <w:r>
              <w:rPr>
                <w:rFonts w:hint="eastAsia"/>
              </w:rPr>
              <w:t>近一年，合规义务如下：</w:t>
            </w:r>
          </w:p>
          <w:p>
            <w:pPr>
              <w:spacing w:line="240" w:lineRule="auto"/>
              <w:rPr>
                <w:rFonts w:hint="eastAsia"/>
                <w:lang w:val="en-US" w:eastAsia="zh-CN"/>
              </w:rPr>
            </w:pPr>
            <w:r>
              <w:rPr>
                <w:rFonts w:hint="eastAsia"/>
                <w:lang w:val="en-US" w:eastAsia="zh-CN"/>
              </w:rPr>
              <w:t>有</w:t>
            </w:r>
            <w:r>
              <w:rPr>
                <w:rFonts w:hint="eastAsia"/>
                <w:lang w:eastAsia="zh-CN"/>
              </w:rPr>
              <w:t>《</w:t>
            </w:r>
            <w:r>
              <w:rPr>
                <w:rFonts w:hint="eastAsia"/>
                <w:lang w:val="en-US" w:eastAsia="zh-CN"/>
              </w:rPr>
              <w:t>合规性评价报告</w:t>
            </w:r>
            <w:r>
              <w:rPr>
                <w:rFonts w:hint="eastAsia"/>
                <w:lang w:eastAsia="zh-CN"/>
              </w:rPr>
              <w:t>》</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1737"/>
              <w:gridCol w:w="2045"/>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33" w:type="dxa"/>
                  <w:noWrap w:val="0"/>
                  <w:vAlign w:val="top"/>
                </w:tcPr>
                <w:p>
                  <w:pPr>
                    <w:spacing w:line="240" w:lineRule="auto"/>
                  </w:pPr>
                  <w:r>
                    <w:rPr>
                      <w:rFonts w:hint="eastAsia"/>
                    </w:rPr>
                    <w:t>合规义务</w:t>
                  </w:r>
                </w:p>
              </w:tc>
              <w:tc>
                <w:tcPr>
                  <w:tcW w:w="1737" w:type="dxa"/>
                  <w:noWrap w:val="0"/>
                  <w:vAlign w:val="top"/>
                </w:tcPr>
                <w:p>
                  <w:pPr>
                    <w:spacing w:line="240" w:lineRule="auto"/>
                  </w:pPr>
                  <w:r>
                    <w:rPr>
                      <w:rFonts w:hint="eastAsia"/>
                    </w:rPr>
                    <w:t>评价日期</w:t>
                  </w:r>
                </w:p>
              </w:tc>
              <w:tc>
                <w:tcPr>
                  <w:tcW w:w="2045" w:type="dxa"/>
                  <w:noWrap w:val="0"/>
                  <w:vAlign w:val="top"/>
                </w:tcPr>
                <w:p>
                  <w:pPr>
                    <w:spacing w:line="240" w:lineRule="auto"/>
                  </w:pPr>
                  <w:r>
                    <w:rPr>
                      <w:rFonts w:hint="eastAsia"/>
                    </w:rPr>
                    <w:t>评价概述或结果</w:t>
                  </w:r>
                </w:p>
              </w:tc>
              <w:tc>
                <w:tcPr>
                  <w:tcW w:w="1828" w:type="dxa"/>
                  <w:noWrap w:val="0"/>
                  <w:vAlign w:val="top"/>
                </w:tcPr>
                <w:p>
                  <w:pPr>
                    <w:spacing w:line="240" w:lineRule="auto"/>
                  </w:pPr>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GB17167-2006用能单位能源计量器具配备及管理导则</w:t>
                  </w:r>
                </w:p>
              </w:tc>
              <w:tc>
                <w:tcPr>
                  <w:tcW w:w="1737" w:type="dxa"/>
                  <w:noWrap w:val="0"/>
                  <w:vAlign w:val="top"/>
                </w:tcPr>
                <w:p>
                  <w:pPr>
                    <w:spacing w:line="240" w:lineRule="auto"/>
                    <w:rPr>
                      <w:rFonts w:hint="default" w:ascii="Times New Roman" w:hAnsi="Times New Roman" w:eastAsia="宋体" w:cs="Times New Roman"/>
                      <w:szCs w:val="22"/>
                      <w:lang w:val="en-US" w:eastAsia="zh-CN"/>
                    </w:rPr>
                  </w:pPr>
                  <w:r>
                    <w:rPr>
                      <w:rFonts w:hint="eastAsia" w:eastAsia="宋体" w:cs="Times New Roman"/>
                      <w:kern w:val="2"/>
                      <w:sz w:val="21"/>
                      <w:szCs w:val="22"/>
                      <w:lang w:val="en-US" w:eastAsia="zh-CN" w:bidi="ar-SA"/>
                    </w:rPr>
                    <w:t>2022.9.20</w:t>
                  </w:r>
                </w:p>
              </w:tc>
              <w:tc>
                <w:tcPr>
                  <w:tcW w:w="2045" w:type="dxa"/>
                  <w:noWrap w:val="0"/>
                  <w:vAlign w:val="top"/>
                </w:tcPr>
                <w:p>
                  <w:pPr>
                    <w:spacing w:line="24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符合法规要求</w:t>
                  </w:r>
                </w:p>
              </w:tc>
              <w:tc>
                <w:tcPr>
                  <w:tcW w:w="1828"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33"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2589- 2020综合能耗计算通则</w:t>
                  </w:r>
                </w:p>
              </w:tc>
              <w:tc>
                <w:tcPr>
                  <w:tcW w:w="1737" w:type="dxa"/>
                  <w:noWrap w:val="0"/>
                  <w:vAlign w:val="top"/>
                </w:tcPr>
                <w:p>
                  <w:pPr>
                    <w:spacing w:line="240" w:lineRule="auto"/>
                    <w:rPr>
                      <w:rFonts w:hint="default" w:ascii="Times New Roman" w:hAnsi="Times New Roman" w:eastAsia="宋体" w:cs="Times New Roman"/>
                      <w:szCs w:val="22"/>
                      <w:lang w:val="en-US" w:eastAsia="zh-CN"/>
                    </w:rPr>
                  </w:pPr>
                  <w:r>
                    <w:rPr>
                      <w:rFonts w:hint="eastAsia" w:eastAsia="宋体" w:cs="Times New Roman"/>
                      <w:kern w:val="2"/>
                      <w:sz w:val="21"/>
                      <w:szCs w:val="22"/>
                      <w:lang w:val="en-US" w:eastAsia="zh-CN" w:bidi="ar-SA"/>
                    </w:rPr>
                    <w:t>2022.9.20</w:t>
                  </w:r>
                </w:p>
              </w:tc>
              <w:tc>
                <w:tcPr>
                  <w:tcW w:w="2045"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符合法规要求</w:t>
                  </w:r>
                </w:p>
              </w:tc>
              <w:tc>
                <w:tcPr>
                  <w:tcW w:w="1828"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GB 24789-2009《用水单位水计量器具配备和管理通则》</w:t>
                  </w:r>
                </w:p>
              </w:tc>
              <w:tc>
                <w:tcPr>
                  <w:tcW w:w="1737" w:type="dxa"/>
                  <w:noWrap w:val="0"/>
                  <w:vAlign w:val="top"/>
                </w:tcPr>
                <w:p>
                  <w:pPr>
                    <w:spacing w:line="240" w:lineRule="auto"/>
                    <w:rPr>
                      <w:rFonts w:hint="default" w:ascii="Times New Roman" w:hAnsi="Times New Roman" w:eastAsia="宋体" w:cs="Times New Roman"/>
                      <w:kern w:val="2"/>
                      <w:sz w:val="21"/>
                      <w:szCs w:val="22"/>
                      <w:lang w:val="en-US" w:eastAsia="zh-CN" w:bidi="ar-SA"/>
                    </w:rPr>
                  </w:pPr>
                  <w:r>
                    <w:rPr>
                      <w:rFonts w:hint="eastAsia" w:eastAsia="宋体" w:cs="Times New Roman"/>
                      <w:kern w:val="2"/>
                      <w:sz w:val="21"/>
                      <w:szCs w:val="22"/>
                      <w:lang w:val="en-US" w:eastAsia="zh-CN" w:bidi="ar-SA"/>
                    </w:rPr>
                    <w:t>2022.9.20</w:t>
                  </w:r>
                </w:p>
              </w:tc>
              <w:tc>
                <w:tcPr>
                  <w:tcW w:w="2045"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符合法规要求</w:t>
                  </w:r>
                </w:p>
              </w:tc>
              <w:tc>
                <w:tcPr>
                  <w:tcW w:w="1828"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无</w:t>
                  </w:r>
                </w:p>
              </w:tc>
            </w:tr>
          </w:tbl>
          <w:p>
            <w:pPr>
              <w:rPr>
                <w:rFonts w:hint="eastAsia" w:ascii="宋体" w:hAnsi="宋体"/>
                <w:highlight w:val="none"/>
                <w:lang w:val="en-US" w:eastAsia="zh-CN"/>
              </w:rPr>
            </w:pPr>
          </w:p>
        </w:tc>
        <w:tc>
          <w:tcPr>
            <w:tcW w:w="1585" w:type="dxa"/>
            <w:shd w:val="clear" w:color="auto" w:fill="auto"/>
          </w:tcPr>
          <w:p>
            <w:pPr>
              <w:rPr>
                <w:rFonts w:hint="eastAsia"/>
                <w:lang w:val="en-US" w:eastAsia="zh-CN"/>
              </w:rPr>
            </w:pPr>
            <w:r>
              <w:rPr>
                <w:rFonts w:hint="eastAsia"/>
                <w:lang w:eastAsia="zh-CN"/>
              </w:rPr>
              <w:t>☑</w:t>
            </w:r>
            <w:r>
              <w:rPr>
                <w:rFonts w:hint="eastAsia"/>
                <w:lang w:val="en-US" w:eastAsia="zh-CN"/>
              </w:rPr>
              <w:t>符合</w:t>
            </w:r>
          </w:p>
          <w:p>
            <w:pPr>
              <w:rPr>
                <w:highlight w:val="none"/>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10" w:type="dxa"/>
            <w:vMerge w:val="restart"/>
            <w:shd w:val="clear" w:color="auto" w:fill="auto"/>
          </w:tcPr>
          <w:p>
            <w:pPr>
              <w:rPr>
                <w:highlight w:val="none"/>
              </w:rPr>
            </w:pPr>
            <w:r>
              <w:rPr>
                <w:rFonts w:hint="eastAsia"/>
                <w:highlight w:val="none"/>
              </w:rPr>
              <w:t>管理评审</w:t>
            </w:r>
          </w:p>
          <w:p>
            <w:pPr>
              <w:rPr>
                <w:highlight w:val="none"/>
              </w:rPr>
            </w:pPr>
          </w:p>
        </w:tc>
        <w:tc>
          <w:tcPr>
            <w:tcW w:w="1121" w:type="dxa"/>
            <w:vMerge w:val="restart"/>
            <w:shd w:val="clear" w:color="auto" w:fill="auto"/>
          </w:tcPr>
          <w:p>
            <w:pPr>
              <w:pStyle w:val="20"/>
              <w:rPr>
                <w:rFonts w:hint="eastAsia"/>
                <w:highlight w:val="none"/>
                <w:lang w:val="en-US" w:eastAsia="zh-CN"/>
              </w:rPr>
            </w:pPr>
            <w:r>
              <w:rPr>
                <w:rFonts w:hint="eastAsia"/>
                <w:highlight w:val="none"/>
                <w:lang w:val="en-US" w:eastAsia="zh-CN"/>
              </w:rPr>
              <w:t>En9.3</w:t>
            </w:r>
          </w:p>
          <w:p>
            <w:pPr>
              <w:pStyle w:val="20"/>
              <w:rPr>
                <w:rFonts w:hint="eastAsia"/>
                <w:highlight w:val="none"/>
                <w:lang w:val="en-US" w:eastAsia="zh-CN"/>
              </w:rPr>
            </w:pPr>
          </w:p>
          <w:p>
            <w:pPr>
              <w:rPr>
                <w:highlight w:val="none"/>
              </w:rPr>
            </w:pPr>
          </w:p>
        </w:tc>
        <w:tc>
          <w:tcPr>
            <w:tcW w:w="745" w:type="dxa"/>
            <w:gridSpan w:val="2"/>
            <w:shd w:val="clear" w:color="auto" w:fill="auto"/>
          </w:tcPr>
          <w:p>
            <w:pPr>
              <w:rPr>
                <w:highlight w:val="none"/>
              </w:rPr>
            </w:pPr>
            <w:r>
              <w:rPr>
                <w:rFonts w:hint="eastAsia"/>
                <w:highlight w:val="none"/>
              </w:rPr>
              <w:t>文件名称</w:t>
            </w:r>
          </w:p>
        </w:tc>
        <w:tc>
          <w:tcPr>
            <w:tcW w:w="9348"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910" w:type="dxa"/>
            <w:vMerge w:val="continue"/>
            <w:shd w:val="clear" w:color="auto" w:fill="auto"/>
          </w:tcPr>
          <w:p>
            <w:pPr>
              <w:rPr>
                <w:highlight w:val="none"/>
              </w:rPr>
            </w:pPr>
          </w:p>
        </w:tc>
        <w:tc>
          <w:tcPr>
            <w:tcW w:w="1121" w:type="dxa"/>
            <w:vMerge w:val="continue"/>
            <w:shd w:val="clear" w:color="auto" w:fill="auto"/>
          </w:tcPr>
          <w:p>
            <w:pPr>
              <w:rPr>
                <w:highlight w:val="none"/>
              </w:rPr>
            </w:pPr>
          </w:p>
        </w:tc>
        <w:tc>
          <w:tcPr>
            <w:tcW w:w="745" w:type="dxa"/>
            <w:gridSpan w:val="2"/>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348" w:type="dxa"/>
            <w:gridSpan w:val="2"/>
            <w:shd w:val="clear" w:color="auto" w:fill="auto"/>
          </w:tcPr>
          <w:p>
            <w:pPr>
              <w:widowControl/>
              <w:spacing w:before="40"/>
              <w:jc w:val="left"/>
              <w:rPr>
                <w:rFonts w:hint="eastAsia"/>
              </w:rPr>
            </w:pPr>
            <w:r>
              <w:rPr>
                <w:rFonts w:hint="eastAsia"/>
              </w:rPr>
              <w:t>自</w:t>
            </w:r>
            <w:r>
              <w:rPr/>
              <w:sym w:font="Wingdings" w:char="00A8"/>
            </w:r>
            <w:r>
              <w:rPr>
                <w:rFonts w:hint="eastAsia"/>
              </w:rPr>
              <w:t>管理体系建立后/</w:t>
            </w:r>
            <w:r>
              <w:rPr/>
              <w:sym w:font="Wingdings" w:char="00FE"/>
            </w:r>
            <w:r>
              <w:rPr>
                <w:rFonts w:hint="eastAsia"/>
              </w:rPr>
              <w:t xml:space="preserve">近一年，于 </w:t>
            </w:r>
            <w:r>
              <w:t xml:space="preserve">  202</w:t>
            </w:r>
            <w:r>
              <w:rPr>
                <w:rFonts w:hint="eastAsia"/>
                <w:lang w:val="en-US" w:eastAsia="zh-CN"/>
              </w:rPr>
              <w:t>2</w:t>
            </w:r>
            <w:r>
              <w:t xml:space="preserve"> </w:t>
            </w:r>
            <w:r>
              <w:rPr>
                <w:rFonts w:hint="eastAsia"/>
              </w:rPr>
              <w:t>年</w:t>
            </w:r>
            <w:r>
              <w:rPr>
                <w:rFonts w:hint="eastAsia"/>
                <w:lang w:val="en-US" w:eastAsia="zh-CN"/>
              </w:rPr>
              <w:t>9</w:t>
            </w:r>
            <w:r>
              <w:rPr>
                <w:rFonts w:hint="eastAsia"/>
              </w:rPr>
              <w:t xml:space="preserve">月 </w:t>
            </w:r>
            <w:r>
              <w:rPr>
                <w:rFonts w:hint="eastAsia"/>
                <w:lang w:val="en-US" w:eastAsia="zh-CN"/>
              </w:rPr>
              <w:t>15</w:t>
            </w:r>
            <w:r>
              <w:t xml:space="preserve"> </w:t>
            </w:r>
            <w:r>
              <w:rPr>
                <w:rFonts w:hint="eastAsia"/>
              </w:rPr>
              <w:t>日实施了管理评审；</w:t>
            </w:r>
          </w:p>
          <w:p>
            <w:pPr>
              <w:widowControl/>
              <w:spacing w:before="40"/>
              <w:jc w:val="left"/>
            </w:pPr>
            <w:r>
              <w:rPr>
                <w:rFonts w:hint="eastAsia"/>
              </w:rPr>
              <w:t>查看</w:t>
            </w:r>
            <w:r>
              <w:fldChar w:fldCharType="begin"/>
            </w:r>
            <w:r>
              <w:instrText xml:space="preserve"> </w:instrText>
            </w:r>
            <w:r>
              <w:rPr>
                <w:rFonts w:hint="eastAsia"/>
              </w:rPr>
              <w:instrText xml:space="preserve">eq \o\ac(□,√)</w:instrText>
            </w:r>
            <w:r>
              <w:fldChar w:fldCharType="end"/>
            </w:r>
            <w:r>
              <w:rPr>
                <w:rFonts w:hint="eastAsia"/>
              </w:rPr>
              <w:t xml:space="preserve">管理评审计划  </w:t>
            </w:r>
            <w:r>
              <w:rPr/>
              <w:sym w:font="Wingdings" w:char="00FE"/>
            </w:r>
            <w:r>
              <w:rPr>
                <w:rFonts w:hint="eastAsia"/>
              </w:rPr>
              <w:t xml:space="preserve">管理评审记录  </w:t>
            </w:r>
            <w:r>
              <w:fldChar w:fldCharType="begin"/>
            </w:r>
            <w:r>
              <w:instrText xml:space="preserve"> </w:instrText>
            </w:r>
            <w:r>
              <w:rPr>
                <w:rFonts w:hint="eastAsia"/>
              </w:rPr>
              <w:instrText xml:space="preserve">eq \o\ac(□)</w:instrText>
            </w:r>
            <w:r>
              <w:fldChar w:fldCharType="end"/>
            </w:r>
            <w:r>
              <w:rPr>
                <w:rFonts w:hint="eastAsia"/>
              </w:rPr>
              <w:t xml:space="preserve">管理评审纪要  </w:t>
            </w:r>
            <w:r>
              <w:fldChar w:fldCharType="begin"/>
            </w:r>
            <w:r>
              <w:instrText xml:space="preserve"> </w:instrText>
            </w:r>
            <w:r>
              <w:rPr>
                <w:rFonts w:hint="eastAsia"/>
              </w:rPr>
              <w:instrText xml:space="preserve">eq \o\ac(□,√)</w:instrText>
            </w:r>
            <w:r>
              <w:fldChar w:fldCharType="end"/>
            </w:r>
            <w:r>
              <w:rPr>
                <w:rFonts w:hint="eastAsia"/>
              </w:rPr>
              <w:t>管理评审报告</w:t>
            </w:r>
          </w:p>
          <w:tbl>
            <w:tblPr>
              <w:tblStyle w:val="17"/>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1"/>
              <w:gridCol w:w="1870"/>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dxa"/>
                  <w:vAlign w:val="top"/>
                </w:tcPr>
                <w:p>
                  <w:pPr>
                    <w:widowControl/>
                    <w:spacing w:before="40"/>
                    <w:jc w:val="left"/>
                  </w:pPr>
                  <w:r>
                    <w:rPr>
                      <w:rFonts w:hint="eastAsia"/>
                    </w:rPr>
                    <w:t>管理评审输入信息</w:t>
                  </w:r>
                </w:p>
              </w:tc>
              <w:tc>
                <w:tcPr>
                  <w:tcW w:w="1870" w:type="dxa"/>
                  <w:vAlign w:val="top"/>
                </w:tcPr>
                <w:p>
                  <w:pPr>
                    <w:widowControl/>
                    <w:spacing w:before="40"/>
                    <w:jc w:val="left"/>
                  </w:pPr>
                  <w:r>
                    <w:rPr>
                      <w:rFonts w:hint="eastAsia"/>
                    </w:rPr>
                    <w:t>评价</w:t>
                  </w:r>
                </w:p>
              </w:tc>
              <w:tc>
                <w:tcPr>
                  <w:tcW w:w="2290" w:type="dxa"/>
                  <w:vAlign w:val="top"/>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1" w:type="dxa"/>
                  <w:vAlign w:val="top"/>
                </w:tcPr>
                <w:p>
                  <w:pPr>
                    <w:widowControl/>
                    <w:spacing w:before="40"/>
                    <w:jc w:val="left"/>
                  </w:pPr>
                  <w:r>
                    <w:rPr>
                      <w:rFonts w:hint="eastAsia"/>
                    </w:rPr>
                    <w:sym w:font="Wingdings" w:char="00FE"/>
                  </w:r>
                  <w:r>
                    <w:rPr>
                      <w:rFonts w:hint="eastAsia"/>
                    </w:rPr>
                    <w:t>以往管理评审所采取措施的情况；</w:t>
                  </w:r>
                </w:p>
              </w:tc>
              <w:tc>
                <w:tcPr>
                  <w:tcW w:w="1870" w:type="dxa"/>
                  <w:vAlign w:val="top"/>
                </w:tcPr>
                <w:p>
                  <w:pPr>
                    <w:widowControl/>
                    <w:spacing w:before="40"/>
                    <w:jc w:val="left"/>
                  </w:pP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符合 □不符合</w:t>
                  </w:r>
                </w:p>
              </w:tc>
              <w:tc>
                <w:tcPr>
                  <w:tcW w:w="2290" w:type="dxa"/>
                  <w:vAlign w:val="top"/>
                </w:tcPr>
                <w:p>
                  <w:pPr>
                    <w:widowControl/>
                    <w:spacing w:before="4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1" w:type="dxa"/>
                  <w:shd w:val="clear" w:color="auto" w:fill="9ED3A3" w:themeFill="background1" w:themeFillShade="D8"/>
                  <w:vAlign w:val="top"/>
                </w:tcPr>
                <w:p>
                  <w:pPr>
                    <w:widowControl/>
                    <w:spacing w:before="40"/>
                    <w:jc w:val="left"/>
                    <w:rPr>
                      <w:rFonts w:hint="default"/>
                      <w:lang w:val="en-US" w:eastAsia="zh-CN"/>
                    </w:rPr>
                  </w:pPr>
                  <w:r>
                    <w:rPr>
                      <w:rFonts w:hint="eastAsia"/>
                      <w:lang w:val="en-US" w:eastAsia="zh-CN"/>
                    </w:rPr>
                    <w:t>EnMS</w:t>
                  </w:r>
                </w:p>
              </w:tc>
              <w:tc>
                <w:tcPr>
                  <w:tcW w:w="1870" w:type="dxa"/>
                  <w:shd w:val="clear" w:color="auto" w:fill="9ED3A3" w:themeFill="background1" w:themeFillShade="D8"/>
                  <w:vAlign w:val="top"/>
                </w:tcPr>
                <w:p>
                  <w:pPr>
                    <w:widowControl/>
                    <w:spacing w:before="40"/>
                    <w:jc w:val="left"/>
                    <w:rPr>
                      <w:rFonts w:hint="eastAsia"/>
                    </w:rPr>
                  </w:pPr>
                </w:p>
              </w:tc>
              <w:tc>
                <w:tcPr>
                  <w:tcW w:w="2290" w:type="dxa"/>
                  <w:shd w:val="clear" w:color="auto" w:fill="9ED3A3" w:themeFill="background1" w:themeFillShade="D8"/>
                  <w:vAlign w:val="top"/>
                </w:tcPr>
                <w:p>
                  <w:pPr>
                    <w:widowControl/>
                    <w:spacing w:before="40"/>
                    <w:jc w:val="left"/>
                    <w:rPr>
                      <w:rFonts w:hint="default"/>
                      <w:lang w:val="en-US" w:eastAsia="zh-CN"/>
                    </w:rPr>
                  </w:pPr>
                </w:p>
              </w:tc>
            </w:tr>
          </w:tbl>
          <w:p>
            <w:pPr>
              <w:shd w:val="clear"/>
              <w:rPr>
                <w:rFonts w:hint="eastAsia"/>
              </w:rPr>
            </w:pPr>
          </w:p>
          <w:tbl>
            <w:tblPr>
              <w:tblStyle w:val="17"/>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管理评审输入信息</w:t>
                  </w:r>
                </w:p>
              </w:tc>
              <w:tc>
                <w:tcPr>
                  <w:tcW w:w="1869" w:type="dxa"/>
                </w:tcPr>
                <w:p>
                  <w:pPr>
                    <w:widowControl/>
                    <w:spacing w:before="40"/>
                    <w:jc w:val="left"/>
                  </w:pPr>
                  <w:r>
                    <w:rPr>
                      <w:rFonts w:hint="eastAsia"/>
                    </w:rPr>
                    <w:t>评价</w:t>
                  </w:r>
                </w:p>
              </w:tc>
              <w:tc>
                <w:tcPr>
                  <w:tcW w:w="2314"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以往管理评审所采取措施的情况；</w:t>
                  </w:r>
                </w:p>
              </w:tc>
              <w:tc>
                <w:tcPr>
                  <w:tcW w:w="1869" w:type="dxa"/>
                </w:tcPr>
                <w:p>
                  <w:pPr>
                    <w:widowControl/>
                    <w:spacing w:before="40"/>
                    <w:jc w:val="left"/>
                  </w:pPr>
                  <w:r>
                    <w:rPr>
                      <w:rFonts w:hint="eastAsia"/>
                      <w:lang w:eastAsia="zh-CN"/>
                    </w:rPr>
                    <w:t>☑</w:t>
                  </w:r>
                  <w:r>
                    <w:rPr>
                      <w:rFonts w:hint="eastAsia"/>
                    </w:rPr>
                    <w:t xml:space="preserve">符合 </w:t>
                  </w:r>
                  <w:r>
                    <w:rPr>
                      <w:rFonts w:hint="eastAsia"/>
                      <w:lang w:eastAsia="zh-CN"/>
                    </w:rPr>
                    <w:t>□</w:t>
                  </w:r>
                  <w:r>
                    <w:rPr>
                      <w:rFonts w:hint="eastAsia"/>
                    </w:rPr>
                    <w:t>不符合</w:t>
                  </w:r>
                </w:p>
              </w:tc>
              <w:tc>
                <w:tcPr>
                  <w:tcW w:w="2314" w:type="dxa"/>
                </w:tcPr>
                <w:p>
                  <w:pPr>
                    <w:widowControl/>
                    <w:spacing w:before="4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与能源管理体系相关的内外部问题的变化；</w:t>
                  </w:r>
                </w:p>
              </w:tc>
              <w:tc>
                <w:tcPr>
                  <w:tcW w:w="1869" w:type="dxa"/>
                </w:tcPr>
                <w:p>
                  <w:pPr>
                    <w:widowControl/>
                    <w:spacing w:before="40"/>
                    <w:jc w:val="left"/>
                  </w:pPr>
                  <w:r>
                    <w:rPr>
                      <w:rFonts w:hint="eastAsia"/>
                      <w:lang w:eastAsia="zh-CN"/>
                    </w:rPr>
                    <w:t>☑</w:t>
                  </w:r>
                  <w:r>
                    <w:rPr>
                      <w:rFonts w:hint="eastAsia"/>
                    </w:rPr>
                    <w:t xml:space="preserve">符合 </w:t>
                  </w:r>
                  <w:r>
                    <w:rPr>
                      <w:rFonts w:hint="eastAsia"/>
                      <w:lang w:eastAsia="zh-CN"/>
                    </w:rPr>
                    <w:t>□</w:t>
                  </w:r>
                  <w:r>
                    <w:rPr>
                      <w:rFonts w:hint="eastAsia"/>
                    </w:rPr>
                    <w:t>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相关方的需求和期望（包括合规义务）的变化</w:t>
                  </w:r>
                </w:p>
              </w:tc>
              <w:tc>
                <w:tcPr>
                  <w:tcW w:w="1869" w:type="dxa"/>
                </w:tcPr>
                <w:p>
                  <w:pPr>
                    <w:widowControl/>
                    <w:spacing w:before="40"/>
                    <w:jc w:val="left"/>
                  </w:pPr>
                  <w:r>
                    <w:rPr>
                      <w:rFonts w:hint="eastAsia"/>
                      <w:lang w:eastAsia="zh-CN"/>
                    </w:rPr>
                    <w:t>☑</w:t>
                  </w:r>
                  <w:r>
                    <w:rPr>
                      <w:rFonts w:hint="eastAsia"/>
                    </w:rPr>
                    <w:t xml:space="preserve">符合 </w:t>
                  </w:r>
                  <w:r>
                    <w:rPr>
                      <w:rFonts w:hint="eastAsia"/>
                      <w:lang w:eastAsia="zh-CN"/>
                    </w:rPr>
                    <w:t>□</w:t>
                  </w:r>
                  <w:r>
                    <w:rPr>
                      <w:rFonts w:hint="eastAsia"/>
                    </w:rPr>
                    <w:t>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风险和机遇的变化</w:t>
                  </w:r>
                </w:p>
              </w:tc>
              <w:tc>
                <w:tcPr>
                  <w:tcW w:w="1869" w:type="dxa"/>
                </w:tcPr>
                <w:p>
                  <w:pPr>
                    <w:widowControl/>
                    <w:spacing w:before="40"/>
                    <w:jc w:val="left"/>
                  </w:pPr>
                  <w:r>
                    <w:rPr>
                      <w:rFonts w:hint="eastAsia"/>
                      <w:lang w:eastAsia="zh-CN"/>
                    </w:rPr>
                    <w:sym w:font="Wingdings 2" w:char="0052"/>
                  </w:r>
                  <w:r>
                    <w:rPr>
                      <w:rFonts w:hint="eastAsia"/>
                    </w:rPr>
                    <w:t xml:space="preserve">符合 </w:t>
                  </w:r>
                  <w:r>
                    <w:rPr>
                      <w:rFonts w:hint="eastAsia"/>
                      <w:lang w:eastAsia="zh-CN"/>
                    </w:rPr>
                    <w:t>□</w:t>
                  </w:r>
                  <w:r>
                    <w:rPr>
                      <w:rFonts w:hint="eastAsia"/>
                    </w:rPr>
                    <w:t>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节能目标的实现程度</w:t>
                  </w:r>
                </w:p>
              </w:tc>
              <w:tc>
                <w:tcPr>
                  <w:tcW w:w="1869" w:type="dxa"/>
                </w:tcPr>
                <w:p>
                  <w:pPr>
                    <w:widowControl/>
                    <w:spacing w:before="40"/>
                    <w:jc w:val="left"/>
                  </w:pPr>
                  <w:r>
                    <w:rPr>
                      <w:rFonts w:hint="eastAsia"/>
                      <w:lang w:eastAsia="zh-CN"/>
                    </w:rPr>
                    <w:t>☑</w:t>
                  </w:r>
                  <w:r>
                    <w:rPr>
                      <w:rFonts w:hint="eastAsia"/>
                    </w:rPr>
                    <w:t>符合 □不符合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不符合及纠正措施及趋势</w:t>
                  </w:r>
                </w:p>
              </w:tc>
              <w:tc>
                <w:tcPr>
                  <w:tcW w:w="1869" w:type="dxa"/>
                </w:tcPr>
                <w:p>
                  <w:pPr>
                    <w:widowControl/>
                    <w:spacing w:before="40"/>
                    <w:jc w:val="left"/>
                  </w:pPr>
                  <w:r>
                    <w:rPr>
                      <w:rFonts w:hint="eastAsia"/>
                      <w:lang w:eastAsia="zh-CN"/>
                    </w:rPr>
                    <w:t>☑</w:t>
                  </w:r>
                  <w:r>
                    <w:rPr>
                      <w:rFonts w:hint="eastAsia"/>
                    </w:rPr>
                    <w:t>符合 □不符合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监视和测量结果及趋势</w:t>
                  </w:r>
                </w:p>
              </w:tc>
              <w:tc>
                <w:tcPr>
                  <w:tcW w:w="1869" w:type="dxa"/>
                </w:tcPr>
                <w:p>
                  <w:pPr>
                    <w:widowControl/>
                    <w:spacing w:before="40"/>
                    <w:jc w:val="left"/>
                  </w:pPr>
                  <w:r>
                    <w:rPr>
                      <w:rFonts w:hint="eastAsia"/>
                      <w:lang w:eastAsia="zh-CN"/>
                    </w:rPr>
                    <w:t>☑</w:t>
                  </w:r>
                  <w:r>
                    <w:rPr>
                      <w:rFonts w:hint="eastAsia"/>
                    </w:rPr>
                    <w:t>符合 □不符合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合规义务的履行情况的趋势</w:t>
                  </w:r>
                </w:p>
              </w:tc>
              <w:tc>
                <w:tcPr>
                  <w:tcW w:w="1869" w:type="dxa"/>
                  <w:vAlign w:val="top"/>
                </w:tcPr>
                <w:p>
                  <w:pPr>
                    <w:widowControl/>
                    <w:spacing w:before="40"/>
                    <w:jc w:val="left"/>
                  </w:pPr>
                  <w:r>
                    <w:rPr>
                      <w:rFonts w:hint="eastAsia"/>
                      <w:lang w:eastAsia="zh-CN"/>
                    </w:rPr>
                    <w:t>☑</w:t>
                  </w:r>
                  <w:r>
                    <w:rPr>
                      <w:rFonts w:hint="eastAsia"/>
                    </w:rPr>
                    <w:t xml:space="preserve">符合 </w:t>
                  </w:r>
                  <w:r>
                    <w:rPr>
                      <w:rFonts w:hint="eastAsia"/>
                      <w:lang w:eastAsia="zh-CN"/>
                    </w:rPr>
                    <w:t>□</w:t>
                  </w:r>
                  <w:r>
                    <w:rPr>
                      <w:rFonts w:hint="eastAsia"/>
                    </w:rPr>
                    <w:t>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内审、外部审核结果及趋势</w:t>
                  </w:r>
                </w:p>
              </w:tc>
              <w:tc>
                <w:tcPr>
                  <w:tcW w:w="1869" w:type="dxa"/>
                </w:tcPr>
                <w:p>
                  <w:pPr>
                    <w:widowControl/>
                    <w:spacing w:before="40"/>
                    <w:jc w:val="left"/>
                  </w:pPr>
                  <w:r>
                    <w:rPr>
                      <w:rFonts w:hint="eastAsia"/>
                      <w:lang w:eastAsia="zh-CN"/>
                    </w:rPr>
                    <w:t>☑</w:t>
                  </w:r>
                  <w:r>
                    <w:rPr>
                      <w:rFonts w:hint="eastAsia"/>
                    </w:rPr>
                    <w:t>符合 □不符合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资源的充分性；</w:t>
                  </w:r>
                </w:p>
              </w:tc>
              <w:tc>
                <w:tcPr>
                  <w:tcW w:w="1869" w:type="dxa"/>
                </w:tcPr>
                <w:p>
                  <w:pPr>
                    <w:widowControl/>
                    <w:spacing w:before="40"/>
                    <w:jc w:val="left"/>
                  </w:pPr>
                  <w:r>
                    <w:rPr>
                      <w:rFonts w:hint="eastAsia"/>
                      <w:lang w:eastAsia="zh-CN"/>
                    </w:rPr>
                    <w:t>☑</w:t>
                  </w:r>
                  <w:r>
                    <w:rPr>
                      <w:rFonts w:hint="eastAsia"/>
                    </w:rPr>
                    <w:t>符合 □不符合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eastAsia="宋体"/>
                      <w:lang w:val="en-US" w:eastAsia="zh-CN"/>
                    </w:rPr>
                  </w:pPr>
                  <w:r>
                    <w:rPr>
                      <w:rFonts w:hint="eastAsia"/>
                      <w:lang w:val="en-US" w:eastAsia="zh-CN"/>
                    </w:rPr>
                    <w:t>能源绩效参数/能源基准的适宜性</w:t>
                  </w:r>
                </w:p>
              </w:tc>
              <w:tc>
                <w:tcPr>
                  <w:tcW w:w="1869" w:type="dxa"/>
                </w:tcPr>
                <w:p>
                  <w:pPr>
                    <w:widowControl/>
                    <w:spacing w:before="40"/>
                    <w:jc w:val="left"/>
                    <w:rPr>
                      <w:rFonts w:hint="eastAsia"/>
                      <w:lang w:eastAsia="zh-CN"/>
                    </w:rPr>
                  </w:pPr>
                  <w:r>
                    <w:rPr>
                      <w:rFonts w:hint="eastAsia"/>
                      <w:lang w:eastAsia="zh-CN"/>
                    </w:rPr>
                    <w:t>☑</w:t>
                  </w:r>
                  <w:r>
                    <w:rPr>
                      <w:rFonts w:hint="eastAsia"/>
                    </w:rPr>
                    <w:t>符合 □不符合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来自相关方的有关信息交流</w:t>
                  </w:r>
                  <w:r>
                    <w:t xml:space="preserve"> </w:t>
                  </w:r>
                  <w:r>
                    <w:rPr>
                      <w:rFonts w:hint="eastAsia"/>
                      <w:lang w:val="en-US" w:eastAsia="zh-CN"/>
                    </w:rPr>
                    <w:t>，包括抱怨；</w:t>
                  </w:r>
                </w:p>
              </w:tc>
              <w:tc>
                <w:tcPr>
                  <w:tcW w:w="1869" w:type="dxa"/>
                </w:tcPr>
                <w:p>
                  <w:pPr>
                    <w:widowControl/>
                    <w:spacing w:before="40"/>
                    <w:jc w:val="left"/>
                  </w:pPr>
                  <w:r>
                    <w:rPr>
                      <w:rFonts w:hint="eastAsia"/>
                      <w:lang w:eastAsia="zh-CN"/>
                    </w:rPr>
                    <w:t>☑</w:t>
                  </w:r>
                  <w:r>
                    <w:rPr>
                      <w:rFonts w:hint="eastAsia"/>
                    </w:rPr>
                    <w:t>符合 □不符合</w:t>
                  </w:r>
                </w:p>
              </w:tc>
              <w:tc>
                <w:tcPr>
                  <w:tcW w:w="2314"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改进的机会</w:t>
                  </w:r>
                </w:p>
              </w:tc>
              <w:tc>
                <w:tcPr>
                  <w:tcW w:w="1869" w:type="dxa"/>
                </w:tcPr>
                <w:p>
                  <w:pPr>
                    <w:widowControl/>
                    <w:spacing w:before="40"/>
                    <w:jc w:val="left"/>
                  </w:pPr>
                  <w:r>
                    <w:rPr>
                      <w:rFonts w:hint="eastAsia"/>
                      <w:lang w:eastAsia="zh-CN"/>
                    </w:rPr>
                    <w:t>☑</w:t>
                  </w:r>
                  <w:r>
                    <w:rPr>
                      <w:rFonts w:hint="eastAsia"/>
                    </w:rPr>
                    <w:t>符合 □不符合</w:t>
                  </w:r>
                </w:p>
              </w:tc>
              <w:tc>
                <w:tcPr>
                  <w:tcW w:w="2314" w:type="dxa"/>
                </w:tcPr>
                <w:p>
                  <w:pPr>
                    <w:widowControl/>
                    <w:spacing w:before="40"/>
                    <w:jc w:val="left"/>
                  </w:pPr>
                </w:p>
              </w:tc>
            </w:tr>
          </w:tbl>
          <w:p>
            <w:pPr>
              <w:widowControl/>
              <w:spacing w:before="40"/>
              <w:jc w:val="left"/>
              <w:rPr>
                <w:rFonts w:hint="eastAsia"/>
              </w:rPr>
            </w:pPr>
            <w:r>
              <w:rPr>
                <w:rFonts w:hint="eastAsia"/>
              </w:rPr>
              <w:t>对</w:t>
            </w:r>
            <w:r>
              <w:rPr>
                <w:rFonts w:hint="eastAsia"/>
                <w:lang w:val="en-US" w:eastAsia="zh-CN"/>
              </w:rPr>
              <w:t>能源</w:t>
            </w:r>
            <w:r>
              <w:rPr>
                <w:rFonts w:hint="eastAsia"/>
              </w:rPr>
              <w:t>管理体系的持续适宜性，充分性，有效性的结论。</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满足 □不满足，说明           </w:t>
            </w:r>
          </w:p>
          <w:p>
            <w:pPr>
              <w:pStyle w:val="20"/>
              <w:rPr>
                <w:rFonts w:hint="default"/>
                <w:lang w:val="en-US" w:eastAsia="zh-CN"/>
              </w:rPr>
            </w:pPr>
            <w:r>
              <w:rPr>
                <w:rFonts w:hint="eastAsia"/>
                <w:lang w:val="en-US" w:eastAsia="zh-CN"/>
              </w:rPr>
              <w:t>抽查管理评审输出情况：</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tcPr>
                <w:p>
                  <w:pPr>
                    <w:widowControl/>
                    <w:spacing w:before="40"/>
                    <w:jc w:val="left"/>
                  </w:pPr>
                  <w:r>
                    <w:rPr>
                      <w:rFonts w:hint="eastAsia"/>
                      <w:lang w:val="en-US" w:eastAsia="zh-CN"/>
                    </w:rPr>
                    <w:t>EnMS</w:t>
                  </w:r>
                  <w:r>
                    <w:rPr>
                      <w:rFonts w:hint="eastAsia"/>
                    </w:rPr>
                    <w:t>管理评审输出信息（决策）</w:t>
                  </w:r>
                </w:p>
              </w:tc>
              <w:tc>
                <w:tcPr>
                  <w:tcW w:w="3695" w:type="dxa"/>
                </w:tcPr>
                <w:p>
                  <w:pPr>
                    <w:widowControl/>
                    <w:spacing w:before="40"/>
                    <w:jc w:val="left"/>
                  </w:pPr>
                  <w:r>
                    <w:rPr>
                      <w:rFonts w:hint="eastAsia"/>
                    </w:rPr>
                    <w:t>措施描述（举例）</w:t>
                  </w:r>
                </w:p>
              </w:tc>
              <w:tc>
                <w:tcPr>
                  <w:tcW w:w="2496" w:type="dxa"/>
                </w:tcPr>
                <w:p>
                  <w:pPr>
                    <w:widowControl/>
                    <w:spacing w:before="40"/>
                    <w:jc w:val="left"/>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与持续改进机会相关的决策</w:t>
                  </w:r>
                </w:p>
              </w:tc>
              <w:tc>
                <w:tcPr>
                  <w:tcW w:w="3695" w:type="dxa"/>
                </w:tcPr>
                <w:p>
                  <w:pPr>
                    <w:widowControl/>
                    <w:spacing w:before="40"/>
                    <w:jc w:val="left"/>
                    <w:rPr>
                      <w:rFonts w:hint="eastAsia"/>
                      <w:szCs w:val="22"/>
                      <w:lang w:val="en-US" w:eastAsia="zh-CN"/>
                    </w:rPr>
                  </w:pPr>
                  <w:r>
                    <w:rPr>
                      <w:rFonts w:hint="eastAsia"/>
                      <w:szCs w:val="22"/>
                    </w:rPr>
                    <w:t>培训学习</w:t>
                  </w:r>
                  <w:r>
                    <w:rPr>
                      <w:rFonts w:hint="eastAsia"/>
                      <w:szCs w:val="22"/>
                      <w:lang w:eastAsia="zh-CN"/>
                    </w:rPr>
                    <w:t>GB/T</w:t>
                  </w:r>
                  <w:r>
                    <w:rPr>
                      <w:rFonts w:hint="eastAsia"/>
                      <w:szCs w:val="22"/>
                      <w:lang w:val="en-US" w:eastAsia="zh-CN"/>
                    </w:rPr>
                    <w:t>2333</w:t>
                  </w:r>
                  <w:r>
                    <w:rPr>
                      <w:rFonts w:hint="eastAsia"/>
                      <w:szCs w:val="22"/>
                      <w:lang w:eastAsia="zh-CN"/>
                    </w:rPr>
                    <w:t>1-2020</w:t>
                  </w:r>
                  <w:r>
                    <w:rPr>
                      <w:rFonts w:hint="eastAsia"/>
                      <w:szCs w:val="22"/>
                    </w:rPr>
                    <w:t>标准管理体系文件的学习培训管理体系文件，使员工加深对标准和管理体系文件的理解，在全企业提高</w:t>
                  </w:r>
                  <w:r>
                    <w:rPr>
                      <w:rFonts w:hint="eastAsia"/>
                      <w:szCs w:val="22"/>
                      <w:lang w:val="en-US" w:eastAsia="zh-CN"/>
                    </w:rPr>
                    <w:t>节能</w:t>
                  </w:r>
                  <w:r>
                    <w:rPr>
                      <w:rFonts w:hint="eastAsia"/>
                      <w:szCs w:val="22"/>
                    </w:rPr>
                    <w:t>意识。</w:t>
                  </w:r>
                </w:p>
              </w:tc>
              <w:tc>
                <w:tcPr>
                  <w:tcW w:w="2496" w:type="dxa"/>
                </w:tcPr>
                <w:p>
                  <w:pPr>
                    <w:widowControl/>
                    <w:spacing w:before="40"/>
                    <w:jc w:val="left"/>
                  </w:pPr>
                  <w:r>
                    <w:rPr>
                      <w:rFonts w:hint="eastAsia"/>
                      <w:lang w:eastAsia="zh-CN"/>
                    </w:rPr>
                    <w:t>☑</w:t>
                  </w:r>
                  <w:r>
                    <w:rPr>
                      <w:rFonts w:hint="eastAsia"/>
                    </w:rPr>
                    <w:t xml:space="preserve">已落实 </w:t>
                  </w:r>
                  <w:r>
                    <w:rPr>
                      <w:rFonts w:hint="eastAsia"/>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lang w:val="en-US" w:eastAsia="zh-CN"/>
                    </w:rPr>
                  </w:pPr>
                  <w:r>
                    <w:rPr>
                      <w:rFonts w:hint="eastAsia"/>
                    </w:rPr>
                    <w:t>能源</w:t>
                  </w:r>
                  <w:r>
                    <w:rPr>
                      <w:rFonts w:hint="eastAsia"/>
                      <w:lang w:val="en-US" w:eastAsia="zh-CN"/>
                    </w:rPr>
                    <w:t>基准、能源绩效参数</w:t>
                  </w:r>
                </w:p>
              </w:tc>
              <w:tc>
                <w:tcPr>
                  <w:tcW w:w="3695" w:type="dxa"/>
                  <w:vAlign w:val="top"/>
                </w:tcPr>
                <w:p>
                  <w:pPr>
                    <w:widowControl/>
                    <w:spacing w:before="40"/>
                    <w:jc w:val="left"/>
                    <w:rPr>
                      <w:rFonts w:hint="default"/>
                      <w:lang w:val="en-US" w:eastAsia="zh-CN"/>
                    </w:rPr>
                  </w:pPr>
                  <w:r>
                    <w:rPr>
                      <w:rFonts w:hint="eastAsia"/>
                      <w:lang w:val="en-US" w:eastAsia="zh-CN"/>
                    </w:rPr>
                    <w:t>在2021年基础确定2022年基准值</w:t>
                  </w:r>
                </w:p>
              </w:tc>
              <w:tc>
                <w:tcPr>
                  <w:tcW w:w="2496" w:type="dxa"/>
                </w:tcPr>
                <w:p>
                  <w:pPr>
                    <w:widowControl/>
                    <w:spacing w:before="40"/>
                    <w:jc w:val="left"/>
                  </w:pPr>
                  <w:r>
                    <w:rPr>
                      <w:rFonts w:hint="eastAsia"/>
                      <w:lang w:eastAsia="zh-CN"/>
                    </w:rPr>
                    <w:sym w:font="Wingdings 2" w:char="0052"/>
                  </w:r>
                  <w:r>
                    <w:rPr>
                      <w:rFonts w:hint="eastAsia"/>
                    </w:rPr>
                    <w:t xml:space="preserve">已落实 </w:t>
                  </w:r>
                  <w:r>
                    <w:rPr>
                      <w:rFonts w:hint="eastAsia"/>
                      <w:lang w:eastAsia="zh-CN"/>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资源需求</w:t>
                  </w:r>
                </w:p>
              </w:tc>
              <w:tc>
                <w:tcPr>
                  <w:tcW w:w="3695" w:type="dxa"/>
                </w:tcPr>
                <w:p>
                  <w:pPr>
                    <w:widowControl/>
                    <w:spacing w:before="40"/>
                    <w:jc w:val="left"/>
                    <w:rPr>
                      <w:rFonts w:hint="default"/>
                      <w:lang w:val="en-US" w:eastAsia="zh-CN"/>
                    </w:rPr>
                  </w:pPr>
                  <w:r>
                    <w:rPr>
                      <w:rFonts w:hint="eastAsia"/>
                      <w:lang w:val="en-US" w:eastAsia="zh-CN"/>
                    </w:rPr>
                    <w:t>——</w:t>
                  </w:r>
                </w:p>
              </w:tc>
              <w:tc>
                <w:tcPr>
                  <w:tcW w:w="2496" w:type="dxa"/>
                </w:tcPr>
                <w:p>
                  <w:pPr>
                    <w:widowControl/>
                    <w:spacing w:before="40"/>
                    <w:jc w:val="left"/>
                  </w:pPr>
                  <w:r>
                    <w:rPr>
                      <w:rFonts w:hint="eastAsia"/>
                    </w:rPr>
                    <w:t xml:space="preserve">□已落实 </w:t>
                  </w:r>
                  <w:r>
                    <w:rPr>
                      <w:rFonts w:hint="eastAsia"/>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节能目标未实现所采取的措施。（需要时）</w:t>
                  </w:r>
                </w:p>
              </w:tc>
              <w:tc>
                <w:tcPr>
                  <w:tcW w:w="3695" w:type="dxa"/>
                </w:tcPr>
                <w:p>
                  <w:pPr>
                    <w:widowControl/>
                    <w:spacing w:before="40"/>
                    <w:jc w:val="left"/>
                    <w:rPr>
                      <w:rFonts w:hint="default"/>
                      <w:lang w:val="en-US" w:eastAsia="zh-CN"/>
                    </w:rPr>
                  </w:pPr>
                  <w:r>
                    <w:rPr>
                      <w:rFonts w:hint="eastAsia"/>
                      <w:lang w:val="en-US" w:eastAsia="zh-CN"/>
                    </w:rPr>
                    <w:t>已完成目标</w:t>
                  </w:r>
                </w:p>
              </w:tc>
              <w:tc>
                <w:tcPr>
                  <w:tcW w:w="2496" w:type="dxa"/>
                </w:tcPr>
                <w:p>
                  <w:pPr>
                    <w:widowControl/>
                    <w:spacing w:before="40"/>
                    <w:jc w:val="left"/>
                  </w:pPr>
                  <w:r>
                    <w:rPr>
                      <w:rFonts w:hint="eastAsia"/>
                      <w:lang w:eastAsia="zh-CN"/>
                    </w:rPr>
                    <w:sym w:font="Wingdings 2" w:char="0052"/>
                  </w:r>
                  <w:r>
                    <w:rPr>
                      <w:rFonts w:hint="eastAsia"/>
                    </w:rPr>
                    <w:t xml:space="preserve">已落实 </w:t>
                  </w:r>
                  <w:r>
                    <w:rPr>
                      <w:rFonts w:hint="eastAsia"/>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改进能源管理体系与其他业务过程融合的机会。（需要时）</w:t>
                  </w:r>
                </w:p>
              </w:tc>
              <w:tc>
                <w:tcPr>
                  <w:tcW w:w="3695" w:type="dxa"/>
                </w:tcPr>
                <w:p>
                  <w:pPr>
                    <w:widowControl/>
                    <w:spacing w:before="40"/>
                    <w:jc w:val="left"/>
                    <w:rPr>
                      <w:rFonts w:hint="default"/>
                      <w:lang w:val="en-US" w:eastAsia="zh-CN"/>
                    </w:rPr>
                  </w:pPr>
                  <w:r>
                    <w:rPr>
                      <w:rFonts w:hint="eastAsia"/>
                      <w:lang w:val="en-US" w:eastAsia="zh-CN"/>
                    </w:rPr>
                    <w:t>——</w:t>
                  </w:r>
                </w:p>
              </w:tc>
              <w:tc>
                <w:tcPr>
                  <w:tcW w:w="2496" w:type="dxa"/>
                </w:tcPr>
                <w:p>
                  <w:pPr>
                    <w:widowControl/>
                    <w:spacing w:before="40"/>
                    <w:jc w:val="left"/>
                  </w:pPr>
                  <w:r>
                    <w:rPr>
                      <w:rFonts w:hint="eastAsia"/>
                      <w:lang w:eastAsia="zh-CN"/>
                    </w:rPr>
                    <w:t>□</w:t>
                  </w: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任何与组织战略方向相关的结论</w:t>
                  </w:r>
                </w:p>
              </w:tc>
              <w:tc>
                <w:tcPr>
                  <w:tcW w:w="3695" w:type="dxa"/>
                </w:tcPr>
                <w:p>
                  <w:pPr>
                    <w:widowControl/>
                    <w:spacing w:before="40"/>
                    <w:jc w:val="left"/>
                    <w:rPr>
                      <w:rFonts w:hint="default"/>
                      <w:lang w:val="en-US" w:eastAsia="zh-CN"/>
                    </w:rPr>
                  </w:pPr>
                  <w:r>
                    <w:rPr>
                      <w:rFonts w:hint="eastAsia"/>
                      <w:lang w:val="en-US" w:eastAsia="zh-CN"/>
                    </w:rPr>
                    <w:t>——</w:t>
                  </w:r>
                </w:p>
              </w:tc>
              <w:tc>
                <w:tcPr>
                  <w:tcW w:w="2496" w:type="dxa"/>
                </w:tcPr>
                <w:p>
                  <w:pPr>
                    <w:widowControl/>
                    <w:spacing w:before="40"/>
                    <w:jc w:val="left"/>
                  </w:pPr>
                  <w:r>
                    <w:rPr>
                      <w:rFonts w:hint="eastAsia"/>
                      <w:lang w:eastAsia="zh-CN"/>
                    </w:rPr>
                    <w:t>□</w:t>
                  </w:r>
                  <w:r>
                    <w:rPr>
                      <w:rFonts w:hint="eastAsia"/>
                    </w:rPr>
                    <w:t xml:space="preserve">已落实 </w:t>
                  </w:r>
                  <w:r>
                    <w:rPr>
                      <w:rFonts w:hint="eastAsia"/>
                      <w:lang w:eastAsia="zh-CN"/>
                    </w:rPr>
                    <w:t>□</w:t>
                  </w:r>
                  <w:r>
                    <w:rPr>
                      <w:rFonts w:hint="eastAsia"/>
                    </w:rPr>
                    <w:t>已部分落实</w:t>
                  </w:r>
                </w:p>
              </w:tc>
            </w:tr>
          </w:tbl>
          <w:p>
            <w:pPr>
              <w:pStyle w:val="20"/>
              <w:rPr>
                <w:rFonts w:hint="default"/>
                <w:lang w:val="en-US" w:eastAsia="zh-CN"/>
              </w:rPr>
            </w:pPr>
          </w:p>
          <w:p>
            <w:pPr>
              <w:rPr>
                <w:rFonts w:hint="eastAsia" w:eastAsia="宋体"/>
                <w:lang w:val="en-US" w:eastAsia="zh-CN"/>
              </w:rPr>
            </w:pPr>
            <w:r>
              <w:rPr>
                <w:rFonts w:hint="eastAsia"/>
              </w:rPr>
              <w:sym w:font="Wingdings" w:char="00A8"/>
            </w:r>
            <w:r>
              <w:rPr>
                <w:rFonts w:hint="eastAsia"/>
              </w:rPr>
              <w:t xml:space="preserve">改进措施未落实的原因：  </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10" w:type="dxa"/>
            <w:shd w:val="clear" w:color="auto" w:fill="auto"/>
          </w:tcPr>
          <w:p>
            <w:pPr>
              <w:spacing w:line="240" w:lineRule="auto"/>
            </w:pPr>
            <w:r>
              <w:rPr>
                <w:rFonts w:hint="eastAsia" w:cs="Times New Roman"/>
                <w:kern w:val="2"/>
                <w:sz w:val="21"/>
                <w:szCs w:val="22"/>
                <w:lang w:val="en-US" w:eastAsia="zh-CN" w:bidi="ar-SA"/>
              </w:rPr>
              <w:t>上次认证审核</w:t>
            </w:r>
            <w:r>
              <w:rPr>
                <w:rFonts w:hint="eastAsia" w:ascii="Times New Roman" w:hAnsi="Times New Roman" w:eastAsia="宋体" w:cs="Times New Roman"/>
                <w:kern w:val="2"/>
                <w:sz w:val="21"/>
                <w:szCs w:val="22"/>
                <w:lang w:val="en-US" w:eastAsia="zh-CN" w:bidi="ar-SA"/>
              </w:rPr>
              <w:t>问题整改情况</w:t>
            </w:r>
            <w:r>
              <w:rPr>
                <w:rFonts w:hint="eastAsia" w:cs="Times New Roman"/>
                <w:kern w:val="2"/>
                <w:sz w:val="21"/>
                <w:szCs w:val="22"/>
                <w:lang w:val="en-US" w:eastAsia="zh-CN" w:bidi="ar-SA"/>
              </w:rPr>
              <w:t>、证书和标识使用情况、</w:t>
            </w:r>
            <w:r>
              <w:rPr>
                <w:rFonts w:hint="eastAsia" w:ascii="Times New Roman" w:hAnsi="Times New Roman" w:eastAsia="宋体" w:cs="Times New Roman"/>
                <w:b w:val="0"/>
                <w:bCs w:val="0"/>
                <w:sz w:val="21"/>
                <w:szCs w:val="21"/>
              </w:rPr>
              <w:t>标准/规范/法规的执行情况、投诉或事故、监督抽查情况</w:t>
            </w:r>
            <w:r>
              <w:rPr>
                <w:rFonts w:hint="eastAsia" w:cs="Times New Roman"/>
                <w:b w:val="0"/>
                <w:bCs w:val="0"/>
                <w:sz w:val="21"/>
                <w:szCs w:val="21"/>
                <w:lang w:eastAsia="zh-CN"/>
              </w:rPr>
              <w:t>、</w:t>
            </w:r>
            <w:r>
              <w:rPr>
                <w:rFonts w:hint="eastAsia" w:cs="Times New Roman"/>
                <w:b w:val="0"/>
                <w:bCs w:val="0"/>
                <w:sz w:val="21"/>
                <w:szCs w:val="21"/>
                <w:lang w:val="en-US" w:eastAsia="zh-CN"/>
              </w:rPr>
              <w:t>暂停恢复情况等</w:t>
            </w:r>
            <w:r>
              <w:rPr>
                <w:rFonts w:hint="eastAsia" w:ascii="宋体" w:hAnsi="宋体" w:eastAsia="宋体" w:cs="Times New Roman"/>
                <w:b w:val="0"/>
                <w:bCs w:val="0"/>
                <w:sz w:val="21"/>
                <w:szCs w:val="21"/>
                <w:lang w:eastAsia="zh-CN"/>
              </w:rPr>
              <w:t>。</w:t>
            </w:r>
          </w:p>
        </w:tc>
        <w:tc>
          <w:tcPr>
            <w:tcW w:w="1121" w:type="dxa"/>
            <w:shd w:val="clear" w:color="auto" w:fill="auto"/>
          </w:tcPr>
          <w:p>
            <w:pPr>
              <w:spacing w:line="240" w:lineRule="auto"/>
              <w:rPr>
                <w:rFonts w:ascii="Times New Roman" w:hAnsi="Times New Roman" w:eastAsia="宋体" w:cs="Times New Roman"/>
                <w:kern w:val="2"/>
                <w:sz w:val="21"/>
                <w:lang w:val="en-US" w:eastAsia="zh-CN" w:bidi="ar-SA"/>
              </w:rPr>
            </w:pPr>
          </w:p>
        </w:tc>
        <w:tc>
          <w:tcPr>
            <w:tcW w:w="745" w:type="dxa"/>
            <w:gridSpan w:val="2"/>
            <w:shd w:val="clear" w:color="auto" w:fill="auto"/>
            <w:vAlign w:val="top"/>
          </w:tcPr>
          <w:p>
            <w:pPr>
              <w:spacing w:line="240" w:lineRule="auto"/>
              <w:rPr>
                <w:rFonts w:hint="eastAsia"/>
                <w:lang w:val="en-US" w:eastAsia="zh-CN"/>
              </w:rPr>
            </w:pPr>
          </w:p>
        </w:tc>
        <w:tc>
          <w:tcPr>
            <w:tcW w:w="9348" w:type="dxa"/>
            <w:gridSpan w:val="2"/>
            <w:shd w:val="clear" w:color="auto" w:fill="auto"/>
            <w:vAlign w:val="top"/>
          </w:tcPr>
          <w:p>
            <w:pPr>
              <w:pStyle w:val="14"/>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提供上次认证审核的不符合项的整改证据，整改完成，有效</w:t>
            </w:r>
            <w:r>
              <w:rPr>
                <w:rFonts w:hint="eastAsia" w:ascii="Times New Roman" w:hAnsi="Times New Roman" w:eastAsia="宋体" w:cs="Times New Roman"/>
                <w:kern w:val="2"/>
                <w:sz w:val="21"/>
                <w:szCs w:val="22"/>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default" w:cs="Times New Roman"/>
                <w:kern w:val="2"/>
                <w:sz w:val="21"/>
                <w:szCs w:val="22"/>
                <w:lang w:eastAsia="zh-CN" w:bidi="ar-SA"/>
              </w:rPr>
            </w:pPr>
            <w:r>
              <w:rPr>
                <w:rFonts w:hint="eastAsia" w:cs="Times New Roman"/>
                <w:kern w:val="2"/>
                <w:sz w:val="21"/>
                <w:szCs w:val="22"/>
                <w:lang w:val="en-US" w:eastAsia="zh-CN" w:bidi="ar-SA"/>
              </w:rPr>
              <w:t>证书和标识使用情况</w:t>
            </w:r>
            <w:r>
              <w:rPr>
                <w:rFonts w:hint="default" w:cs="Times New Roman"/>
                <w:kern w:val="2"/>
                <w:sz w:val="21"/>
                <w:szCs w:val="22"/>
                <w:lang w:eastAsia="zh-CN" w:bidi="ar-SA"/>
              </w:rPr>
              <w:t>：符合要求；</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default" w:cs="Times New Roman"/>
                <w:b w:val="0"/>
                <w:bCs w:val="0"/>
                <w:sz w:val="21"/>
                <w:szCs w:val="21"/>
              </w:rPr>
            </w:pPr>
            <w:r>
              <w:rPr>
                <w:rFonts w:hint="eastAsia" w:ascii="Times New Roman" w:hAnsi="Times New Roman" w:eastAsia="宋体" w:cs="Times New Roman"/>
                <w:b w:val="0"/>
                <w:bCs w:val="0"/>
                <w:sz w:val="21"/>
                <w:szCs w:val="21"/>
              </w:rPr>
              <w:t>标准/规范/法规的执行情况</w:t>
            </w:r>
            <w:r>
              <w:rPr>
                <w:rFonts w:hint="default" w:cs="Times New Roman"/>
                <w:b w:val="0"/>
                <w:bCs w:val="0"/>
                <w:sz w:val="21"/>
                <w:szCs w:val="21"/>
              </w:rPr>
              <w:t>：企业的使用的法律法规及其他要求满足要求。</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cs="Times New Roman"/>
                <w:b w:val="0"/>
                <w:bCs w:val="0"/>
                <w:sz w:val="21"/>
                <w:szCs w:val="21"/>
                <w:lang w:val="en-US" w:eastAsia="zh-CN"/>
              </w:rPr>
            </w:pPr>
            <w:r>
              <w:rPr>
                <w:rFonts w:hint="eastAsia" w:ascii="Times New Roman" w:hAnsi="Times New Roman" w:eastAsia="宋体" w:cs="Times New Roman"/>
                <w:b w:val="0"/>
                <w:bCs w:val="0"/>
                <w:sz w:val="21"/>
                <w:szCs w:val="21"/>
              </w:rPr>
              <w:t>投诉或事故、监督抽查情况</w:t>
            </w:r>
            <w:r>
              <w:rPr>
                <w:rFonts w:hint="default" w:cs="Times New Roman"/>
                <w:b w:val="0"/>
                <w:bCs w:val="0"/>
                <w:sz w:val="21"/>
                <w:szCs w:val="21"/>
              </w:rPr>
              <w:t>：自去年初次认证审核</w:t>
            </w:r>
            <w:r>
              <w:rPr>
                <w:rFonts w:hint="eastAsia" w:cs="Times New Roman"/>
                <w:b w:val="0"/>
                <w:bCs w:val="0"/>
                <w:sz w:val="21"/>
                <w:szCs w:val="21"/>
                <w:lang w:val="en-US" w:eastAsia="zh-CN"/>
              </w:rPr>
              <w:t>以来，未发生投诉、事故或事件；地方政府有检查。</w:t>
            </w:r>
          </w:p>
          <w:p>
            <w:pPr>
              <w:spacing w:line="240" w:lineRule="auto"/>
              <w:rPr>
                <w:rFonts w:hint="default" w:cs="Times New Roman"/>
                <w:b w:val="0"/>
                <w:bCs w:val="0"/>
                <w:sz w:val="21"/>
                <w:szCs w:val="21"/>
                <w:lang w:val="en-US" w:eastAsia="zh-CN"/>
              </w:rPr>
            </w:pPr>
            <w:r>
              <w:rPr>
                <w:rFonts w:hint="eastAsia" w:ascii="宋体" w:hAnsi="宋体" w:cs="宋体"/>
                <w:b w:val="0"/>
                <w:bCs/>
                <w:sz w:val="21"/>
                <w:szCs w:val="21"/>
              </w:rPr>
              <w:t>暂停期间按照北京国标联合认证有限公司的通知要求停止使用所有引用认证资格的广告材料。纠正/纠正措施有效性验证：已按北京国标联合认证有限公司的要求提出恢复使用认证证书和标志的申请。本次监督审核验证纠正措施有效，同意恢复</w:t>
            </w:r>
            <w:r>
              <w:rPr>
                <w:rFonts w:hint="eastAsia" w:ascii="宋体" w:hAnsi="宋体" w:cs="宋体"/>
                <w:b w:val="0"/>
                <w:bCs/>
                <w:sz w:val="21"/>
                <w:szCs w:val="21"/>
                <w:lang w:eastAsia="zh-CN"/>
              </w:rPr>
              <w:t>。</w:t>
            </w:r>
            <w:r>
              <w:rPr>
                <w:rFonts w:hint="eastAsia" w:ascii="宋体" w:hAnsi="宋体" w:cs="宋体"/>
                <w:b w:val="0"/>
                <w:bCs/>
                <w:sz w:val="21"/>
                <w:szCs w:val="21"/>
              </w:rPr>
              <w:t>暂停期间按照北京国标联合认证有限公司的通知要求停止使用所有引用认证资格</w:t>
            </w:r>
            <w:r>
              <w:rPr>
                <w:rFonts w:hint="eastAsia" w:ascii="宋体" w:hAnsi="宋体" w:cs="宋体"/>
                <w:b w:val="0"/>
                <w:bCs/>
                <w:sz w:val="21"/>
                <w:szCs w:val="21"/>
                <w:lang w:eastAsia="zh-CN"/>
              </w:rPr>
              <w:t>。</w:t>
            </w:r>
            <w:r>
              <w:rPr>
                <w:rFonts w:hint="eastAsia" w:ascii="宋体" w:cs="宋体"/>
                <w:sz w:val="21"/>
                <w:szCs w:val="21"/>
              </w:rPr>
              <w:t>暂停期间按照北京国标联合认证有限公司的通知要求停止使用所有引用认证资格的广告材料</w:t>
            </w:r>
          </w:p>
        </w:tc>
        <w:tc>
          <w:tcPr>
            <w:tcW w:w="1585" w:type="dxa"/>
            <w:shd w:val="clear" w:color="auto" w:fill="auto"/>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bl>
    <w:p>
      <w:pPr>
        <w:pStyle w:val="9"/>
        <w:rPr>
          <w:rFonts w:hint="eastAsia" w:ascii="隶书" w:hAnsi="宋体" w:eastAsia="隶书"/>
          <w:bCs/>
          <w:color w:val="000000"/>
          <w:sz w:val="36"/>
          <w:szCs w:val="36"/>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6"/>
        <w:tblW w:w="14222"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73"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004" w:type="dxa"/>
            <w:gridSpan w:val="2"/>
            <w:vAlign w:val="center"/>
          </w:tcPr>
          <w:p>
            <w:pP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sz w:val="24"/>
                <w:szCs w:val="24"/>
                <w:lang w:val="en-US" w:eastAsia="zh-CN"/>
              </w:rPr>
              <w:t>综合部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主管领导</w:t>
            </w:r>
            <w:r>
              <w:rPr>
                <w:rFonts w:hint="eastAsia" w:asciiTheme="minorEastAsia" w:hAnsiTheme="minorEastAsia" w:eastAsiaTheme="minorEastAsia"/>
                <w:sz w:val="24"/>
                <w:szCs w:val="24"/>
                <w:highlight w:val="none"/>
              </w:rPr>
              <w:t>：</w:t>
            </w:r>
            <w:r>
              <w:rPr>
                <w:rFonts w:hint="eastAsia" w:asciiTheme="minorEastAsia" w:hAnsiTheme="minorEastAsia"/>
                <w:sz w:val="24"/>
                <w:szCs w:val="24"/>
              </w:rPr>
              <w:t>邵光润</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陪同人员：</w:t>
            </w:r>
            <w:r>
              <w:rPr>
                <w:rFonts w:hint="eastAsia" w:asciiTheme="minorEastAsia" w:hAnsiTheme="minorEastAsia" w:eastAsiaTheme="minorEastAsia"/>
                <w:sz w:val="24"/>
                <w:szCs w:val="24"/>
                <w:highlight w:val="none"/>
                <w:lang w:val="en-US" w:eastAsia="zh-CN"/>
              </w:rPr>
              <w:t>单晶晶</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gridSpan w:val="2"/>
            <w:vAlign w:val="center"/>
          </w:tcPr>
          <w:p>
            <w:pPr>
              <w:spacing w:before="12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审核员：</w:t>
            </w:r>
            <w:r>
              <w:rPr>
                <w:rFonts w:hint="eastAsia" w:asciiTheme="minorEastAsia" w:hAnsiTheme="minorEastAsia" w:eastAsiaTheme="minorEastAsia"/>
                <w:sz w:val="24"/>
                <w:szCs w:val="24"/>
                <w:lang w:val="en-US" w:eastAsia="zh-CN"/>
              </w:rPr>
              <w:t xml:space="preserve">范玲玲、崔敬伟   </w:t>
            </w:r>
            <w:r>
              <w:rPr>
                <w:rFonts w:hint="eastAsia"/>
                <w:sz w:val="24"/>
                <w:szCs w:val="24"/>
                <w:lang w:val="en-US" w:eastAsia="zh-CN"/>
              </w:rPr>
              <w:t>（远程）审核工具：微信视频、电话、文件传输</w:t>
            </w:r>
            <w:r>
              <w:rPr>
                <w:rFonts w:hint="eastAsia" w:asciiTheme="minorEastAsia" w:hAnsiTheme="minorEastAsia" w:eastAsiaTheme="minorEastAsia"/>
                <w:sz w:val="24"/>
                <w:szCs w:val="24"/>
                <w:lang w:val="en-US" w:eastAsia="zh-CN"/>
              </w:rPr>
              <w:t xml:space="preserve">  </w:t>
            </w:r>
          </w:p>
          <w:p>
            <w:pPr>
              <w:spacing w:before="120"/>
              <w:rPr>
                <w:rFonts w:hint="default" w:cs="Times New Roman" w:asciiTheme="minorEastAsia" w:hAnsiTheme="minorEastAsia" w:eastAsiaTheme="minorEastAsia"/>
                <w:kern w:val="2"/>
                <w:sz w:val="21"/>
                <w:lang w:val="en-US" w:eastAsia="zh-CN" w:bidi="ar-SA"/>
              </w:rPr>
            </w:pPr>
            <w:r>
              <w:rPr>
                <w:rFonts w:hint="eastAsia" w:asciiTheme="minorEastAsia" w:hAnsiTheme="minorEastAsia" w:eastAsiaTheme="minorEastAsia"/>
                <w:sz w:val="24"/>
                <w:szCs w:val="24"/>
              </w:rPr>
              <w:t>审核时间：</w:t>
            </w:r>
            <w:r>
              <w:rPr>
                <w:rFonts w:asciiTheme="minorEastAsia" w:hAnsiTheme="minorEastAsia" w:eastAsiaTheme="minorEastAsia"/>
              </w:rPr>
              <w:t>2022年</w:t>
            </w:r>
            <w:r>
              <w:rPr>
                <w:rFonts w:hint="eastAsia" w:asciiTheme="minorEastAsia" w:hAnsiTheme="minorEastAsia" w:eastAsiaTheme="minorEastAsia"/>
                <w:lang w:val="en-US" w:eastAsia="zh-CN"/>
              </w:rPr>
              <w:t>12</w:t>
            </w:r>
            <w:r>
              <w:rPr>
                <w:rFonts w:asciiTheme="minorEastAsia" w:hAnsiTheme="minorEastAsia" w:eastAsiaTheme="minorEastAsia"/>
              </w:rPr>
              <w:t>月</w:t>
            </w:r>
            <w:r>
              <w:rPr>
                <w:rFonts w:hint="eastAsia" w:asciiTheme="minorEastAsia" w:hAnsiTheme="minorEastAsia" w:eastAsiaTheme="minorEastAsia"/>
                <w:lang w:val="en-US" w:eastAsia="zh-CN"/>
              </w:rPr>
              <w:t>15日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gridSpan w:val="2"/>
            <w:vAlign w:val="center"/>
          </w:tcPr>
          <w:p>
            <w:pPr>
              <w:spacing w:line="300" w:lineRule="exac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审核条款：</w:t>
            </w: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ascii="宋体" w:hAnsi="宋体" w:eastAsia="宋体" w:cs="Times New Roman"/>
                <w:b w:val="0"/>
                <w:bCs w:val="0"/>
                <w:sz w:val="21"/>
                <w:szCs w:val="21"/>
                <w:highlight w:val="none"/>
              </w:rPr>
              <w:t>5.3</w:t>
            </w:r>
            <w:r>
              <w:rPr>
                <w:rFonts w:hint="eastAsia" w:ascii="宋体" w:hAnsi="宋体" w:eastAsia="宋体" w:cs="Times New Roman"/>
                <w:b w:val="0"/>
                <w:bCs w:val="0"/>
                <w:sz w:val="21"/>
                <w:szCs w:val="21"/>
                <w:highlight w:val="none"/>
                <w:lang w:val="en-US" w:eastAsia="zh-CN"/>
              </w:rPr>
              <w:t>/</w:t>
            </w:r>
            <w:r>
              <w:rPr>
                <w:rFonts w:hint="eastAsia" w:ascii="宋体" w:hAnsi="宋体" w:eastAsia="宋体" w:cs="Times New Roman"/>
                <w:b w:val="0"/>
                <w:bCs w:val="0"/>
                <w:sz w:val="21"/>
                <w:szCs w:val="21"/>
                <w:highlight w:val="none"/>
              </w:rPr>
              <w:t>6.2</w:t>
            </w:r>
            <w:r>
              <w:rPr>
                <w:rFonts w:hint="eastAsia" w:ascii="宋体" w:hAnsi="宋体" w:eastAsia="宋体" w:cs="Times New Roman"/>
                <w:b w:val="0"/>
                <w:bCs w:val="0"/>
                <w:sz w:val="21"/>
                <w:szCs w:val="21"/>
                <w:highlight w:val="none"/>
                <w:lang w:val="en-US" w:eastAsia="zh-CN"/>
              </w:rPr>
              <w:t>/</w:t>
            </w:r>
            <w:r>
              <w:rPr>
                <w:rFonts w:hint="eastAsia" w:ascii="宋体" w:hAnsi="宋体" w:cs="Times New Roman"/>
                <w:b w:val="0"/>
                <w:bCs w:val="0"/>
                <w:sz w:val="21"/>
                <w:szCs w:val="21"/>
                <w:highlight w:val="none"/>
                <w:lang w:val="en-US" w:eastAsia="zh-CN"/>
              </w:rPr>
              <w:t>8.3/</w:t>
            </w:r>
            <w:r>
              <w:rPr>
                <w:rFonts w:hint="eastAsia" w:ascii="宋体" w:hAnsi="宋体" w:eastAsia="宋体" w:cs="Times New Roman"/>
                <w:b w:val="0"/>
                <w:bCs w:val="0"/>
                <w:sz w:val="21"/>
                <w:szCs w:val="21"/>
                <w:highlight w:val="none"/>
              </w:rPr>
              <w:t>9.2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73" w:type="dxa"/>
            <w:vAlign w:val="top"/>
          </w:tcPr>
          <w:p>
            <w:pPr>
              <w:rPr>
                <w:rFonts w:hint="eastAsia"/>
                <w:color w:val="000000" w:themeColor="text1"/>
                <w:sz w:val="21"/>
                <w:szCs w:val="21"/>
                <w:highlight w:val="none"/>
                <w:lang w:val="en-US" w:eastAsia="zh-CN"/>
                <w14:textFill>
                  <w14:solidFill>
                    <w14:schemeClr w14:val="tx1"/>
                  </w14:solidFill>
                </w14:textFill>
              </w:rPr>
            </w:pPr>
          </w:p>
          <w:p>
            <w:pPr>
              <w:rPr>
                <w:rFonts w:hint="eastAsia"/>
                <w:color w:val="000000" w:themeColor="text1"/>
                <w:sz w:val="21"/>
                <w:szCs w:val="21"/>
                <w:highlight w:val="none"/>
                <w:lang w:val="en-US" w:eastAsia="zh-CN"/>
                <w14:textFill>
                  <w14:solidFill>
                    <w14:schemeClr w14:val="tx1"/>
                  </w14:solidFill>
                </w14:textFill>
              </w:rPr>
            </w:pPr>
          </w:p>
          <w:p>
            <w:pP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部门能源职责权限</w:t>
            </w:r>
          </w:p>
        </w:tc>
        <w:tc>
          <w:tcPr>
            <w:tcW w:w="960" w:type="dxa"/>
            <w:vAlign w:val="top"/>
          </w:tcPr>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gridSpan w:val="2"/>
            <w:vAlign w:val="center"/>
          </w:tcPr>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imes New Roman" w:hAnsi="Times New Roman" w:eastAsia="宋体" w:cs="Times New Roman"/>
                <w:szCs w:val="22"/>
                <w:lang w:val="en-US" w:eastAsia="zh-CN"/>
              </w:rPr>
            </w:pPr>
            <w:r>
              <w:rPr>
                <w:rFonts w:hint="eastAsia" w:cs="Times New Roman"/>
                <w:szCs w:val="22"/>
                <w:lang w:val="en-US" w:eastAsia="zh-CN"/>
              </w:rPr>
              <w:t>综合部</w:t>
            </w:r>
            <w:r>
              <w:rPr>
                <w:rFonts w:hint="eastAsia" w:ascii="Times New Roman" w:hAnsi="Times New Roman" w:eastAsia="宋体" w:cs="Times New Roman"/>
                <w:szCs w:val="22"/>
                <w:lang w:val="en-US" w:eastAsia="zh-CN"/>
              </w:rPr>
              <w:t>领导</w:t>
            </w:r>
            <w:r>
              <w:rPr>
                <w:rFonts w:hint="eastAsia" w:asciiTheme="minorEastAsia" w:hAnsiTheme="minorEastAsia"/>
                <w:sz w:val="21"/>
                <w:szCs w:val="21"/>
              </w:rPr>
              <w:t>邵光润</w:t>
            </w:r>
            <w:r>
              <w:rPr>
                <w:rFonts w:hint="eastAsia" w:ascii="Times New Roman" w:hAnsi="Times New Roman" w:eastAsia="宋体" w:cs="Times New Roman"/>
                <w:szCs w:val="22"/>
                <w:lang w:val="en-US" w:eastAsia="zh-CN"/>
              </w:rPr>
              <w:t>介绍：在总经理领导下，主持行政人事工作、后勤工作。协助体系负责人建立一体化管理体系；负责人力资源工作，负责编制年度培训计划并组织培训。负责全公司有关的文件资料管理，相关行业的法律法规，内部形成的规章制度；负责管理体系中相关方投诉、抱怨的处理及内外部信息沟通的处理。</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lang w:eastAsia="zh-CN"/>
              </w:rPr>
            </w:pPr>
            <w:r>
              <w:rPr>
                <w:rFonts w:hint="eastAsia"/>
                <w:lang w:val="en-US" w:eastAsia="zh-CN"/>
              </w:rPr>
              <w:t>综合部采购岗位主要</w:t>
            </w:r>
            <w:r>
              <w:rPr>
                <w:rFonts w:hint="eastAsia"/>
              </w:rPr>
              <w:t>负责供应商管理，负责做好与供应商的沟通工作，以利于公司的产品销售和客户</w:t>
            </w:r>
            <w:r>
              <w:rPr>
                <w:rFonts w:hint="eastAsia"/>
                <w:lang w:eastAsia="zh-CN"/>
              </w:rPr>
              <w:t>生产</w:t>
            </w:r>
            <w:r>
              <w:rPr>
                <w:rFonts w:hint="eastAsia"/>
              </w:rPr>
              <w:t>；负责对公司原材料采购进行控制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eastAsia="宋体"/>
                <w:lang w:val="en-US" w:eastAsia="zh-CN"/>
              </w:rPr>
            </w:pPr>
            <w:r>
              <w:rPr>
                <w:rFonts w:hint="eastAsia" w:ascii="Times New Roman" w:hAnsi="Times New Roman" w:eastAsia="宋体" w:cs="Times New Roman"/>
                <w:bCs w:val="0"/>
                <w:spacing w:val="0"/>
                <w:kern w:val="2"/>
                <w:sz w:val="21"/>
                <w:szCs w:val="22"/>
                <w:lang w:val="en-US" w:eastAsia="zh-CN" w:bidi="ar-SA"/>
              </w:rPr>
              <w:t>对职责较清晰，满足要求。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73" w:type="dxa"/>
            <w:vAlign w:val="top"/>
          </w:tcPr>
          <w:p>
            <w:pP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改进</w:t>
            </w:r>
          </w:p>
        </w:tc>
        <w:tc>
          <w:tcPr>
            <w:tcW w:w="960" w:type="dxa"/>
            <w:vAlign w:val="top"/>
          </w:tcPr>
          <w:p>
            <w:pPr>
              <w:rPr>
                <w:rFonts w:hint="eastAsia"/>
                <w:sz w:val="21"/>
                <w:szCs w:val="21"/>
                <w:lang w:val="en-US" w:eastAsia="zh-CN"/>
              </w:rPr>
            </w:pPr>
            <w:r>
              <w:rPr>
                <w:rFonts w:hint="eastAsia"/>
                <w:sz w:val="21"/>
                <w:szCs w:val="21"/>
                <w:lang w:val="en-US" w:eastAsia="zh-CN"/>
              </w:rPr>
              <w:t>10.1</w:t>
            </w:r>
          </w:p>
          <w:p>
            <w:pPr>
              <w:pStyle w:val="14"/>
              <w:ind w:left="0" w:leftChars="0" w:firstLine="0" w:firstLineChars="0"/>
              <w:rPr>
                <w:rFonts w:hint="default"/>
                <w:lang w:val="en-US" w:eastAsia="zh-CN"/>
              </w:rPr>
            </w:pPr>
            <w:r>
              <w:rPr>
                <w:rFonts w:hint="eastAsia"/>
                <w:color w:val="000000" w:themeColor="text1"/>
                <w:sz w:val="21"/>
                <w:szCs w:val="21"/>
                <w:highlight w:val="none"/>
                <w:lang w:val="en-US" w:eastAsia="zh-CN"/>
                <w14:textFill>
                  <w14:solidFill>
                    <w14:schemeClr w14:val="tx1"/>
                  </w14:solidFill>
                </w14:textFill>
              </w:rPr>
              <w:t>10.2</w:t>
            </w:r>
          </w:p>
        </w:tc>
        <w:tc>
          <w:tcPr>
            <w:tcW w:w="10004" w:type="dxa"/>
            <w:gridSpan w:val="2"/>
            <w:vAlign w:val="center"/>
          </w:tcPr>
          <w:p>
            <w:pPr>
              <w:rPr>
                <w:rFonts w:hint="eastAsia"/>
              </w:rPr>
            </w:pPr>
            <w:r>
              <w:rPr>
                <w:rFonts w:hint="eastAsia"/>
              </w:rPr>
              <w:t>总经理通过建立</w:t>
            </w:r>
            <w:r>
              <w:rPr>
                <w:rFonts w:hint="eastAsia"/>
                <w:lang w:val="en-US" w:eastAsia="zh-CN"/>
              </w:rPr>
              <w:t>En</w:t>
            </w:r>
            <w:r>
              <w:rPr>
                <w:rFonts w:hint="eastAsia"/>
              </w:rPr>
              <w:t>管理方针和目标，并鼓励员工提合理化建议，营造了一个激励改进的氛围，通过管理目标的建立与考核，明确了改进、努力的方向。企业</w:t>
            </w:r>
            <w:r>
              <w:rPr>
                <w:rFonts w:hint="eastAsia"/>
                <w:lang w:val="en-US" w:eastAsia="zh-CN"/>
              </w:rPr>
              <w:t>自上次审核结束到此次审核期间</w:t>
            </w:r>
            <w:r>
              <w:rPr>
                <w:rFonts w:hint="eastAsia"/>
              </w:rPr>
              <w:t>，通过内审的改进、管理评审；纠正措施的实施、顾客满意度调查等措施，采取了具体的改进措施。</w:t>
            </w:r>
          </w:p>
          <w:p>
            <w:pPr>
              <w:rPr>
                <w:rFonts w:hint="eastAsia"/>
              </w:rPr>
            </w:pPr>
            <w:r>
              <w:rPr>
                <w:rFonts w:hint="eastAsia"/>
              </w:rPr>
              <w:t>通过提高销售服务以满足需求，通过内审、管理评审、数据分析与实施纠正和纠正措施，建立一个自我完善、持续改进的机制，不断改进体系绩效和有效性。基本符合要求。</w:t>
            </w:r>
          </w:p>
          <w:p>
            <w:r>
              <w:rPr>
                <w:rFonts w:hint="eastAsia"/>
                <w:lang w:val="en-US" w:eastAsia="zh-CN"/>
              </w:rPr>
              <w:t>查内审不符合0项。</w:t>
            </w:r>
            <w:r>
              <w:rPr>
                <w:rFonts w:hint="eastAsia"/>
              </w:rPr>
              <w:t>公司制定《纠正预防措施控制程序》，规定了纠正措施的来源,明确了对不合格项应进行原因分析,制定纠正措施计划,实施跟踪验证,确保所采取 的纠正措施满足预期要求。</w:t>
            </w:r>
          </w:p>
          <w:p>
            <w:pPr>
              <w:rPr>
                <w:sz w:val="21"/>
                <w:szCs w:val="21"/>
              </w:rPr>
            </w:pPr>
            <w:r>
              <w:rPr>
                <w:rFonts w:hint="eastAsia"/>
              </w:rPr>
              <w:t>内审中发现的不符合项已经采取纠正措施，整改完毕且有效。通过交谈，基本能清楚纠正和预防措施的控制要求。改进的示例包括纠正</w:t>
            </w:r>
            <w:r>
              <w:rPr>
                <w:rFonts w:hint="eastAsia"/>
                <w:sz w:val="21"/>
                <w:szCs w:val="21"/>
              </w:rPr>
              <w:t>、纠正措施、持续改进。</w:t>
            </w:r>
          </w:p>
          <w:p>
            <w:pPr>
              <w:rPr>
                <w:sz w:val="21"/>
                <w:szCs w:val="21"/>
              </w:rPr>
            </w:pPr>
            <w:r>
              <w:rPr>
                <w:rFonts w:hint="eastAsia"/>
                <w:sz w:val="21"/>
                <w:szCs w:val="21"/>
              </w:rPr>
              <w:t>根据不同过程、不同产品和不同要求，采取不同的方法进行监视、测量和分析。无其他不符合发生。</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sz w:val="21"/>
                <w:szCs w:val="21"/>
              </w:rPr>
            </w:pPr>
            <w:r>
              <w:rPr>
                <w:rFonts w:hint="eastAsia"/>
                <w:sz w:val="21"/>
                <w:szCs w:val="21"/>
              </w:rPr>
              <w:t>公司利用</w:t>
            </w:r>
            <w:r>
              <w:rPr>
                <w:rFonts w:hint="eastAsia"/>
                <w:sz w:val="21"/>
                <w:szCs w:val="21"/>
                <w:lang w:val="en-US" w:eastAsia="zh-CN"/>
              </w:rPr>
              <w:t>En</w:t>
            </w:r>
            <w:r>
              <w:rPr>
                <w:rFonts w:hint="eastAsia"/>
                <w:sz w:val="21"/>
                <w:szCs w:val="21"/>
              </w:rPr>
              <w:t>方针、目标、内审和外审、数据分析、纠正和预防措施以及管理评审，识别任何改进的机会，持续改进质量管理体系的适宜性、充分性和有效性。</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lang w:val="en-US" w:eastAsia="zh-CN"/>
              </w:rPr>
            </w:pPr>
            <w:r>
              <w:rPr>
                <w:rFonts w:hint="eastAsia" w:ascii="宋体" w:hAnsi="宋体" w:eastAsia="宋体" w:cs="宋体"/>
                <w:b w:val="0"/>
                <w:bCs w:val="0"/>
                <w:sz w:val="21"/>
                <w:szCs w:val="21"/>
                <w:highlight w:val="none"/>
                <w:u w:val="single"/>
                <w:lang w:val="en-US" w:eastAsia="zh-CN"/>
              </w:rPr>
              <w:t>审核发现，2021年</w:t>
            </w:r>
            <w:r>
              <w:rPr>
                <w:rFonts w:hint="eastAsia" w:ascii="宋体" w:hAnsi="宋体" w:eastAsia="宋体" w:cs="宋体"/>
                <w:b w:val="0"/>
                <w:bCs w:val="0"/>
                <w:sz w:val="21"/>
                <w:szCs w:val="21"/>
                <w:highlight w:val="none"/>
                <w:u w:val="single"/>
              </w:rPr>
              <w:t>单位产值</w:t>
            </w:r>
            <w:r>
              <w:rPr>
                <w:rFonts w:hint="eastAsia" w:ascii="宋体" w:hAnsi="宋体" w:eastAsia="宋体" w:cs="宋体"/>
                <w:b w:val="0"/>
                <w:bCs w:val="0"/>
                <w:sz w:val="21"/>
                <w:szCs w:val="21"/>
                <w:highlight w:val="none"/>
                <w:u w:val="single"/>
                <w:lang w:val="en-US" w:eastAsia="zh-CN"/>
              </w:rPr>
              <w:t>综合</w:t>
            </w:r>
            <w:r>
              <w:rPr>
                <w:rFonts w:hint="eastAsia" w:ascii="宋体" w:hAnsi="宋体" w:eastAsia="宋体" w:cs="宋体"/>
                <w:b w:val="0"/>
                <w:bCs w:val="0"/>
                <w:sz w:val="21"/>
                <w:szCs w:val="21"/>
                <w:highlight w:val="none"/>
                <w:u w:val="single"/>
              </w:rPr>
              <w:t>能耗为</w:t>
            </w:r>
            <w:r>
              <w:rPr>
                <w:rFonts w:hint="eastAsia" w:ascii="宋体" w:hAnsi="宋体" w:eastAsia="宋体" w:cs="宋体"/>
                <w:b w:val="0"/>
                <w:bCs w:val="0"/>
                <w:color w:val="auto"/>
                <w:sz w:val="21"/>
                <w:szCs w:val="21"/>
                <w:highlight w:val="none"/>
                <w:u w:val="single"/>
                <w:lang w:val="en-US" w:eastAsia="zh-CN"/>
              </w:rPr>
              <w:t>0.047tce/万元</w:t>
            </w:r>
            <w:r>
              <w:rPr>
                <w:rFonts w:hint="eastAsia" w:ascii="宋体" w:hAnsi="宋体" w:eastAsia="宋体" w:cs="宋体"/>
                <w:b w:val="0"/>
                <w:bCs w:val="0"/>
                <w:sz w:val="21"/>
                <w:szCs w:val="21"/>
                <w:highlight w:val="none"/>
                <w:u w:val="single"/>
                <w:lang w:val="en-US" w:eastAsia="zh-CN"/>
              </w:rPr>
              <w:t>，超出2020年的</w:t>
            </w:r>
            <w:r>
              <w:rPr>
                <w:rFonts w:hint="eastAsia" w:ascii="宋体" w:hAnsi="宋体" w:eastAsia="宋体" w:cs="宋体"/>
                <w:b w:val="0"/>
                <w:bCs w:val="0"/>
                <w:sz w:val="21"/>
                <w:szCs w:val="21"/>
                <w:highlight w:val="none"/>
                <w:u w:val="single"/>
              </w:rPr>
              <w:t>单位产值</w:t>
            </w:r>
            <w:r>
              <w:rPr>
                <w:rFonts w:hint="eastAsia" w:ascii="宋体" w:hAnsi="宋体" w:eastAsia="宋体" w:cs="宋体"/>
                <w:b w:val="0"/>
                <w:bCs w:val="0"/>
                <w:sz w:val="21"/>
                <w:szCs w:val="21"/>
                <w:highlight w:val="none"/>
                <w:u w:val="single"/>
                <w:lang w:val="en-US" w:eastAsia="zh-CN"/>
              </w:rPr>
              <w:t>综合</w:t>
            </w:r>
            <w:r>
              <w:rPr>
                <w:rFonts w:hint="eastAsia" w:ascii="宋体" w:hAnsi="宋体" w:eastAsia="宋体" w:cs="宋体"/>
                <w:b w:val="0"/>
                <w:bCs w:val="0"/>
                <w:sz w:val="21"/>
                <w:szCs w:val="21"/>
                <w:highlight w:val="none"/>
                <w:u w:val="single"/>
              </w:rPr>
              <w:t>能耗为</w:t>
            </w:r>
            <w:r>
              <w:rPr>
                <w:rFonts w:hint="eastAsia" w:ascii="宋体" w:hAnsi="宋体" w:eastAsia="宋体" w:cs="宋体"/>
                <w:b w:val="0"/>
                <w:bCs w:val="0"/>
                <w:color w:val="auto"/>
                <w:sz w:val="21"/>
                <w:szCs w:val="21"/>
                <w:highlight w:val="none"/>
                <w:u w:val="single"/>
                <w:lang w:val="en-US" w:eastAsia="zh-CN"/>
              </w:rPr>
              <w:t>0.04tce/万元</w:t>
            </w:r>
            <w:r>
              <w:rPr>
                <w:rFonts w:hint="eastAsia" w:ascii="宋体" w:hAnsi="宋体" w:eastAsia="宋体" w:cs="宋体"/>
                <w:b w:val="0"/>
                <w:bCs w:val="0"/>
                <w:sz w:val="21"/>
                <w:szCs w:val="21"/>
                <w:u w:val="single"/>
                <w:lang w:val="en-US" w:eastAsia="zh-CN"/>
              </w:rPr>
              <w:t>，没有对升高的原因进行分析，也没有制定控制措施。</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rPr>
            </w:pPr>
            <w:r>
              <w:rPr>
                <w:rFonts w:hint="eastAsia"/>
                <w:lang w:eastAsia="zh-CN"/>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3" w:type="dxa"/>
            <w:vMerge w:val="restart"/>
          </w:tcPr>
          <w:p>
            <w:pPr>
              <w:rPr>
                <w:rFonts w:hint="default" w:eastAsia="宋体"/>
                <w:lang w:val="en-US" w:eastAsia="zh-CN"/>
              </w:rPr>
            </w:pPr>
            <w:r>
              <w:rPr>
                <w:rFonts w:hint="eastAsia"/>
                <w:color w:val="000000"/>
                <w:szCs w:val="21"/>
                <w:lang w:val="en-US" w:eastAsia="zh-CN"/>
              </w:rPr>
              <w:t>能源</w:t>
            </w:r>
            <w:r>
              <w:rPr>
                <w:rFonts w:hint="eastAsia"/>
                <w:color w:val="000000"/>
                <w:szCs w:val="21"/>
              </w:rPr>
              <w:t>目标</w:t>
            </w:r>
          </w:p>
        </w:tc>
        <w:tc>
          <w:tcPr>
            <w:tcW w:w="960" w:type="dxa"/>
            <w:vMerge w:val="restart"/>
          </w:tcPr>
          <w:p>
            <w:pPr>
              <w:rPr>
                <w:rFonts w:hint="default" w:eastAsia="宋体"/>
                <w:lang w:val="en-US" w:eastAsia="zh-CN"/>
              </w:rPr>
            </w:pPr>
            <w:r>
              <w:rPr>
                <w:rFonts w:hint="eastAsia"/>
                <w:color w:val="000000"/>
                <w:szCs w:val="21"/>
              </w:rPr>
              <w:t>En6.2</w:t>
            </w:r>
          </w:p>
        </w:tc>
        <w:tc>
          <w:tcPr>
            <w:tcW w:w="745" w:type="dxa"/>
          </w:tcPr>
          <w:p>
            <w:r>
              <w:rPr>
                <w:rFonts w:hint="eastAsia"/>
              </w:rPr>
              <w:t>文件名称</w:t>
            </w:r>
          </w:p>
        </w:tc>
        <w:tc>
          <w:tcPr>
            <w:tcW w:w="9259" w:type="dxa"/>
          </w:tcPr>
          <w:p>
            <w:r>
              <w:rPr>
                <w:rFonts w:hint="eastAsia"/>
              </w:rPr>
              <w:t>如：手册第6.2条款、</w:t>
            </w:r>
            <w:r>
              <w:rPr>
                <w:rFonts w:hint="eastAsia"/>
                <w:lang w:eastAsia="zh-CN"/>
              </w:rPr>
              <w:t>《</w:t>
            </w:r>
            <w:r>
              <w:rPr>
                <w:rFonts w:hint="eastAsia" w:ascii="宋体" w:hAnsi="宋体"/>
                <w:bCs/>
                <w:szCs w:val="21"/>
              </w:rPr>
              <w:t>方针目标管理方案控制程序</w:t>
            </w:r>
            <w:r>
              <w:rPr>
                <w:rFonts w:hint="eastAsia"/>
                <w:lang w:eastAsia="zh-CN"/>
              </w:rPr>
              <w:t>》</w:t>
            </w:r>
            <w:r>
              <w:rPr>
                <w:rFonts w:hint="eastAsia"/>
              </w:rPr>
              <w:t>《</w:t>
            </w:r>
            <w:r>
              <w:rPr>
                <w:rFonts w:hint="eastAsia"/>
                <w:lang w:val="en-US" w:eastAsia="zh-CN"/>
              </w:rPr>
              <w:t>能</w:t>
            </w:r>
            <w:r>
              <w:rPr>
                <w:rFonts w:hint="eastAsia" w:ascii="Times New Roman" w:hAnsi="Times New Roman" w:eastAsia="宋体" w:cs="Times New Roman"/>
                <w:szCs w:val="22"/>
                <w:lang w:val="en-US" w:eastAsia="zh-CN"/>
              </w:rPr>
              <w:t>源目标指标</w:t>
            </w:r>
            <w:r>
              <w:rPr>
                <w:rFonts w:hint="eastAsia"/>
              </w:rPr>
              <w:t>》</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73"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组织建立了与方针一致的文件化的管理目标。为实现总目标而建立的各层级目标具体、有针对性、可测量并且可实现。</w:t>
            </w:r>
          </w:p>
          <w:p>
            <w:r>
              <w:rPr>
                <w:rFonts w:hint="eastAsia"/>
              </w:rPr>
              <w:t>节能目标实现情况的评价，及其测量方法是：</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组织建立</w:t>
            </w:r>
            <w:r>
              <w:rPr>
                <w:rFonts w:hint="eastAsia"/>
                <w:lang w:val="en-US" w:eastAsia="zh-CN"/>
              </w:rPr>
              <w:t>了与方针一致的文件化的管理</w:t>
            </w:r>
            <w:r>
              <w:rPr>
                <w:rFonts w:hint="eastAsia"/>
              </w:rPr>
              <w:t>目标。</w:t>
            </w:r>
            <w:r>
              <w:rPr>
                <w:rFonts w:hint="eastAsia"/>
                <w:lang w:eastAsia="zh-CN"/>
              </w:rPr>
              <w:t>为实现</w:t>
            </w:r>
            <w:r>
              <w:rPr>
                <w:rFonts w:hint="eastAsia"/>
                <w:lang w:val="en-US" w:eastAsia="zh-CN"/>
              </w:rPr>
              <w:t>能源</w:t>
            </w:r>
            <w:r>
              <w:rPr>
                <w:rFonts w:hint="eastAsia"/>
                <w:lang w:eastAsia="zh-CN"/>
              </w:rPr>
              <w:t>目标而建立的各层级</w:t>
            </w:r>
            <w:r>
              <w:rPr>
                <w:rFonts w:hint="eastAsia"/>
                <w:lang w:val="en-US" w:eastAsia="zh-CN"/>
              </w:rPr>
              <w:t>能源</w:t>
            </w:r>
            <w:r>
              <w:rPr>
                <w:rFonts w:hint="eastAsia"/>
                <w:lang w:eastAsia="zh-CN"/>
              </w:rPr>
              <w:t>目标具体、有针对性、可测量并且可实现。</w:t>
            </w:r>
          </w:p>
          <w:p>
            <w:pPr>
              <w:pStyle w:val="14"/>
              <w:ind w:left="0" w:leftChars="0" w:firstLine="0" w:firstLineChars="0"/>
              <w:rPr>
                <w:rFonts w:hint="eastAsia" w:ascii="Times New Roman" w:hAnsi="Times New Roman" w:eastAsia="宋体" w:cs="Times New Roman"/>
                <w:kern w:val="2"/>
                <w:sz w:val="21"/>
                <w:szCs w:val="22"/>
                <w:highlight w:val="none"/>
                <w:lang w:val="en-US" w:eastAsia="zh-CN" w:bidi="ar-SA"/>
              </w:rPr>
            </w:pPr>
            <w:r>
              <w:rPr>
                <w:rFonts w:hint="eastAsia" w:ascii="宋体" w:hAnsi="宋体" w:eastAsia="宋体" w:cs="宋体"/>
                <w:color w:val="auto"/>
                <w:sz w:val="21"/>
                <w:szCs w:val="21"/>
                <w:lang w:val="en-US" w:eastAsia="zh-CN"/>
              </w:rPr>
              <w:t>部门执行公司的能源总目标</w:t>
            </w:r>
            <w:r>
              <w:rPr>
                <w:rFonts w:hint="eastAsia" w:ascii="Times New Roman" w:hAnsi="Times New Roman" w:eastAsia="宋体" w:cs="Times New Roman"/>
                <w:kern w:val="2"/>
                <w:sz w:val="21"/>
                <w:szCs w:val="21"/>
                <w:highlight w:val="none"/>
                <w:lang w:val="en-US" w:eastAsia="zh-CN" w:bidi="ar-SA"/>
              </w:rPr>
              <w:t>；</w:t>
            </w:r>
            <w:r>
              <w:rPr>
                <w:rFonts w:hint="eastAsia" w:ascii="宋体" w:hAnsi="宋体" w:eastAsia="宋体" w:cs="宋体"/>
                <w:color w:val="auto"/>
                <w:sz w:val="21"/>
                <w:szCs w:val="21"/>
                <w:lang w:val="en-US" w:eastAsia="zh-CN"/>
              </w:rPr>
              <w:t>日常办公注意节水节电、节约汽油及其他办公耗材的消耗、避免不必要的浪费</w:t>
            </w:r>
          </w:p>
          <w:p>
            <w:pPr>
              <w:keepNext w:val="0"/>
              <w:keepLines w:val="0"/>
              <w:suppressLineNumbers w:val="0"/>
              <w:spacing w:before="0" w:beforeAutospacing="0" w:after="0" w:afterAutospacing="0"/>
              <w:ind w:left="0" w:right="0"/>
              <w:rPr>
                <w:rFonts w:hint="eastAsia"/>
                <w:lang w:val="en-US"/>
              </w:rPr>
            </w:pPr>
            <w:r>
              <w:rPr>
                <w:rFonts w:hint="eastAsia"/>
                <w:szCs w:val="22"/>
                <w:lang w:val="en-US" w:eastAsia="zh-CN"/>
              </w:rPr>
              <w:sym w:font="Wingdings" w:char="00FE"/>
            </w:r>
            <w:r>
              <w:rPr>
                <w:rFonts w:hint="eastAsia"/>
                <w:szCs w:val="22"/>
                <w:lang w:val="en-US" w:eastAsia="zh-CN"/>
              </w:rPr>
              <w:t>公司目标已实现</w:t>
            </w:r>
          </w:p>
          <w:p>
            <w:pPr>
              <w:rPr>
                <w:rFonts w:hint="eastAsia"/>
                <w:lang w:eastAsia="zh-CN"/>
              </w:rPr>
            </w:pPr>
            <w:r>
              <w:rPr>
                <w:rFonts w:hint="eastAsia"/>
                <w:lang w:val="en-US"/>
              </w:rPr>
              <w:sym w:font="Wingdings" w:char="00A8"/>
            </w:r>
            <w:r>
              <w:rPr>
                <w:rFonts w:hint="eastAsia"/>
                <w:szCs w:val="22"/>
                <w:lang w:val="en-US" w:eastAsia="zh-CN"/>
              </w:rPr>
              <w:t>指标未完成。组织在内部已进行原因分析并采取改进措施</w:t>
            </w:r>
          </w:p>
          <w:p>
            <w:pPr>
              <w:pStyle w:val="14"/>
              <w:ind w:left="0" w:leftChars="0" w:firstLine="0" w:firstLineChars="0"/>
              <w:rPr>
                <w:rFonts w:hint="default" w:eastAsia="宋体"/>
                <w:lang w:val="en-US" w:eastAsia="zh-CN"/>
              </w:rPr>
            </w:pPr>
            <w:r>
              <w:rPr>
                <w:rFonts w:hint="eastAsia" w:cs="Times New Roman"/>
                <w:color w:val="auto"/>
                <w:kern w:val="2"/>
                <w:sz w:val="21"/>
                <w:szCs w:val="22"/>
                <w:lang w:val="en-US" w:eastAsia="zh-CN" w:bidi="ar-SA"/>
              </w:rPr>
              <w:t>企业只制定了公司级能耗目标，未结合部门专业特点围绕公司目标进行分解，建议综合部制定与部门管理适宜的目标指标进行管理。如员工培训、文件受控情况、能源采购的符合情况等。改进项。</w:t>
            </w:r>
          </w:p>
        </w:tc>
        <w:tc>
          <w:tcPr>
            <w:tcW w:w="1585" w:type="dxa"/>
            <w:vMerge w:val="continue"/>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Align w:val="top"/>
          </w:tcPr>
          <w:p>
            <w:pPr>
              <w:rPr>
                <w:rFonts w:hint="default" w:eastAsia="宋体"/>
                <w:lang w:val="en-US" w:eastAsia="zh-CN"/>
              </w:rPr>
            </w:pPr>
            <w:r>
              <w:rPr>
                <w:rFonts w:hint="eastAsia"/>
              </w:rPr>
              <w:t>采购</w:t>
            </w:r>
            <w:r>
              <w:rPr>
                <w:rFonts w:hint="eastAsia"/>
                <w:lang w:val="en-US" w:eastAsia="zh-CN"/>
              </w:rPr>
              <w:t>的控制</w:t>
            </w:r>
          </w:p>
          <w:p>
            <w:pPr>
              <w:rPr>
                <w:rFonts w:hint="eastAsia" w:ascii="Times New Roman" w:hAnsi="Times New Roman" w:eastAsia="宋体" w:cs="Times New Roman"/>
                <w:kern w:val="2"/>
                <w:sz w:val="21"/>
                <w:lang w:val="en-US" w:eastAsia="zh-CN" w:bidi="ar-SA"/>
              </w:rPr>
            </w:pPr>
          </w:p>
        </w:tc>
        <w:tc>
          <w:tcPr>
            <w:tcW w:w="960" w:type="dxa"/>
            <w:vAlign w:val="top"/>
          </w:tcPr>
          <w:p>
            <w:pPr>
              <w:rPr>
                <w:rFonts w:hint="eastAsia" w:ascii="Times New Roman" w:hAnsi="Times New Roman" w:eastAsia="宋体" w:cs="Times New Roman"/>
                <w:kern w:val="2"/>
                <w:sz w:val="21"/>
                <w:lang w:val="en-US" w:eastAsia="zh-CN" w:bidi="ar-SA"/>
              </w:rPr>
            </w:pPr>
            <w:r>
              <w:rPr>
                <w:rFonts w:hint="eastAsia"/>
              </w:rPr>
              <w:t>En8.3</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259" w:type="dxa"/>
            <w:vAlign w:val="top"/>
          </w:tcPr>
          <w:p>
            <w:pPr>
              <w:rPr>
                <w:rFonts w:hint="eastAsia" w:ascii="Times New Roman" w:hAnsi="Times New Roman" w:eastAsia="宋体" w:cs="Times New Roman"/>
                <w:kern w:val="2"/>
                <w:sz w:val="21"/>
                <w:lang w:val="en-US" w:eastAsia="zh-CN" w:bidi="ar-SA"/>
              </w:rPr>
            </w:pPr>
            <w:r>
              <w:rPr>
                <w:rFonts w:hint="eastAsia"/>
              </w:rPr>
              <w:t>如：</w:t>
            </w:r>
            <w:r>
              <w:rPr>
                <w:rFonts w:hint="eastAsia"/>
                <w:lang w:val="en-US" w:eastAsia="zh-CN"/>
              </w:rPr>
              <w:t>手册8.3条款、</w:t>
            </w:r>
            <w:r>
              <w:rPr>
                <w:rFonts w:hint="eastAsia"/>
              </w:rPr>
              <w:t>《</w:t>
            </w:r>
            <w:r>
              <w:rPr>
                <w:rFonts w:hint="eastAsia" w:ascii="Times New Roman" w:hAnsi="Times New Roman" w:eastAsia="宋体" w:cs="Times New Roman"/>
                <w:szCs w:val="22"/>
                <w:lang w:val="en-US" w:eastAsia="zh-CN"/>
              </w:rPr>
              <w:t>采购控制程序</w:t>
            </w:r>
            <w:r>
              <w:rPr>
                <w:rFonts w:hint="eastAsia"/>
              </w:rPr>
              <w:t>》、《运行控制程序》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Align w:val="top"/>
          </w:tcPr>
          <w:p>
            <w:pPr>
              <w:rPr>
                <w:rFonts w:hint="eastAsia" w:ascii="Times New Roman" w:hAnsi="Times New Roman" w:eastAsia="宋体" w:cs="Times New Roman"/>
                <w:kern w:val="2"/>
                <w:sz w:val="21"/>
                <w:lang w:val="en-US" w:eastAsia="zh-CN" w:bidi="ar-SA"/>
              </w:rPr>
            </w:pPr>
          </w:p>
        </w:tc>
        <w:tc>
          <w:tcPr>
            <w:tcW w:w="960" w:type="dxa"/>
            <w:vAlign w:val="top"/>
          </w:tcPr>
          <w:p>
            <w:pPr>
              <w:rPr>
                <w:rFonts w:hint="eastAsia" w:ascii="Times New Roman" w:hAnsi="Times New Roman" w:eastAsia="宋体" w:cs="Times New Roman"/>
                <w:kern w:val="2"/>
                <w:sz w:val="21"/>
                <w:lang w:val="en-US" w:eastAsia="zh-CN" w:bidi="ar-S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259" w:type="dxa"/>
            <w:vAlign w:val="top"/>
          </w:tcPr>
          <w:p>
            <w:r>
              <w:rPr>
                <w:rFonts w:hint="eastAsia"/>
              </w:rPr>
              <w:t>外部提供的与主要耗能设备、能源采购有关的过程、产品和服务包括：</w:t>
            </w:r>
          </w:p>
          <w:p>
            <w:pPr>
              <w:spacing w:before="40" w:after="40"/>
              <w:ind w:firstLine="210" w:firstLineChars="100"/>
            </w:pPr>
            <w:r>
              <w:rPr>
                <w:rFonts w:hint="eastAsia"/>
              </w:rPr>
              <w:t xml:space="preserve">□能源采购 </w:t>
            </w:r>
            <w:r>
              <w:rPr>
                <w:rFonts w:hint="eastAsia"/>
              </w:rPr>
              <w:sym w:font="Wingdings" w:char="00FE"/>
            </w:r>
            <w:r>
              <w:rPr>
                <w:rFonts w:hint="eastAsia"/>
                <w:lang w:val="en-US" w:eastAsia="zh-CN"/>
              </w:rPr>
              <w:t>节能</w:t>
            </w:r>
            <w:r>
              <w:rPr>
                <w:rFonts w:hint="eastAsia"/>
              </w:rPr>
              <w:t>设备（</w:t>
            </w:r>
            <w:r>
              <w:rPr>
                <w:rFonts w:hint="eastAsia"/>
                <w:lang w:val="en-US" w:eastAsia="zh-CN"/>
              </w:rPr>
              <w:t>如节能灯</w:t>
            </w:r>
            <w:r>
              <w:rPr>
                <w:rFonts w:hint="eastAsia"/>
              </w:rPr>
              <w:t>） □其他</w:t>
            </w:r>
          </w:p>
          <w:p>
            <w:r>
              <w:rPr>
                <w:rFonts w:hint="eastAsia"/>
              </w:rPr>
              <w:t>从《合格供方名单》中抽取下列证据：</w:t>
            </w:r>
          </w:p>
          <w:p>
            <w:r>
              <w:rPr>
                <w:rFonts w:hint="eastAsia"/>
              </w:rPr>
              <w:t xml:space="preserve">新外部供方的初始评价和选择要求——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p>
          <w:p>
            <w:pPr>
              <w:rPr>
                <w:highlight w:val="none"/>
              </w:rPr>
            </w:pPr>
            <w:r>
              <w:rPr>
                <w:rFonts w:hint="eastAsia"/>
                <w:highlight w:val="none"/>
              </w:rPr>
              <w:t>抽查外部供方的评价证据：</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25" w:type="dxa"/>
                </w:tcPr>
                <w:p>
                  <w:r>
                    <w:rPr>
                      <w:rFonts w:hint="eastAsia"/>
                    </w:rPr>
                    <w:t>供方名称</w:t>
                  </w:r>
                </w:p>
              </w:tc>
              <w:tc>
                <w:tcPr>
                  <w:tcW w:w="6918" w:type="dxa"/>
                </w:tcPr>
                <w:p>
                  <w:pPr>
                    <w:rPr>
                      <w:rFonts w:hint="default" w:ascii="Times New Roman" w:hAnsi="Times New Roman" w:eastAsia="宋体" w:cs="Times New Roman"/>
                      <w:szCs w:val="22"/>
                      <w:lang w:val="en-US" w:eastAsia="zh-CN"/>
                    </w:rPr>
                  </w:pPr>
                  <w:r>
                    <w:rPr>
                      <w:rFonts w:hint="eastAsia"/>
                      <w:color w:val="000000"/>
                      <w:szCs w:val="21"/>
                    </w:rPr>
                    <w:t>山东溯源检测有限公司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r>
                    <w:rPr>
                      <w:rFonts w:hint="eastAsia"/>
                    </w:rPr>
                    <w:t>提供的产品/过程/服务种类</w:t>
                  </w:r>
                </w:p>
              </w:tc>
              <w:tc>
                <w:tcPr>
                  <w:tcW w:w="6918" w:type="dxa"/>
                </w:tcPr>
                <w:p>
                  <w:pPr>
                    <w:rPr>
                      <w:rFonts w:hint="default" w:ascii="Times New Roman" w:hAnsi="Times New Roman" w:eastAsia="宋体" w:cs="Times New Roman"/>
                      <w:szCs w:val="22"/>
                      <w:lang w:val="en-US" w:eastAsia="zh-CN"/>
                    </w:rPr>
                  </w:pPr>
                  <w:r>
                    <w:rPr>
                      <w:rFonts w:hint="eastAsia" w:cs="Times New Roman"/>
                      <w:szCs w:val="22"/>
                      <w:lang w:val="en-US" w:eastAsia="zh-CN"/>
                    </w:rPr>
                    <w:t>计量器具检定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r>
                    <w:rPr>
                      <w:rFonts w:hint="eastAsia"/>
                    </w:rPr>
                    <w:t>收集评价资质材料</w:t>
                  </w:r>
                </w:p>
              </w:tc>
              <w:tc>
                <w:tcPr>
                  <w:tcW w:w="6918" w:type="dxa"/>
                </w:tcPr>
                <w:p>
                  <w:r>
                    <w:rPr>
                      <w:rFonts w:hint="eastAsia"/>
                    </w:rPr>
                    <w:sym w:font="Wingdings" w:char="00FE"/>
                  </w:r>
                  <w:r>
                    <w:rPr>
                      <w:rFonts w:hint="eastAsia"/>
                    </w:rPr>
                    <w:t xml:space="preserve">《营业执照》编号：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《资质证书》编号：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r>
                    <w:rPr>
                      <w:rFonts w:hint="eastAsia"/>
                    </w:rPr>
                    <w:t>遵守法规的情况</w:t>
                  </w:r>
                </w:p>
              </w:tc>
              <w:tc>
                <w:tcPr>
                  <w:tcW w:w="6918" w:type="dxa"/>
                </w:tcPr>
                <w:p>
                  <w:pPr>
                    <w:rPr>
                      <w:rFonts w:hint="default" w:eastAsia="宋体"/>
                      <w:lang w:val="en-US" w:eastAsia="zh-CN"/>
                    </w:rPr>
                  </w:pPr>
                  <w:r>
                    <w:rPr>
                      <w:rFonts w:hint="eastAsia" w:ascii="Times New Roman" w:hAnsi="Times New Roman" w:eastAsia="宋体" w:cs="Times New Roman"/>
                      <w:szCs w:val="22"/>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r>
                    <w:rPr>
                      <w:rFonts w:hint="eastAsia"/>
                    </w:rPr>
                    <w:t>其他</w:t>
                  </w:r>
                </w:p>
              </w:tc>
              <w:tc>
                <w:tcPr>
                  <w:tcW w:w="69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r>
                    <w:rPr>
                      <w:rFonts w:hint="eastAsia"/>
                    </w:rPr>
                    <w:t>结论</w:t>
                  </w:r>
                </w:p>
              </w:tc>
              <w:tc>
                <w:tcPr>
                  <w:tcW w:w="6918"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Pr>
              <w:pStyle w:val="14"/>
              <w:ind w:left="0" w:leftChars="0" w:firstLine="0" w:firstLineChars="0"/>
            </w:pP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62" w:type="dxa"/>
                </w:tcPr>
                <w:p>
                  <w:r>
                    <w:rPr>
                      <w:rFonts w:hint="eastAsia"/>
                      <w:highlight w:val="none"/>
                    </w:rPr>
                    <w:t>供方名称</w:t>
                  </w:r>
                </w:p>
              </w:tc>
              <w:tc>
                <w:tcPr>
                  <w:tcW w:w="6381" w:type="dxa"/>
                </w:tcPr>
                <w:p>
                  <w:r>
                    <w:rPr>
                      <w:rFonts w:hint="eastAsia"/>
                      <w:highlight w:val="none"/>
                      <w:lang w:val="en-US" w:eastAsia="zh-CN"/>
                    </w:rPr>
                    <w:t>国网山东省电力公司东营市河口区供电公司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tcPr>
                <w:p>
                  <w:r>
                    <w:rPr>
                      <w:rFonts w:hint="eastAsia"/>
                    </w:rPr>
                    <w:t>提供的产品/过程/服务种类</w:t>
                  </w:r>
                </w:p>
              </w:tc>
              <w:tc>
                <w:tcPr>
                  <w:tcW w:w="6381" w:type="dxa"/>
                </w:tcPr>
                <w:p>
                  <w:pPr>
                    <w:rPr>
                      <w:rFonts w:hint="default" w:eastAsia="宋体"/>
                      <w:lang w:val="en-US" w:eastAsia="zh-CN"/>
                    </w:rPr>
                  </w:pPr>
                  <w:r>
                    <w:rPr>
                      <w:rFonts w:hint="eastAsia" w:eastAsia="宋体"/>
                      <w:lang w:val="en-US" w:eastAsia="zh-CN"/>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tcPr>
                <w:p>
                  <w:r>
                    <w:rPr>
                      <w:rFonts w:hint="eastAsia"/>
                    </w:rPr>
                    <w:t>收集评价资质材料</w:t>
                  </w:r>
                </w:p>
              </w:tc>
              <w:tc>
                <w:tcPr>
                  <w:tcW w:w="6381" w:type="dxa"/>
                </w:tcPr>
                <w:p>
                  <w:r>
                    <w:rPr>
                      <w:rFonts w:hint="eastAsia"/>
                    </w:rPr>
                    <w:sym w:font="Wingdings" w:char="00FE"/>
                  </w:r>
                  <w:r>
                    <w:rPr>
                      <w:rFonts w:hint="eastAsia"/>
                    </w:rPr>
                    <w:t xml:space="preserve">《营业执照》编号：                      </w:t>
                  </w:r>
                  <w:r>
                    <w:rPr>
                      <w:rFonts w:hint="eastAsia"/>
                    </w:rPr>
                    <w:sym w:font="Wingdings" w:char="00A8"/>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FE"/>
                  </w:r>
                  <w:r>
                    <w:rPr>
                      <w:rFonts w:hint="eastAsia"/>
                    </w:rPr>
                    <w:t xml:space="preserve">《资质证书》编号：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tcPr>
                <w:p>
                  <w:r>
                    <w:rPr>
                      <w:rFonts w:hint="eastAsia"/>
                    </w:rPr>
                    <w:t>遵守法规的情况</w:t>
                  </w:r>
                </w:p>
              </w:tc>
              <w:tc>
                <w:tcPr>
                  <w:tcW w:w="6381" w:type="dxa"/>
                </w:tcPr>
                <w:p>
                  <w:pPr>
                    <w:rPr>
                      <w:rFonts w:hint="eastAsia" w:eastAsia="宋体"/>
                      <w:lang w:val="en-US" w:eastAsia="zh-CN"/>
                    </w:rPr>
                  </w:pPr>
                  <w:r>
                    <w:rPr>
                      <w:rFonts w:hint="eastAsia" w:ascii="Times New Roman" w:hAnsi="Times New Roman" w:eastAsia="宋体" w:cs="Times New Roman"/>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tcPr>
                <w:p>
                  <w:r>
                    <w:rPr>
                      <w:rFonts w:hint="eastAsia"/>
                    </w:rPr>
                    <w:t>其他</w:t>
                  </w:r>
                </w:p>
              </w:tc>
              <w:tc>
                <w:tcPr>
                  <w:tcW w:w="63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tcPr>
                <w:p>
                  <w:r>
                    <w:rPr>
                      <w:rFonts w:hint="eastAsia"/>
                    </w:rPr>
                    <w:t>结论</w:t>
                  </w:r>
                </w:p>
              </w:tc>
              <w:tc>
                <w:tcPr>
                  <w:tcW w:w="6381"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3"/>
              <w:numPr>
                <w:ilvl w:val="0"/>
                <w:numId w:val="0"/>
              </w:numPr>
              <w:rPr>
                <w:rFonts w:hint="eastAsia"/>
              </w:rPr>
            </w:pPr>
            <w:r>
              <w:rPr>
                <w:rFonts w:hint="eastAsia"/>
              </w:rPr>
              <w:t>与上述供方评价和选择控制情况。</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p>
          <w:p>
            <w:pPr>
              <w:pStyle w:val="20"/>
              <w:rPr>
                <w:rFonts w:hint="default" w:ascii="Times New Roman" w:hAnsi="Times New Roman" w:eastAsia="宋体" w:cs="Times New Roman"/>
                <w:bCs w:val="0"/>
                <w:spacing w:val="0"/>
                <w:kern w:val="2"/>
                <w:sz w:val="21"/>
                <w:szCs w:val="22"/>
                <w:lang w:val="en-US" w:eastAsia="zh-CN" w:bidi="ar-SA"/>
              </w:rPr>
            </w:pPr>
            <w:r>
              <w:rPr>
                <w:rFonts w:hint="eastAsia"/>
                <w:lang w:val="en-US" w:eastAsia="zh-CN"/>
              </w:rPr>
              <w:t>公司编制了《</w:t>
            </w:r>
            <w:r>
              <w:rPr>
                <w:rFonts w:hint="eastAsia"/>
                <w:highlight w:val="none"/>
                <w:lang w:val="en-US" w:eastAsia="zh-CN"/>
              </w:rPr>
              <w:t>采购控制程序》，公司的电由国网山东省电力公司东营市河口区供电公司供应，没有签订合同或协议，直接根据数量结算；水由供水公司供应，没有签订合同。</w:t>
            </w:r>
          </w:p>
          <w:p>
            <w:pPr>
              <w:pStyle w:val="20"/>
              <w:keepNext w:val="0"/>
              <w:keepLines w:val="0"/>
              <w:pageBreakBefore w:val="0"/>
              <w:widowControl w:val="0"/>
              <w:kinsoku/>
              <w:wordWrap/>
              <w:overflowPunct/>
              <w:topLinePunct w:val="0"/>
              <w:autoSpaceDE/>
              <w:autoSpaceDN/>
              <w:bidi w:val="0"/>
              <w:adjustRightInd/>
              <w:snapToGrid/>
              <w:spacing w:before="120" w:after="0"/>
              <w:textAlignment w:val="auto"/>
              <w:rPr>
                <w:rFonts w:hint="eastAsia" w:eastAsia="宋体"/>
                <w:lang w:val="en-US" w:eastAsia="zh-CN"/>
              </w:rPr>
            </w:pPr>
            <w:r>
              <w:rPr>
                <w:rFonts w:hint="eastAsia" w:ascii="Times New Roman" w:hAnsi="Times New Roman" w:eastAsia="宋体" w:cs="Times New Roman"/>
                <w:bCs w:val="0"/>
                <w:spacing w:val="0"/>
                <w:kern w:val="2"/>
                <w:sz w:val="21"/>
                <w:szCs w:val="22"/>
                <w:lang w:val="en-US" w:eastAsia="zh-CN" w:bidi="ar-SA"/>
              </w:rPr>
              <w:t>提供用能设备，近</w:t>
            </w:r>
            <w:r>
              <w:rPr>
                <w:rFonts w:hint="eastAsia" w:cs="Times New Roman"/>
                <w:bCs w:val="0"/>
                <w:spacing w:val="0"/>
                <w:kern w:val="2"/>
                <w:sz w:val="21"/>
                <w:szCs w:val="22"/>
                <w:lang w:val="en-US" w:eastAsia="zh-CN" w:bidi="ar-SA"/>
              </w:rPr>
              <w:t>1</w:t>
            </w:r>
            <w:r>
              <w:rPr>
                <w:rFonts w:hint="eastAsia" w:ascii="Times New Roman" w:hAnsi="Times New Roman" w:eastAsia="宋体" w:cs="Times New Roman"/>
                <w:bCs w:val="0"/>
                <w:spacing w:val="0"/>
                <w:kern w:val="2"/>
                <w:sz w:val="21"/>
                <w:szCs w:val="22"/>
                <w:lang w:val="en-US" w:eastAsia="zh-CN" w:bidi="ar-SA"/>
              </w:rPr>
              <w:t>年公司</w:t>
            </w:r>
            <w:r>
              <w:rPr>
                <w:rFonts w:hint="eastAsia" w:cs="Times New Roman"/>
                <w:bCs w:val="0"/>
                <w:spacing w:val="0"/>
                <w:kern w:val="2"/>
                <w:sz w:val="21"/>
                <w:szCs w:val="22"/>
                <w:lang w:val="en-US" w:eastAsia="zh-CN" w:bidi="ar-SA"/>
              </w:rPr>
              <w:t>未</w:t>
            </w:r>
            <w:r>
              <w:rPr>
                <w:rFonts w:hint="eastAsia" w:ascii="Times New Roman" w:hAnsi="Times New Roman" w:eastAsia="宋体" w:cs="Times New Roman"/>
                <w:bCs w:val="0"/>
                <w:spacing w:val="0"/>
                <w:kern w:val="2"/>
                <w:sz w:val="21"/>
                <w:szCs w:val="22"/>
                <w:lang w:val="en-US" w:eastAsia="zh-CN" w:bidi="ar-SA"/>
              </w:rPr>
              <w:t>采购相关用能设备</w:t>
            </w:r>
            <w:r>
              <w:rPr>
                <w:rFonts w:hint="eastAsia" w:cs="Times New Roman"/>
                <w:bCs w:val="0"/>
                <w:spacing w:val="0"/>
                <w:kern w:val="2"/>
                <w:sz w:val="21"/>
                <w:szCs w:val="22"/>
                <w:lang w:val="en-US" w:eastAsia="zh-CN" w:bidi="ar-SA"/>
              </w:rPr>
              <w:t>。</w:t>
            </w:r>
          </w:p>
          <w:p>
            <w:pPr>
              <w:pStyle w:val="20"/>
              <w:rPr>
                <w:rFonts w:hint="eastAsia" w:ascii="Times New Roman" w:hAnsi="Times New Roman" w:eastAsia="宋体" w:cs="Times New Roman"/>
                <w:bCs w:val="0"/>
                <w:spacing w:val="0"/>
                <w:kern w:val="2"/>
                <w:sz w:val="21"/>
                <w:szCs w:val="22"/>
                <w:lang w:val="en-US" w:eastAsia="zh-CN" w:bidi="ar-SA"/>
              </w:rPr>
            </w:pPr>
            <w:r>
              <w:rPr>
                <w:rFonts w:hint="eastAsia" w:cs="Times New Roman"/>
                <w:bCs w:val="0"/>
                <w:spacing w:val="0"/>
                <w:kern w:val="2"/>
                <w:sz w:val="21"/>
                <w:szCs w:val="22"/>
                <w:lang w:val="en-US" w:eastAsia="zh-CN" w:bidi="ar-SA"/>
              </w:rPr>
              <w:t>基本</w:t>
            </w:r>
            <w:r>
              <w:rPr>
                <w:rFonts w:hint="eastAsia" w:ascii="Times New Roman" w:hAnsi="Times New Roman" w:eastAsia="宋体" w:cs="Times New Roman"/>
                <w:bCs w:val="0"/>
                <w:spacing w:val="0"/>
                <w:kern w:val="2"/>
                <w:sz w:val="21"/>
                <w:szCs w:val="22"/>
                <w:lang w:val="en-US" w:eastAsia="zh-CN" w:bidi="ar-SA"/>
              </w:rPr>
              <w:t>符合要求。</w:t>
            </w:r>
          </w:p>
        </w:tc>
        <w:tc>
          <w:tcPr>
            <w:tcW w:w="1585" w:type="dxa"/>
            <w:vMerge w:val="continue"/>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Align w:val="top"/>
          </w:tcPr>
          <w:p>
            <w:pPr>
              <w:rPr>
                <w:rFonts w:hint="eastAsia"/>
              </w:rPr>
            </w:pPr>
            <w:r>
              <w:rPr>
                <w:rFonts w:hint="eastAsia"/>
              </w:rPr>
              <w:t>内部审核</w:t>
            </w:r>
          </w:p>
          <w:p>
            <w:pPr>
              <w:pStyle w:val="19"/>
              <w:rPr>
                <w:rFonts w:hint="default" w:ascii="Times New Roman" w:hAnsi="Times New Roman" w:eastAsia="宋体" w:cs="Times New Roman"/>
                <w:color w:val="000000"/>
                <w:spacing w:val="-3"/>
                <w:sz w:val="24"/>
                <w:szCs w:val="24"/>
                <w:lang w:val="en-US" w:eastAsia="zh-CN" w:bidi="ar-SA"/>
              </w:rPr>
            </w:pPr>
          </w:p>
        </w:tc>
        <w:tc>
          <w:tcPr>
            <w:tcW w:w="960" w:type="dxa"/>
            <w:vAlign w:val="top"/>
          </w:tcPr>
          <w:p>
            <w:pPr>
              <w:rPr>
                <w:rFonts w:hint="default" w:eastAsia="宋体"/>
                <w:highlight w:val="none"/>
                <w:lang w:val="en-US" w:eastAsia="zh-CN"/>
              </w:rPr>
            </w:pPr>
            <w:r>
              <w:rPr>
                <w:rFonts w:hint="eastAsia"/>
                <w:highlight w:val="none"/>
                <w:lang w:val="en-US" w:eastAsia="zh-CN"/>
              </w:rPr>
              <w:t>En</w:t>
            </w:r>
            <w:r>
              <w:rPr>
                <w:rFonts w:hint="eastAsia"/>
                <w:highlight w:val="none"/>
              </w:rPr>
              <w:t>9.2</w:t>
            </w:r>
          </w:p>
          <w:p>
            <w:pPr>
              <w:rPr>
                <w:rFonts w:hint="eastAsia" w:ascii="Times New Roman" w:hAnsi="Times New Roman" w:eastAsia="宋体" w:cs="Times New Roman"/>
                <w:kern w:val="2"/>
                <w:sz w:val="21"/>
                <w:highlight w:val="none"/>
                <w:lang w:val="en-US" w:eastAsia="zh-CN" w:bidi="ar-SA"/>
              </w:rPr>
            </w:pPr>
          </w:p>
        </w:tc>
        <w:tc>
          <w:tcPr>
            <w:tcW w:w="74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文件名称</w:t>
            </w:r>
          </w:p>
        </w:tc>
        <w:tc>
          <w:tcPr>
            <w:tcW w:w="92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如：</w:t>
            </w:r>
            <w:r>
              <w:rPr>
                <w:highlight w:val="none"/>
              </w:rPr>
              <w:sym w:font="Wingdings" w:char="00FE"/>
            </w:r>
            <w:r>
              <w:rPr>
                <w:rFonts w:hint="eastAsia"/>
                <w:highlight w:val="none"/>
                <w:lang w:val="en-US" w:eastAsia="zh-CN"/>
              </w:rPr>
              <w:t>管理手册9.2条款、</w:t>
            </w:r>
            <w:r>
              <w:rPr>
                <w:highlight w:val="none"/>
              </w:rPr>
              <w:sym w:font="Wingdings" w:char="00FE"/>
            </w:r>
            <w:r>
              <w:rPr>
                <w:rFonts w:hint="eastAsia"/>
                <w:sz w:val="20"/>
                <w:szCs w:val="18"/>
                <w:highlight w:val="none"/>
              </w:rPr>
              <w:t>《</w:t>
            </w:r>
            <w:r>
              <w:rPr>
                <w:rFonts w:hint="eastAsia" w:ascii="Times New Roman" w:hAnsi="Times New Roman" w:cs="Times New Roman"/>
                <w:highlight w:val="none"/>
              </w:rPr>
              <w:t>内部审核控制程序》</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tcPr>
          <w:p>
            <w:pPr>
              <w:spacing w:line="240" w:lineRule="auto"/>
            </w:pPr>
          </w:p>
        </w:tc>
        <w:tc>
          <w:tcPr>
            <w:tcW w:w="960" w:type="dxa"/>
          </w:tcPr>
          <w:p>
            <w:pPr>
              <w:spacing w:line="240" w:lineRule="auto"/>
            </w:pPr>
          </w:p>
        </w:tc>
        <w:tc>
          <w:tcPr>
            <w:tcW w:w="745" w:type="dxa"/>
            <w:vAlign w:val="top"/>
          </w:tcPr>
          <w:p>
            <w:pPr>
              <w:spacing w:line="240" w:lineRule="auto"/>
              <w:rPr>
                <w:rFonts w:hint="eastAsia" w:ascii="Times New Roman" w:hAnsi="Times New Roman" w:eastAsia="宋体" w:cs="Times New Roman"/>
                <w:kern w:val="2"/>
                <w:sz w:val="21"/>
                <w:highlight w:val="none"/>
                <w:lang w:val="en-US" w:eastAsia="zh-CN" w:bidi="ar-SA"/>
              </w:rPr>
            </w:pPr>
            <w:r>
              <w:rPr>
                <w:rFonts w:hint="eastAsia"/>
                <w:highlight w:val="none"/>
              </w:rPr>
              <w:t>运行证据</w:t>
            </w:r>
          </w:p>
        </w:tc>
        <w:tc>
          <w:tcPr>
            <w:tcW w:w="9259" w:type="dxa"/>
            <w:vAlign w:val="top"/>
          </w:tcPr>
          <w:p>
            <w:pPr>
              <w:widowControl/>
              <w:spacing w:before="40" w:line="240" w:lineRule="auto"/>
              <w:jc w:val="left"/>
            </w:pPr>
            <w:r>
              <w:rPr/>
              <w:sym w:font="Wingdings" w:char="00A8"/>
            </w:r>
            <w:r>
              <w:rPr>
                <w:rFonts w:hint="eastAsia"/>
              </w:rPr>
              <w:t>自管理体系建立后/</w:t>
            </w:r>
            <w:r>
              <w:rPr/>
              <w:sym w:font="Wingdings" w:char="00FE"/>
            </w:r>
            <w:r>
              <w:rPr>
                <w:rFonts w:hint="eastAsia"/>
              </w:rPr>
              <w:t xml:space="preserve">近一年，于 </w:t>
            </w:r>
            <w:r>
              <w:t>202</w:t>
            </w:r>
            <w:r>
              <w:rPr>
                <w:rFonts w:hint="eastAsia"/>
                <w:lang w:val="en-US" w:eastAsia="zh-CN"/>
              </w:rPr>
              <w:t>2</w:t>
            </w:r>
            <w:r>
              <w:rPr>
                <w:rFonts w:hint="eastAsia"/>
              </w:rPr>
              <w:t>年</w:t>
            </w:r>
            <w:r>
              <w:rPr>
                <w:rFonts w:hint="eastAsia"/>
                <w:lang w:val="en-US" w:eastAsia="zh-CN"/>
              </w:rPr>
              <w:t>9</w:t>
            </w:r>
            <w:r>
              <w:rPr>
                <w:rFonts w:hint="eastAsia"/>
              </w:rPr>
              <w:t xml:space="preserve">月 </w:t>
            </w:r>
            <w:r>
              <w:rPr>
                <w:rFonts w:hint="eastAsia"/>
                <w:lang w:val="en-US" w:eastAsia="zh-CN"/>
              </w:rPr>
              <w:t>8-9</w:t>
            </w:r>
            <w:r>
              <w:rPr>
                <w:rFonts w:hint="eastAsia"/>
              </w:rPr>
              <w:t>日实施了内部审核；</w:t>
            </w:r>
          </w:p>
          <w:p>
            <w:pPr>
              <w:widowControl/>
              <w:spacing w:before="40" w:line="240" w:lineRule="auto"/>
              <w:jc w:val="left"/>
            </w:pPr>
            <w:r>
              <w:rPr>
                <w:rFonts w:hint="eastAsia"/>
              </w:rPr>
              <w:t>记录包括：</w:t>
            </w:r>
          </w:p>
          <w:p>
            <w:pPr>
              <w:widowControl/>
              <w:spacing w:before="40" w:line="240" w:lineRule="auto"/>
              <w:jc w:val="left"/>
            </w:pPr>
            <w:r>
              <w:rPr>
                <w:rFonts w:hint="eastAsia"/>
              </w:rPr>
              <w:t xml:space="preserve">《内审计划》：有 </w:t>
            </w:r>
            <w:r>
              <w:rPr>
                <w:rFonts w:hint="eastAsia"/>
                <w:lang w:val="en-US" w:eastAsia="zh-CN"/>
              </w:rPr>
              <w:t>2</w:t>
            </w:r>
            <w:r>
              <w:rPr>
                <w:rFonts w:hint="eastAsia"/>
              </w:rPr>
              <w:t>名内审员；有</w:t>
            </w:r>
            <w:r>
              <w:rPr>
                <w:rFonts w:hint="eastAsia"/>
                <w:lang w:eastAsia="zh-CN"/>
              </w:rPr>
              <w:t>□</w:t>
            </w:r>
            <w:r>
              <w:rPr>
                <w:rFonts w:hint="eastAsia"/>
              </w:rPr>
              <w:t>《内审员证书》 ☑有内审员培训记录</w:t>
            </w:r>
          </w:p>
          <w:p>
            <w:pPr>
              <w:widowControl/>
              <w:spacing w:before="40" w:line="240" w:lineRule="auto"/>
              <w:ind w:firstLine="420" w:firstLineChars="200"/>
              <w:jc w:val="left"/>
            </w:pPr>
            <w:r>
              <w:rPr>
                <w:rFonts w:hint="eastAsia"/>
                <w:lang w:eastAsia="zh-CN"/>
              </w:rPr>
              <w:sym w:font="Wingdings 2" w:char="0052"/>
            </w:r>
            <w:r>
              <w:rPr>
                <w:rFonts w:hint="eastAsia"/>
              </w:rPr>
              <w:t>覆盖了全部部门，</w:t>
            </w:r>
          </w:p>
          <w:p>
            <w:pPr>
              <w:widowControl/>
              <w:spacing w:before="40" w:line="240" w:lineRule="auto"/>
              <w:ind w:firstLine="420" w:firstLineChars="200"/>
              <w:jc w:val="left"/>
            </w:pPr>
            <w:r>
              <w:rPr>
                <w:rFonts w:hint="eastAsia"/>
              </w:rPr>
              <w:sym w:font="Wingdings 2" w:char="00A3"/>
            </w:r>
            <w:r>
              <w:rPr>
                <w:rFonts w:hint="eastAsia"/>
              </w:rPr>
              <w:t xml:space="preserve">未覆盖了全部部门，缺少                         </w:t>
            </w:r>
          </w:p>
          <w:p>
            <w:pPr>
              <w:widowControl/>
              <w:spacing w:before="40" w:line="240" w:lineRule="auto"/>
              <w:ind w:firstLine="420" w:firstLineChars="200"/>
              <w:jc w:val="left"/>
            </w:pPr>
            <w:r>
              <w:rPr>
                <w:rFonts w:hint="eastAsia"/>
              </w:rPr>
              <w:sym w:font="Wingdings 2" w:char="0052"/>
            </w:r>
            <w:r>
              <w:rPr>
                <w:rFonts w:hint="eastAsia"/>
              </w:rPr>
              <w:t>覆盖了全部过程和条款</w:t>
            </w:r>
          </w:p>
          <w:p>
            <w:pPr>
              <w:widowControl/>
              <w:spacing w:before="40" w:line="240" w:lineRule="auto"/>
              <w:ind w:firstLine="420" w:firstLineChars="200"/>
              <w:jc w:val="left"/>
            </w:pPr>
            <w:r>
              <w:rPr>
                <w:rFonts w:hint="eastAsia"/>
              </w:rPr>
              <w:t xml:space="preserve">□未覆盖了全部过程和条款，缺少                                 </w:t>
            </w:r>
          </w:p>
          <w:p>
            <w:pPr>
              <w:widowControl/>
              <w:spacing w:before="40" w:line="240" w:lineRule="auto"/>
              <w:jc w:val="left"/>
            </w:pPr>
            <w:r>
              <w:rPr>
                <w:rFonts w:hint="eastAsia"/>
              </w:rPr>
              <w:t>《内审检查表》：</w:t>
            </w:r>
            <w:r>
              <w:rPr>
                <w:rFonts w:hint="eastAsia"/>
                <w:lang w:eastAsia="zh-CN"/>
              </w:rPr>
              <w:t>☑</w:t>
            </w:r>
            <w:r>
              <w:rPr>
                <w:rFonts w:hint="eastAsia"/>
              </w:rPr>
              <w:t xml:space="preserve">与内审计划一致 </w:t>
            </w:r>
            <w:r>
              <w:rPr>
                <w:rFonts w:hint="eastAsia"/>
                <w:lang w:eastAsia="zh-CN"/>
              </w:rPr>
              <w:t>□</w:t>
            </w:r>
            <w:r>
              <w:rPr>
                <w:rFonts w:hint="eastAsia"/>
              </w:rPr>
              <w:t xml:space="preserve">与内审计划不一致缺少                             </w:t>
            </w:r>
          </w:p>
          <w:p>
            <w:pPr>
              <w:widowControl/>
              <w:spacing w:before="40" w:line="240" w:lineRule="auto"/>
              <w:jc w:val="left"/>
            </w:pPr>
            <w:r>
              <w:rPr>
                <w:rFonts w:hint="eastAsia"/>
              </w:rPr>
              <w:t xml:space="preserve">抽查的部门：如： </w:t>
            </w:r>
            <w:r>
              <w:rPr>
                <w:rFonts w:hint="eastAsia"/>
                <w:lang w:val="en-US" w:eastAsia="zh-CN"/>
              </w:rPr>
              <w:t>领导层、综合部、工程部等</w:t>
            </w:r>
            <w:r>
              <w:rPr>
                <w:rFonts w:hint="eastAsia"/>
              </w:rPr>
              <w:t xml:space="preserve">  </w:t>
            </w:r>
            <w:r>
              <w:rPr>
                <w:rFonts w:hint="eastAsia"/>
                <w:lang w:val="en-US" w:eastAsia="zh-CN"/>
              </w:rPr>
              <w:t>基本符合要求</w:t>
            </w:r>
            <w:r>
              <w:rPr>
                <w:rFonts w:hint="eastAsia"/>
              </w:rPr>
              <w:t xml:space="preserve">   </w:t>
            </w:r>
          </w:p>
          <w:p>
            <w:pPr>
              <w:widowControl/>
              <w:spacing w:before="40" w:line="240" w:lineRule="auto"/>
              <w:ind w:firstLine="420" w:firstLineChars="200"/>
              <w:jc w:val="left"/>
            </w:pPr>
            <w:r>
              <w:rPr>
                <w:rFonts w:hint="eastAsia"/>
              </w:rPr>
              <w:t>☑覆盖了全部部门，</w:t>
            </w:r>
          </w:p>
          <w:p>
            <w:pPr>
              <w:widowControl/>
              <w:spacing w:before="40" w:line="240" w:lineRule="auto"/>
              <w:ind w:firstLine="420" w:firstLineChars="200"/>
              <w:jc w:val="left"/>
            </w:pPr>
            <w:r>
              <w:rPr>
                <w:rFonts w:hint="eastAsia"/>
              </w:rPr>
              <w:t xml:space="preserve">□未覆盖了全部部门，缺少                             </w:t>
            </w:r>
          </w:p>
          <w:p>
            <w:pPr>
              <w:widowControl/>
              <w:spacing w:before="40" w:line="240" w:lineRule="auto"/>
              <w:ind w:firstLine="420" w:firstLineChars="200"/>
              <w:jc w:val="left"/>
            </w:pPr>
            <w:r>
              <w:rPr>
                <w:rFonts w:hint="eastAsia"/>
              </w:rPr>
              <w:sym w:font="Wingdings 2" w:char="0052"/>
            </w:r>
            <w:r>
              <w:rPr>
                <w:rFonts w:hint="eastAsia"/>
              </w:rPr>
              <w:t>覆盖了全部过程和条款</w:t>
            </w:r>
          </w:p>
          <w:p>
            <w:pPr>
              <w:widowControl/>
              <w:spacing w:before="40" w:line="240" w:lineRule="auto"/>
              <w:ind w:firstLine="420" w:firstLineChars="200"/>
              <w:jc w:val="left"/>
            </w:pPr>
            <w:r>
              <w:rPr>
                <w:rFonts w:hint="eastAsia"/>
              </w:rPr>
              <w:sym w:font="Wingdings 2" w:char="00A3"/>
            </w:r>
            <w:r>
              <w:rPr>
                <w:rFonts w:hint="eastAsia"/>
              </w:rPr>
              <w:t xml:space="preserve">未覆盖了全部过程和条款，缺少                               </w:t>
            </w:r>
          </w:p>
          <w:p>
            <w:pPr>
              <w:widowControl/>
              <w:spacing w:before="40" w:line="240" w:lineRule="auto"/>
              <w:ind w:firstLine="210" w:firstLineChars="100"/>
              <w:jc w:val="left"/>
            </w:pPr>
            <w:r>
              <w:rPr>
                <w:rFonts w:hint="eastAsia"/>
                <w:lang w:val="en-US" w:eastAsia="zh-CN"/>
              </w:rPr>
              <w:t>无</w:t>
            </w:r>
            <w:r>
              <w:rPr>
                <w:rFonts w:hint="eastAsia"/>
              </w:rPr>
              <w:t>不符合项</w:t>
            </w:r>
            <w:r>
              <w:rPr>
                <w:rFonts w:hint="eastAsia"/>
                <w:lang w:val="en-US" w:eastAsia="zh-CN"/>
              </w:rPr>
              <w:t xml:space="preserve">                        </w:t>
            </w:r>
          </w:p>
          <w:p>
            <w:pPr>
              <w:widowControl/>
              <w:spacing w:before="40" w:line="240" w:lineRule="auto"/>
              <w:jc w:val="left"/>
            </w:pPr>
            <w:r>
              <w:rPr>
                <w:rFonts w:hint="eastAsia"/>
              </w:rPr>
              <w:t>《内审报告》结论：</w:t>
            </w:r>
          </w:p>
          <w:p>
            <w:pPr>
              <w:widowControl/>
              <w:spacing w:before="40" w:line="240" w:lineRule="auto"/>
              <w:jc w:val="left"/>
            </w:pPr>
            <w:r>
              <w:rPr>
                <w:rFonts w:hint="eastAsia"/>
              </w:rPr>
              <w:t xml:space="preserve">☑体系运行有效  </w:t>
            </w:r>
            <w:r>
              <w:rPr>
                <w:rFonts w:hint="eastAsia"/>
              </w:rPr>
              <w:sym w:font="Wingdings" w:char="00A8"/>
            </w:r>
            <w:r>
              <w:rPr>
                <w:rFonts w:hint="eastAsia"/>
              </w:rPr>
              <w:t xml:space="preserve">体系运行基本有效   </w:t>
            </w:r>
          </w:p>
          <w:p>
            <w:pPr>
              <w:widowControl/>
              <w:spacing w:before="40" w:line="240" w:lineRule="auto"/>
              <w:jc w:val="left"/>
            </w:pPr>
            <w:r>
              <w:rPr>
                <w:rFonts w:hint="eastAsia"/>
              </w:rPr>
              <w:sym w:font="Wingdings" w:char="00A8"/>
            </w:r>
            <w:r>
              <w:rPr>
                <w:rFonts w:hint="eastAsia"/>
              </w:rPr>
              <w:t xml:space="preserve">体系运行失效，问题                            </w:t>
            </w:r>
          </w:p>
          <w:p>
            <w:pPr>
              <w:widowControl/>
              <w:spacing w:before="40" w:line="240" w:lineRule="auto"/>
              <w:jc w:val="left"/>
              <w:rPr>
                <w:rFonts w:hint="eastAsia" w:ascii="Times New Roman" w:hAnsi="Times New Roman" w:eastAsia="宋体" w:cs="Times New Roman"/>
                <w:color w:val="FF0000"/>
                <w:spacing w:val="0"/>
                <w:kern w:val="2"/>
                <w:sz w:val="21"/>
                <w:szCs w:val="22"/>
                <w:highlight w:val="none"/>
                <w:lang w:val="en-US" w:eastAsia="zh-CN" w:bidi="ar-SA"/>
              </w:rPr>
            </w:pPr>
            <w:r>
              <w:rPr>
                <w:rFonts w:hint="eastAsia"/>
              </w:rPr>
              <w:t>本次现场审核时，上述不符合项的纠正措施的有效性</w:t>
            </w:r>
            <w:r>
              <w:rPr>
                <w:rFonts w:hint="eastAsia"/>
                <w:lang w:eastAsia="zh-CN"/>
              </w:rPr>
              <w:t>。</w:t>
            </w:r>
          </w:p>
        </w:tc>
        <w:tc>
          <w:tcPr>
            <w:tcW w:w="1585" w:type="dxa"/>
            <w:vMerge w:val="continue"/>
          </w:tcPr>
          <w:p>
            <w:pPr>
              <w:rPr>
                <w:highlight w:val="cyan"/>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7"/>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1"/>
                <w:szCs w:val="21"/>
              </w:rPr>
            </w:pPr>
            <w:r>
              <w:rPr>
                <w:rFonts w:hint="eastAsia"/>
                <w:color w:val="auto"/>
                <w:sz w:val="21"/>
                <w:szCs w:val="21"/>
              </w:rPr>
              <w:t>过程与活动、</w:t>
            </w:r>
          </w:p>
          <w:p>
            <w:pPr>
              <w:jc w:val="center"/>
              <w:rPr>
                <w:color w:val="auto"/>
                <w:sz w:val="21"/>
                <w:szCs w:val="21"/>
              </w:rPr>
            </w:pPr>
            <w:r>
              <w:rPr>
                <w:rFonts w:hint="eastAsia"/>
                <w:color w:val="auto"/>
                <w:sz w:val="21"/>
                <w:szCs w:val="21"/>
              </w:rPr>
              <w:t>抽样计划</w:t>
            </w:r>
          </w:p>
        </w:tc>
        <w:tc>
          <w:tcPr>
            <w:tcW w:w="960" w:type="dxa"/>
            <w:vMerge w:val="restart"/>
            <w:vAlign w:val="center"/>
          </w:tcPr>
          <w:p>
            <w:pPr>
              <w:rPr>
                <w:color w:val="auto"/>
                <w:sz w:val="21"/>
                <w:szCs w:val="21"/>
              </w:rPr>
            </w:pPr>
            <w:r>
              <w:rPr>
                <w:rFonts w:hint="eastAsia"/>
                <w:color w:val="auto"/>
                <w:sz w:val="21"/>
                <w:szCs w:val="21"/>
              </w:rPr>
              <w:t>涉及</w:t>
            </w:r>
          </w:p>
          <w:p>
            <w:pPr>
              <w:rPr>
                <w:color w:val="auto"/>
                <w:sz w:val="21"/>
                <w:szCs w:val="21"/>
              </w:rPr>
            </w:pPr>
            <w:r>
              <w:rPr>
                <w:rFonts w:hint="eastAsia"/>
                <w:color w:val="auto"/>
                <w:sz w:val="21"/>
                <w:szCs w:val="21"/>
              </w:rPr>
              <w:t>条款</w:t>
            </w:r>
          </w:p>
        </w:tc>
        <w:tc>
          <w:tcPr>
            <w:tcW w:w="10627"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受审核部门</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项目部</w:t>
            </w:r>
            <w:r>
              <w:rPr>
                <w:rFonts w:hint="eastAsia" w:ascii="宋体" w:hAnsi="宋体" w:eastAsia="宋体" w:cs="宋体"/>
                <w:color w:val="auto"/>
                <w:sz w:val="21"/>
                <w:szCs w:val="21"/>
              </w:rPr>
              <w:t xml:space="preserve">   主管领导：</w:t>
            </w:r>
            <w:r>
              <w:rPr>
                <w:rFonts w:hint="eastAsia"/>
                <w:color w:val="auto"/>
                <w:sz w:val="21"/>
                <w:szCs w:val="21"/>
              </w:rPr>
              <w:t>徐</w:t>
            </w:r>
            <w:r>
              <w:rPr>
                <w:rFonts w:hint="eastAsia"/>
                <w:color w:val="auto"/>
                <w:sz w:val="21"/>
                <w:szCs w:val="21"/>
                <w:lang w:val="en-US" w:eastAsia="zh-CN"/>
              </w:rPr>
              <w:t>超</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陪同人员：</w:t>
            </w:r>
            <w:r>
              <w:rPr>
                <w:rFonts w:hint="eastAsia"/>
                <w:color w:val="auto"/>
                <w:sz w:val="21"/>
                <w:szCs w:val="21"/>
                <w:lang w:val="en-US" w:eastAsia="zh-CN"/>
              </w:rPr>
              <w:t>单晶晶</w:t>
            </w:r>
            <w:r>
              <w:rPr>
                <w:rFonts w:hint="eastAsia" w:ascii="宋体" w:hAnsi="宋体" w:cs="宋体"/>
                <w:color w:val="auto"/>
                <w:sz w:val="21"/>
                <w:szCs w:val="21"/>
                <w:lang w:val="en-US" w:eastAsia="zh-CN"/>
              </w:rPr>
              <w:t xml:space="preserve"> </w:t>
            </w:r>
          </w:p>
        </w:tc>
        <w:tc>
          <w:tcPr>
            <w:tcW w:w="962" w:type="dxa"/>
            <w:vMerge w:val="restart"/>
            <w:vAlign w:val="center"/>
          </w:tcPr>
          <w:p>
            <w:pPr>
              <w:rPr>
                <w:color w:val="auto"/>
                <w:sz w:val="21"/>
                <w:szCs w:val="21"/>
              </w:rPr>
            </w:pPr>
            <w:r>
              <w:rPr>
                <w:rFonts w:hint="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1"/>
                <w:szCs w:val="21"/>
              </w:rPr>
            </w:pPr>
          </w:p>
        </w:tc>
        <w:tc>
          <w:tcPr>
            <w:tcW w:w="960" w:type="dxa"/>
            <w:vMerge w:val="continue"/>
            <w:vAlign w:val="center"/>
          </w:tcPr>
          <w:p>
            <w:pPr>
              <w:rPr>
                <w:color w:val="auto"/>
                <w:sz w:val="21"/>
                <w:szCs w:val="21"/>
              </w:rPr>
            </w:pPr>
          </w:p>
        </w:tc>
        <w:tc>
          <w:tcPr>
            <w:tcW w:w="10627" w:type="dxa"/>
            <w:vAlign w:val="center"/>
          </w:tcPr>
          <w:p>
            <w:pPr>
              <w:jc w:val="both"/>
              <w:rPr>
                <w:rFonts w:hint="eastAsia"/>
                <w:color w:val="auto"/>
                <w:sz w:val="21"/>
                <w:szCs w:val="21"/>
                <w:lang w:val="en-US" w:eastAsia="zh-CN"/>
              </w:rPr>
            </w:pPr>
            <w:r>
              <w:rPr>
                <w:rFonts w:hint="eastAsia" w:ascii="宋体" w:hAnsi="宋体" w:eastAsia="宋体" w:cs="宋体"/>
                <w:color w:val="auto"/>
                <w:sz w:val="21"/>
                <w:szCs w:val="21"/>
              </w:rPr>
              <w:t xml:space="preserve">审核员： </w:t>
            </w:r>
            <w:r>
              <w:rPr>
                <w:rFonts w:hint="eastAsia" w:ascii="宋体" w:hAnsi="宋体" w:cs="宋体"/>
                <w:color w:val="auto"/>
                <w:sz w:val="21"/>
                <w:szCs w:val="21"/>
                <w:lang w:val="en-US" w:eastAsia="zh-CN"/>
              </w:rPr>
              <w:t>范玲玲</w:t>
            </w:r>
            <w:r>
              <w:rPr>
                <w:rFonts w:hint="eastAsia" w:ascii="宋体" w:hAnsi="宋体" w:eastAsia="宋体" w:cs="宋体"/>
                <w:color w:val="auto"/>
                <w:sz w:val="21"/>
                <w:szCs w:val="21"/>
              </w:rPr>
              <w:t xml:space="preserve">  </w:t>
            </w:r>
            <w:r>
              <w:rPr>
                <w:color w:val="auto"/>
                <w:sz w:val="21"/>
                <w:szCs w:val="21"/>
                <w:lang w:val="de-DE"/>
              </w:rPr>
              <w:t>崔敬伟</w:t>
            </w:r>
            <w:r>
              <w:rPr>
                <w:rFonts w:hint="eastAsia"/>
                <w:color w:val="auto"/>
                <w:sz w:val="21"/>
                <w:szCs w:val="21"/>
                <w:lang w:val="de-DE" w:eastAsia="zh-CN"/>
              </w:rPr>
              <w:t>（</w:t>
            </w:r>
            <w:r>
              <w:rPr>
                <w:rFonts w:hint="eastAsia"/>
                <w:color w:val="auto"/>
                <w:sz w:val="21"/>
                <w:szCs w:val="21"/>
                <w:lang w:val="en-US" w:eastAsia="zh-CN"/>
              </w:rPr>
              <w:t>远程</w:t>
            </w:r>
            <w:r>
              <w:rPr>
                <w:rFonts w:hint="eastAsia"/>
                <w:color w:val="auto"/>
                <w:sz w:val="21"/>
                <w:szCs w:val="21"/>
                <w:lang w:val="de-DE" w:eastAsia="zh-CN"/>
              </w:rPr>
              <w:t>）</w:t>
            </w:r>
            <w:r>
              <w:rPr>
                <w:rFonts w:hint="eastAsia"/>
                <w:color w:val="auto"/>
                <w:sz w:val="21"/>
                <w:szCs w:val="21"/>
                <w:lang w:val="en-US" w:eastAsia="zh-CN"/>
              </w:rPr>
              <w:t xml:space="preserve">    </w:t>
            </w:r>
            <w:r>
              <w:rPr>
                <w:rFonts w:hint="eastAsia"/>
                <w:sz w:val="21"/>
                <w:szCs w:val="21"/>
                <w:lang w:val="en-US" w:eastAsia="zh-CN"/>
              </w:rPr>
              <w:t>审核工具：微信视频、电话、文件传输</w:t>
            </w:r>
            <w:r>
              <w:rPr>
                <w:rFonts w:hint="eastAsia"/>
                <w:color w:val="auto"/>
                <w:sz w:val="21"/>
                <w:szCs w:val="21"/>
                <w:lang w:val="en-US" w:eastAsia="zh-CN"/>
              </w:rPr>
              <w:t xml:space="preserve">   </w:t>
            </w:r>
          </w:p>
          <w:p>
            <w:pPr>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审核时间：</w:t>
            </w:r>
            <w:r>
              <w:rPr>
                <w:rFonts w:hint="eastAsia" w:ascii="宋体" w:hAnsi="宋体" w:cs="宋体"/>
                <w:color w:val="auto"/>
                <w:sz w:val="21"/>
                <w:szCs w:val="21"/>
                <w:lang w:val="en-US" w:eastAsia="zh-CN"/>
              </w:rPr>
              <w:t>2022.12.15</w:t>
            </w:r>
          </w:p>
        </w:tc>
        <w:tc>
          <w:tcPr>
            <w:tcW w:w="962" w:type="dxa"/>
            <w:vMerge w:val="continue"/>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1"/>
                <w:szCs w:val="21"/>
              </w:rPr>
            </w:pPr>
          </w:p>
        </w:tc>
        <w:tc>
          <w:tcPr>
            <w:tcW w:w="960" w:type="dxa"/>
            <w:vMerge w:val="continue"/>
            <w:vAlign w:val="center"/>
          </w:tcPr>
          <w:p>
            <w:pPr>
              <w:rPr>
                <w:color w:val="auto"/>
                <w:sz w:val="21"/>
                <w:szCs w:val="21"/>
              </w:rPr>
            </w:pPr>
          </w:p>
        </w:tc>
        <w:tc>
          <w:tcPr>
            <w:tcW w:w="10627" w:type="dxa"/>
            <w:vAlign w:val="center"/>
          </w:tcPr>
          <w:p>
            <w:pPr>
              <w:rPr>
                <w:color w:val="auto"/>
                <w:sz w:val="21"/>
                <w:szCs w:val="21"/>
              </w:rPr>
            </w:pPr>
            <w:r>
              <w:rPr>
                <w:rFonts w:hint="eastAsia"/>
                <w:color w:val="auto"/>
                <w:sz w:val="21"/>
                <w:szCs w:val="21"/>
              </w:rPr>
              <w:t>审核条</w:t>
            </w:r>
            <w:r>
              <w:rPr>
                <w:rFonts w:hint="eastAsia"/>
                <w:color w:val="auto"/>
                <w:sz w:val="21"/>
                <w:szCs w:val="21"/>
                <w:lang w:val="en-US" w:eastAsia="zh-CN"/>
              </w:rPr>
              <w:t>款：</w:t>
            </w:r>
            <w:r>
              <w:rPr>
                <w:rFonts w:hint="eastAsia" w:asciiTheme="minorEastAsia" w:hAnsiTheme="minorEastAsia" w:eastAsiaTheme="minorEastAsia" w:cstheme="minorEastAsia"/>
                <w:b w:val="0"/>
                <w:bCs w:val="0"/>
                <w:color w:val="auto"/>
                <w:sz w:val="21"/>
                <w:szCs w:val="21"/>
                <w:u w:val="none"/>
                <w:lang w:val="en-US" w:eastAsia="zh-CN"/>
              </w:rPr>
              <w:t>En:5.3/6.2/8.1</w:t>
            </w:r>
          </w:p>
        </w:tc>
        <w:tc>
          <w:tcPr>
            <w:tcW w:w="962" w:type="dxa"/>
            <w:vMerge w:val="continue"/>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组织的岗位、职责和权限</w:t>
            </w:r>
          </w:p>
          <w:p>
            <w:pPr>
              <w:rPr>
                <w:rFonts w:hint="eastAsia" w:ascii="宋体" w:hAnsi="宋体" w:eastAsia="宋体" w:cs="宋体"/>
                <w:color w:val="auto"/>
                <w:sz w:val="21"/>
                <w:szCs w:val="21"/>
                <w:lang w:val="en-US" w:eastAsia="zh-CN"/>
              </w:rPr>
            </w:pPr>
          </w:p>
        </w:tc>
        <w:tc>
          <w:tcPr>
            <w:tcW w:w="960" w:type="dxa"/>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5.3 </w:t>
            </w:r>
          </w:p>
          <w:p>
            <w:pPr>
              <w:rPr>
                <w:rFonts w:hint="eastAsia" w:ascii="宋体" w:hAnsi="宋体" w:eastAsia="宋体" w:cs="宋体"/>
                <w:color w:val="auto"/>
                <w:sz w:val="21"/>
                <w:szCs w:val="21"/>
                <w:lang w:val="en-US" w:eastAsia="zh-CN"/>
              </w:rPr>
            </w:pPr>
          </w:p>
        </w:tc>
        <w:tc>
          <w:tcPr>
            <w:tcW w:w="10627" w:type="dxa"/>
            <w:vAlign w:val="top"/>
          </w:tcPr>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部门负责人：徐超；</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能源岗位人员和岗位设置：负责公司的生产管理和生产组织工作，组织协调好公司各部门的高效运行工作；负责组织召开日常生产调度会，生产分析会；负责合理平衡生产所需的水、电等。</w:t>
            </w:r>
          </w:p>
        </w:tc>
        <w:tc>
          <w:tcPr>
            <w:tcW w:w="962" w:type="dxa"/>
            <w:vAlign w:val="top"/>
          </w:tcPr>
          <w:p>
            <w:pPr>
              <w:rPr>
                <w:rFonts w:hint="eastAsia" w:eastAsia="宋体"/>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目标，能源指标及其实现的策划</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目标</w:t>
            </w:r>
          </w:p>
          <w:p>
            <w:pPr>
              <w:rPr>
                <w:color w:val="auto"/>
                <w:sz w:val="21"/>
                <w:szCs w:val="21"/>
              </w:rPr>
            </w:pPr>
          </w:p>
        </w:tc>
        <w:tc>
          <w:tcPr>
            <w:tcW w:w="960" w:type="dxa"/>
            <w:vAlign w:val="top"/>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6.2 </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p>
        </w:tc>
        <w:tc>
          <w:tcPr>
            <w:tcW w:w="10627" w:type="dxa"/>
            <w:vAlign w:val="top"/>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编制了《202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年能源目标、指标、方案》；</w:t>
            </w:r>
          </w:p>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公司总能源目标指标：“年节能量</w:t>
            </w:r>
            <w:r>
              <w:rPr>
                <w:rFonts w:hint="eastAsia" w:ascii="宋体" w:hAnsi="宋体" w:cs="宋体"/>
                <w:color w:val="auto"/>
                <w:sz w:val="21"/>
                <w:szCs w:val="21"/>
                <w:lang w:val="en-US" w:eastAsia="zh-CN"/>
              </w:rPr>
              <w:t>10吨标煤</w:t>
            </w:r>
            <w:r>
              <w:rPr>
                <w:rFonts w:hint="eastAsia" w:ascii="宋体" w:hAnsi="宋体" w:eastAsia="宋体" w:cs="宋体"/>
                <w:color w:val="auto"/>
                <w:sz w:val="21"/>
                <w:szCs w:val="21"/>
                <w:lang w:val="en-US" w:eastAsia="zh-CN"/>
              </w:rPr>
              <w:t>以上”；部门执行公司的总能源目标方案；</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——查结合了“法律法规要求”、“主要能源使用和改进机会”、“财务”、“运行”、“经营条件”、“技术和相关方要求”等； </w:t>
            </w:r>
          </w:p>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方案： </w:t>
            </w:r>
            <w:r>
              <w:rPr>
                <w:rFonts w:hint="eastAsia" w:ascii="宋体" w:hAnsi="宋体" w:cs="宋体"/>
                <w:color w:val="auto"/>
                <w:sz w:val="21"/>
                <w:szCs w:val="21"/>
                <w:lang w:val="en-US" w:eastAsia="zh-CN"/>
              </w:rPr>
              <w:t>日常节水节电避免跑冒滴漏</w:t>
            </w:r>
            <w:r>
              <w:rPr>
                <w:rFonts w:hint="eastAsia" w:ascii="宋体" w:hAnsi="宋体" w:eastAsia="宋体" w:cs="宋体"/>
                <w:color w:val="auto"/>
                <w:sz w:val="21"/>
                <w:szCs w:val="21"/>
                <w:lang w:val="en-US" w:eastAsia="zh-CN"/>
              </w:rPr>
              <w:t>等；</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年能源目标指标达成；</w:t>
            </w:r>
          </w:p>
          <w:p>
            <w:pPr>
              <w:jc w:val="left"/>
              <w:rPr>
                <w:rFonts w:hint="default"/>
                <w:color w:val="auto"/>
                <w:sz w:val="21"/>
                <w:szCs w:val="21"/>
                <w:lang w:val="en-US" w:eastAsia="zh-CN"/>
              </w:rPr>
            </w:pPr>
            <w:r>
              <w:rPr>
                <w:rFonts w:hint="eastAsia" w:ascii="宋体" w:hAnsi="宋体" w:eastAsia="宋体" w:cs="宋体"/>
                <w:color w:val="auto"/>
                <w:sz w:val="21"/>
                <w:szCs w:val="21"/>
                <w:lang w:val="en-US" w:eastAsia="zh-CN"/>
              </w:rPr>
              <w:t>查202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年至今能源目标均已完成；</w:t>
            </w:r>
          </w:p>
        </w:tc>
        <w:tc>
          <w:tcPr>
            <w:tcW w:w="962" w:type="dxa"/>
            <w:vAlign w:val="top"/>
          </w:tcPr>
          <w:p>
            <w:pPr>
              <w:rPr>
                <w:rFonts w:hint="eastAsia" w:eastAsia="宋体"/>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pStyle w:val="2"/>
              <w:spacing w:line="24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运行策划和控制</w:t>
            </w:r>
          </w:p>
          <w:p>
            <w:pPr>
              <w:pStyle w:val="2"/>
              <w:spacing w:line="24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沟通</w:t>
            </w:r>
          </w:p>
          <w:p>
            <w:pPr>
              <w:pStyle w:val="2"/>
              <w:spacing w:line="240" w:lineRule="auto"/>
              <w:rPr>
                <w:rFonts w:hint="eastAsia" w:ascii="宋体" w:hAnsi="宋体" w:cs="宋体"/>
                <w:b w:val="0"/>
                <w:bCs w:val="0"/>
                <w:color w:val="auto"/>
                <w:sz w:val="21"/>
                <w:szCs w:val="21"/>
                <w:lang w:val="en-US" w:eastAsia="zh-CN"/>
              </w:rPr>
            </w:pPr>
          </w:p>
        </w:tc>
        <w:tc>
          <w:tcPr>
            <w:tcW w:w="960" w:type="dxa"/>
            <w:vAlign w:val="top"/>
          </w:tcPr>
          <w:p>
            <w:pPr>
              <w:pStyle w:val="2"/>
              <w:spacing w:line="240" w:lineRule="auto"/>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8.1</w:t>
            </w:r>
          </w:p>
          <w:p>
            <w:pPr>
              <w:pStyle w:val="2"/>
              <w:spacing w:line="240" w:lineRule="auto"/>
              <w:rPr>
                <w:rFonts w:hint="eastAsia" w:ascii="宋体" w:hAnsi="宋体" w:cs="宋体"/>
                <w:b w:val="0"/>
                <w:bCs w:val="0"/>
                <w:color w:val="auto"/>
                <w:sz w:val="21"/>
                <w:szCs w:val="21"/>
                <w:lang w:val="en-US" w:eastAsia="zh-CN"/>
              </w:rPr>
            </w:pPr>
          </w:p>
          <w:p>
            <w:pPr>
              <w:pStyle w:val="2"/>
              <w:spacing w:line="240" w:lineRule="auto"/>
              <w:rPr>
                <w:rFonts w:hint="eastAsia" w:ascii="宋体" w:hAnsi="宋体" w:cs="宋体"/>
                <w:b w:val="0"/>
                <w:bCs w:val="0"/>
                <w:color w:val="auto"/>
                <w:sz w:val="21"/>
                <w:szCs w:val="21"/>
                <w:lang w:val="en-US" w:eastAsia="zh-CN"/>
              </w:rPr>
            </w:pPr>
          </w:p>
        </w:tc>
        <w:tc>
          <w:tcPr>
            <w:tcW w:w="10627" w:type="dxa"/>
          </w:tcPr>
          <w:p>
            <w:pPr>
              <w:pStyle w:val="9"/>
              <w:numPr>
                <w:ilvl w:val="0"/>
                <w:numId w:val="0"/>
              </w:numPr>
              <w:snapToGrid/>
              <w:spacing w:line="240" w:lineRule="auto"/>
              <w:ind w:leftChars="0"/>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编制了《制度文件清单-能源管理制度文件》包括“企业节能管理岗位责任制度”、“节能目标考核制度”、“节能培训制度”、“节能奖惩制度”、“能源计量制度”、“能源统计制度”、“能耗限额制度”、“节能技术产品推广制度”、“能效对标制度”、“节约用水制度”、“节电制度”等；</w:t>
            </w:r>
          </w:p>
          <w:p>
            <w:pPr>
              <w:pStyle w:val="9"/>
              <w:numPr>
                <w:ilvl w:val="0"/>
                <w:numId w:val="0"/>
              </w:numPr>
              <w:snapToGrid/>
              <w:spacing w:line="240" w:lineRule="auto"/>
              <w:ind w:leftChars="0"/>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编制了“作业指导书”等。</w:t>
            </w:r>
          </w:p>
          <w:p>
            <w:pPr>
              <w:numPr>
                <w:ilvl w:val="0"/>
                <w:numId w:val="0"/>
              </w:numPr>
              <w:spacing w:line="240" w:lineRule="auto"/>
              <w:rPr>
                <w:rFonts w:ascii="宋体" w:hAnsi="宋体"/>
                <w:b w:val="0"/>
                <w:bCs w:val="0"/>
                <w:color w:val="auto"/>
                <w:sz w:val="21"/>
                <w:szCs w:val="21"/>
              </w:rPr>
            </w:pPr>
            <w:r>
              <w:rPr>
                <w:rFonts w:hint="eastAsia" w:ascii="宋体" w:hAnsi="宋体"/>
                <w:b w:val="0"/>
                <w:bCs w:val="0"/>
                <w:color w:val="auto"/>
                <w:sz w:val="21"/>
                <w:szCs w:val="21"/>
              </w:rPr>
              <w:t>余热利用项目管理流程：</w:t>
            </w:r>
          </w:p>
          <w:p>
            <w:pPr>
              <w:pStyle w:val="2"/>
              <w:spacing w:line="240" w:lineRule="auto"/>
              <w:rPr>
                <w:b w:val="0"/>
                <w:bCs w:val="0"/>
                <w:color w:val="auto"/>
                <w:sz w:val="21"/>
                <w:szCs w:val="21"/>
              </w:rPr>
            </w:pPr>
            <w:r>
              <w:rPr>
                <w:b w:val="0"/>
                <w:bCs w:val="0"/>
                <w:color w:val="auto"/>
                <w:sz w:val="21"/>
                <w:szCs w:val="21"/>
              </w:rPr>
              <w:drawing>
                <wp:inline distT="0" distB="0" distL="114300" distR="114300">
                  <wp:extent cx="2141220" cy="1094740"/>
                  <wp:effectExtent l="0" t="0" r="5080" b="1016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6"/>
                          <a:stretch>
                            <a:fillRect/>
                          </a:stretch>
                        </pic:blipFill>
                        <pic:spPr>
                          <a:xfrm>
                            <a:off x="0" y="0"/>
                            <a:ext cx="2141220" cy="1094740"/>
                          </a:xfrm>
                          <a:prstGeom prst="rect">
                            <a:avLst/>
                          </a:prstGeom>
                          <a:noFill/>
                          <a:ln>
                            <a:noFill/>
                          </a:ln>
                        </pic:spPr>
                      </pic:pic>
                    </a:graphicData>
                  </a:graphic>
                </wp:inline>
              </w:drawing>
            </w:r>
          </w:p>
          <w:p>
            <w:pPr>
              <w:pStyle w:val="2"/>
              <w:spacing w:line="240" w:lineRule="auto"/>
              <w:rPr>
                <w:rFonts w:hint="default"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视频查</w:t>
            </w:r>
            <w:r>
              <w:rPr>
                <w:rFonts w:hint="eastAsia" w:ascii="宋体" w:hAnsi="宋体" w:cs="宋体"/>
                <w:b w:val="0"/>
                <w:bCs w:val="0"/>
                <w:color w:val="auto"/>
                <w:kern w:val="0"/>
                <w:sz w:val="21"/>
                <w:szCs w:val="21"/>
                <w:u w:val="none"/>
              </w:rPr>
              <w:t>余热技术利用服务</w:t>
            </w:r>
            <w:r>
              <w:rPr>
                <w:rFonts w:hint="eastAsia" w:ascii="宋体" w:hAnsi="宋体" w:cs="宋体"/>
                <w:b w:val="0"/>
                <w:bCs w:val="0"/>
                <w:color w:val="auto"/>
                <w:sz w:val="21"/>
                <w:szCs w:val="21"/>
                <w:u w:val="none"/>
                <w:lang w:val="en-US" w:eastAsia="zh-CN"/>
              </w:rPr>
              <w:t>情况：</w:t>
            </w:r>
          </w:p>
          <w:p>
            <w:pPr>
              <w:pStyle w:val="2"/>
              <w:numPr>
                <w:ilvl w:val="0"/>
                <w:numId w:val="0"/>
              </w:numPr>
              <w:spacing w:line="240" w:lineRule="auto"/>
              <w:rPr>
                <w:rFonts w:hint="default" w:ascii="宋体" w:hAnsi="宋体" w:eastAsia="宋体" w:cs="宋体"/>
                <w:b w:val="0"/>
                <w:bCs w:val="0"/>
                <w:color w:val="auto"/>
                <w:kern w:val="2"/>
                <w:sz w:val="21"/>
                <w:szCs w:val="21"/>
                <w:lang w:val="en-US" w:eastAsia="zh-CN" w:bidi="ar-SA"/>
              </w:rPr>
            </w:pPr>
            <w:r>
              <w:rPr>
                <w:rFonts w:hint="eastAsia"/>
                <w:b w:val="0"/>
                <w:bCs w:val="0"/>
                <w:color w:val="auto"/>
                <w:sz w:val="21"/>
                <w:szCs w:val="21"/>
                <w:highlight w:val="none"/>
              </w:rPr>
              <w:t>余热技术利用服务</w:t>
            </w:r>
            <w:r>
              <w:rPr>
                <w:rFonts w:hint="eastAsia"/>
                <w:b w:val="0"/>
                <w:bCs w:val="0"/>
                <w:color w:val="auto"/>
                <w:sz w:val="21"/>
                <w:szCs w:val="21"/>
                <w:lang w:val="en-US" w:eastAsia="zh-CN"/>
              </w:rPr>
              <w:t>的现在位于：</w:t>
            </w:r>
            <w:r>
              <w:rPr>
                <w:rFonts w:hint="eastAsia"/>
                <w:b w:val="0"/>
                <w:bCs w:val="0"/>
                <w:color w:val="auto"/>
                <w:sz w:val="21"/>
                <w:szCs w:val="21"/>
              </w:rPr>
              <w:t>河口区河滨路通海工业园</w:t>
            </w:r>
          </w:p>
          <w:p>
            <w:pPr>
              <w:pStyle w:val="2"/>
              <w:numPr>
                <w:ilvl w:val="0"/>
                <w:numId w:val="0"/>
              </w:numPr>
              <w:spacing w:line="240" w:lineRule="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项目情况：</w:t>
            </w:r>
          </w:p>
          <w:p>
            <w:pPr>
              <w:pStyle w:val="2"/>
              <w:numPr>
                <w:ilvl w:val="0"/>
                <w:numId w:val="0"/>
              </w:numPr>
              <w:spacing w:line="240" w:lineRule="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河口采油厂首站联合站项目是以第二代溴化锂吸收式热泵技术为支持，对埕东联合站污水余热进行收集提温，替代原有燃气加热炉，用于原油收油、脱水和外输加温。项目首次引进“二类吸收式热泵”技术，首次采用污水至接接换热工艺，减少了一级换热设备，大幅度提升了换热环节的热效率，项目同时引入了胶球在线清洗技术，有效解决了关键设备结垢问题，降低了设备运行和维修费用，第二类溴化锂吸收式热泵的投入实现了热泵制热高效率、低电耗等优点，在同行业业余热利用中达到领先水平，开创了油田污水余热低耗高效率开发利用的新方向。</w:t>
            </w:r>
          </w:p>
          <w:p>
            <w:pPr>
              <w:pStyle w:val="2"/>
              <w:numPr>
                <w:ilvl w:val="0"/>
                <w:numId w:val="0"/>
              </w:numPr>
              <w:spacing w:line="240" w:lineRule="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 xml:space="preserve">   该项目式利用采油污水余热回收的示范项目，采用“热化学+两级沉降”原油脱水工艺，具有（原油脱水、原油稳定、油田水处理）等功能。站内原油加热及冬季采暖由1台3600kW及1台2300kW及4台2000kW水套加热炉提供，年耗天然气337×104m3。首站余热代气项目拟采用热泵和换热技术，提取余热替代加热炉，实现天然气全替代及节能减排。。</w:t>
            </w:r>
          </w:p>
          <w:p>
            <w:pPr>
              <w:pStyle w:val="2"/>
              <w:numPr>
                <w:ilvl w:val="0"/>
                <w:numId w:val="0"/>
              </w:numPr>
              <w:spacing w:line="240" w:lineRule="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drawing>
                <wp:inline distT="0" distB="0" distL="114300" distR="114300">
                  <wp:extent cx="995680" cy="1308735"/>
                  <wp:effectExtent l="0" t="0" r="7620" b="12065"/>
                  <wp:docPr id="13" name="图片 13" descr="87a1472224f469af191a8a20ab042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7a1472224f469af191a8a20ab0428f"/>
                          <pic:cNvPicPr>
                            <a:picLocks noChangeAspect="1"/>
                          </pic:cNvPicPr>
                        </pic:nvPicPr>
                        <pic:blipFill>
                          <a:blip r:embed="rId7"/>
                          <a:stretch>
                            <a:fillRect/>
                          </a:stretch>
                        </pic:blipFill>
                        <pic:spPr>
                          <a:xfrm>
                            <a:off x="0" y="0"/>
                            <a:ext cx="995680" cy="1308735"/>
                          </a:xfrm>
                          <a:prstGeom prst="rect">
                            <a:avLst/>
                          </a:prstGeom>
                        </pic:spPr>
                      </pic:pic>
                    </a:graphicData>
                  </a:graphic>
                </wp:inline>
              </w:drawing>
            </w:r>
            <w:r>
              <w:rPr>
                <w:rFonts w:hint="eastAsia" w:ascii="宋体" w:hAnsi="宋体" w:cs="宋体"/>
                <w:b w:val="0"/>
                <w:bCs w:val="0"/>
                <w:color w:val="auto"/>
                <w:kern w:val="2"/>
                <w:sz w:val="21"/>
                <w:szCs w:val="21"/>
                <w:lang w:val="en-US" w:eastAsia="zh-CN" w:bidi="ar-SA"/>
              </w:rPr>
              <w:t xml:space="preserve"> </w:t>
            </w:r>
            <w:r>
              <w:rPr>
                <w:rFonts w:hint="default" w:ascii="宋体" w:hAnsi="宋体" w:cs="宋体"/>
                <w:b w:val="0"/>
                <w:bCs w:val="0"/>
                <w:color w:val="auto"/>
                <w:kern w:val="2"/>
                <w:sz w:val="21"/>
                <w:szCs w:val="21"/>
                <w:lang w:val="en-US" w:eastAsia="zh-CN" w:bidi="ar-SA"/>
              </w:rPr>
              <w:drawing>
                <wp:inline distT="0" distB="0" distL="114300" distR="114300">
                  <wp:extent cx="1033780" cy="1306830"/>
                  <wp:effectExtent l="0" t="0" r="7620" b="1270"/>
                  <wp:docPr id="14" name="图片 14" descr="83a7de419b01c63d6676b55cde1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3a7de419b01c63d6676b55cde17246"/>
                          <pic:cNvPicPr>
                            <a:picLocks noChangeAspect="1"/>
                          </pic:cNvPicPr>
                        </pic:nvPicPr>
                        <pic:blipFill>
                          <a:blip r:embed="rId8"/>
                          <a:stretch>
                            <a:fillRect/>
                          </a:stretch>
                        </pic:blipFill>
                        <pic:spPr>
                          <a:xfrm>
                            <a:off x="0" y="0"/>
                            <a:ext cx="1033780" cy="1306830"/>
                          </a:xfrm>
                          <a:prstGeom prst="rect">
                            <a:avLst/>
                          </a:prstGeom>
                        </pic:spPr>
                      </pic:pic>
                    </a:graphicData>
                  </a:graphic>
                </wp:inline>
              </w:drawing>
            </w:r>
            <w:r>
              <w:rPr>
                <w:rFonts w:hint="eastAsia" w:ascii="宋体" w:hAnsi="宋体" w:cs="宋体"/>
                <w:b w:val="0"/>
                <w:bCs w:val="0"/>
                <w:color w:val="auto"/>
                <w:kern w:val="2"/>
                <w:sz w:val="21"/>
                <w:szCs w:val="21"/>
                <w:lang w:val="en-US" w:eastAsia="zh-CN" w:bidi="ar-SA"/>
              </w:rPr>
              <w:t xml:space="preserve"> </w:t>
            </w:r>
            <w:r>
              <w:rPr>
                <w:rFonts w:hint="default" w:ascii="宋体" w:hAnsi="宋体" w:cs="宋体"/>
                <w:b w:val="0"/>
                <w:bCs w:val="0"/>
                <w:color w:val="auto"/>
                <w:kern w:val="2"/>
                <w:sz w:val="21"/>
                <w:szCs w:val="21"/>
                <w:lang w:val="en-US" w:eastAsia="zh-CN" w:bidi="ar-SA"/>
              </w:rPr>
              <w:drawing>
                <wp:inline distT="0" distB="0" distL="114300" distR="114300">
                  <wp:extent cx="1155065" cy="1327785"/>
                  <wp:effectExtent l="0" t="0" r="635" b="5715"/>
                  <wp:docPr id="15" name="图片 15" descr="8e1559cfc0b484f8ece0de680c17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e1559cfc0b484f8ece0de680c1762d"/>
                          <pic:cNvPicPr>
                            <a:picLocks noChangeAspect="1"/>
                          </pic:cNvPicPr>
                        </pic:nvPicPr>
                        <pic:blipFill>
                          <a:blip r:embed="rId9"/>
                          <a:stretch>
                            <a:fillRect/>
                          </a:stretch>
                        </pic:blipFill>
                        <pic:spPr>
                          <a:xfrm>
                            <a:off x="0" y="0"/>
                            <a:ext cx="1155065" cy="1327785"/>
                          </a:xfrm>
                          <a:prstGeom prst="rect">
                            <a:avLst/>
                          </a:prstGeom>
                        </pic:spPr>
                      </pic:pic>
                    </a:graphicData>
                  </a:graphic>
                </wp:inline>
              </w:drawing>
            </w:r>
            <w:r>
              <w:rPr>
                <w:rFonts w:hint="eastAsia" w:ascii="宋体" w:hAnsi="宋体" w:cs="宋体"/>
                <w:b w:val="0"/>
                <w:bCs w:val="0"/>
                <w:color w:val="auto"/>
                <w:kern w:val="2"/>
                <w:sz w:val="21"/>
                <w:szCs w:val="21"/>
                <w:lang w:val="en-US" w:eastAsia="zh-CN" w:bidi="ar-SA"/>
              </w:rPr>
              <w:t xml:space="preserve"> </w:t>
            </w:r>
            <w:r>
              <w:rPr>
                <w:rFonts w:hint="default" w:ascii="宋体" w:hAnsi="宋体" w:cs="宋体"/>
                <w:b w:val="0"/>
                <w:bCs w:val="0"/>
                <w:color w:val="auto"/>
                <w:kern w:val="2"/>
                <w:sz w:val="21"/>
                <w:szCs w:val="21"/>
                <w:lang w:val="en-US" w:eastAsia="zh-CN" w:bidi="ar-SA"/>
              </w:rPr>
              <w:drawing>
                <wp:inline distT="0" distB="0" distL="114300" distR="114300">
                  <wp:extent cx="1203960" cy="1345565"/>
                  <wp:effectExtent l="0" t="0" r="2540" b="635"/>
                  <wp:docPr id="16" name="图片 16" descr="aa098c101f0c7046d217ac74370c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a098c101f0c7046d217ac74370cb94"/>
                          <pic:cNvPicPr>
                            <a:picLocks noChangeAspect="1"/>
                          </pic:cNvPicPr>
                        </pic:nvPicPr>
                        <pic:blipFill>
                          <a:blip r:embed="rId10"/>
                          <a:stretch>
                            <a:fillRect/>
                          </a:stretch>
                        </pic:blipFill>
                        <pic:spPr>
                          <a:xfrm>
                            <a:off x="0" y="0"/>
                            <a:ext cx="1203960" cy="1345565"/>
                          </a:xfrm>
                          <a:prstGeom prst="rect">
                            <a:avLst/>
                          </a:prstGeom>
                        </pic:spPr>
                      </pic:pic>
                    </a:graphicData>
                  </a:graphic>
                </wp:inline>
              </w:drawing>
            </w:r>
            <w:r>
              <w:rPr>
                <w:rFonts w:hint="eastAsia" w:ascii="宋体" w:hAnsi="宋体" w:cs="宋体"/>
                <w:b w:val="0"/>
                <w:bCs w:val="0"/>
                <w:color w:val="auto"/>
                <w:kern w:val="2"/>
                <w:sz w:val="21"/>
                <w:szCs w:val="21"/>
                <w:lang w:val="en-US" w:eastAsia="zh-CN" w:bidi="ar-SA"/>
              </w:rPr>
              <w:t xml:space="preserve"> </w:t>
            </w:r>
            <w:r>
              <w:rPr>
                <w:rFonts w:hint="default" w:ascii="宋体" w:hAnsi="宋体" w:cs="宋体"/>
                <w:b w:val="0"/>
                <w:bCs w:val="0"/>
                <w:color w:val="auto"/>
                <w:kern w:val="2"/>
                <w:sz w:val="21"/>
                <w:szCs w:val="21"/>
                <w:lang w:val="en-US" w:eastAsia="zh-CN" w:bidi="ar-SA"/>
              </w:rPr>
              <w:drawing>
                <wp:inline distT="0" distB="0" distL="114300" distR="114300">
                  <wp:extent cx="1156970" cy="1365250"/>
                  <wp:effectExtent l="0" t="0" r="11430" b="6350"/>
                  <wp:docPr id="17" name="图片 17" descr="b06af22b243b5e0b643f450186f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06af22b243b5e0b643f450186f6908"/>
                          <pic:cNvPicPr>
                            <a:picLocks noChangeAspect="1"/>
                          </pic:cNvPicPr>
                        </pic:nvPicPr>
                        <pic:blipFill>
                          <a:blip r:embed="rId11"/>
                          <a:stretch>
                            <a:fillRect/>
                          </a:stretch>
                        </pic:blipFill>
                        <pic:spPr>
                          <a:xfrm>
                            <a:off x="0" y="0"/>
                            <a:ext cx="1156970" cy="1365250"/>
                          </a:xfrm>
                          <a:prstGeom prst="rect">
                            <a:avLst/>
                          </a:prstGeom>
                        </pic:spPr>
                      </pic:pic>
                    </a:graphicData>
                  </a:graphic>
                </wp:inline>
              </w:drawing>
            </w:r>
          </w:p>
          <w:p>
            <w:pPr>
              <w:pStyle w:val="9"/>
              <w:numPr>
                <w:ilvl w:val="0"/>
                <w:numId w:val="0"/>
              </w:numPr>
              <w:snapToGrid/>
              <w:spacing w:line="240" w:lineRule="auto"/>
              <w:ind w:leftChars="0"/>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机电设备管控：</w:t>
            </w:r>
          </w:p>
          <w:p>
            <w:pPr>
              <w:pStyle w:val="9"/>
              <w:numPr>
                <w:ilvl w:val="0"/>
                <w:numId w:val="0"/>
              </w:numPr>
              <w:snapToGrid/>
              <w:spacing w:line="240" w:lineRule="auto"/>
              <w:ind w:leftChars="0"/>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提供《主要用能设备表》包括“热水循环水泵  吸收热泵机组  数控液压摆式剪板机 多工位数控转塔式冲床”等、有规格型号、台数、总功率、耗能类型等信息；——查设备无国家明令淘汰设施设备（工信部一~四批目录）；</w:t>
            </w:r>
          </w:p>
          <w:p>
            <w:pPr>
              <w:pStyle w:val="9"/>
              <w:numPr>
                <w:ilvl w:val="0"/>
                <w:numId w:val="0"/>
              </w:numPr>
              <w:snapToGrid/>
              <w:spacing w:line="240" w:lineRule="auto"/>
              <w:ind w:leftChars="0"/>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提供《设备保养（检修）计划》有设备备、报修内容、时间、操作人、检修人等信息；</w:t>
            </w:r>
          </w:p>
          <w:p>
            <w:pPr>
              <w:pStyle w:val="2"/>
              <w:numPr>
                <w:ilvl w:val="0"/>
                <w:numId w:val="0"/>
              </w:numPr>
              <w:spacing w:line="240" w:lineRule="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抽查《多工位数控转塔式冲床检表》、《吸收热泵机组》 1份、日期2022.8，有检验内容、时间记录详细，符合要求</w:t>
            </w:r>
          </w:p>
        </w:tc>
        <w:tc>
          <w:tcPr>
            <w:tcW w:w="962" w:type="dxa"/>
          </w:tcPr>
          <w:p>
            <w:pPr>
              <w:rPr>
                <w:rFonts w:hint="eastAsia" w:eastAsia="宋体"/>
                <w:color w:val="auto"/>
                <w:sz w:val="21"/>
                <w:szCs w:val="21"/>
                <w:lang w:val="en-US" w:eastAsia="zh-CN"/>
              </w:rPr>
            </w:pPr>
            <w:r>
              <w:rPr>
                <w:rFonts w:hint="eastAsia"/>
                <w:color w:val="auto"/>
                <w:sz w:val="21"/>
                <w:szCs w:val="21"/>
                <w:lang w:val="en-US" w:eastAsia="zh-CN"/>
              </w:rPr>
              <w:t>Y</w:t>
            </w:r>
          </w:p>
        </w:tc>
      </w:tr>
    </w:tbl>
    <w:p>
      <w:r>
        <w:ptab w:relativeTo="margin" w:alignment="center" w:leader="none"/>
      </w:r>
    </w:p>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w:t>
            </w:r>
            <w:r>
              <w:rPr>
                <w:rFonts w:hint="eastAsia" w:ascii="宋体" w:hAnsi="宋体" w:cs="宋体"/>
                <w:sz w:val="21"/>
                <w:szCs w:val="21"/>
                <w:lang w:val="en-US" w:eastAsia="zh-CN"/>
              </w:rPr>
              <w:t>工程部</w:t>
            </w:r>
            <w:r>
              <w:rPr>
                <w:rFonts w:hint="eastAsia" w:ascii="宋体" w:hAnsi="宋体" w:eastAsia="宋体" w:cs="宋体"/>
                <w:sz w:val="21"/>
                <w:szCs w:val="21"/>
              </w:rPr>
              <w:t xml:space="preserve">  主管领导：</w:t>
            </w:r>
            <w:r>
              <w:rPr>
                <w:rFonts w:hint="eastAsia" w:asciiTheme="minorEastAsia" w:hAnsiTheme="minorEastAsia"/>
                <w:sz w:val="21"/>
                <w:szCs w:val="21"/>
              </w:rPr>
              <w:t>门广见</w:t>
            </w:r>
            <w:r>
              <w:rPr>
                <w:rFonts w:hint="eastAsia"/>
                <w:sz w:val="21"/>
                <w:szCs w:val="21"/>
                <w:lang w:val="en-US" w:eastAsia="zh-CN"/>
              </w:rPr>
              <w:tab/>
            </w:r>
            <w:r>
              <w:rPr>
                <w:rFonts w:hint="eastAsia" w:ascii="宋体" w:hAnsi="宋体" w:eastAsia="宋体" w:cs="宋体"/>
                <w:sz w:val="21"/>
                <w:szCs w:val="21"/>
              </w:rPr>
              <w:t xml:space="preserve">      陪同人员：</w:t>
            </w:r>
            <w:r>
              <w:rPr>
                <w:rFonts w:hint="eastAsia"/>
                <w:sz w:val="21"/>
                <w:szCs w:val="21"/>
                <w:lang w:val="en-US" w:eastAsia="zh-CN"/>
              </w:rPr>
              <w:t>单晶晶</w:t>
            </w:r>
            <w:r>
              <w:rPr>
                <w:rFonts w:hint="default"/>
                <w:sz w:val="21"/>
                <w:szCs w:val="21"/>
                <w:lang w:val="en-US" w:eastAsia="zh-CN"/>
              </w:rPr>
              <w:t xml:space="preserve"> </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cs="宋体"/>
                <w:color w:val="auto"/>
                <w:sz w:val="21"/>
                <w:szCs w:val="21"/>
                <w:lang w:val="en-US" w:eastAsia="zh-CN"/>
              </w:rPr>
              <w:t>范玲玲</w:t>
            </w:r>
            <w:r>
              <w:rPr>
                <w:rFonts w:hint="eastAsia" w:ascii="宋体" w:hAnsi="宋体" w:eastAsia="宋体" w:cs="宋体"/>
                <w:color w:val="auto"/>
                <w:sz w:val="21"/>
                <w:szCs w:val="21"/>
              </w:rPr>
              <w:t xml:space="preserve">  </w:t>
            </w:r>
            <w:r>
              <w:rPr>
                <w:color w:val="auto"/>
                <w:sz w:val="21"/>
                <w:szCs w:val="21"/>
                <w:lang w:val="de-DE"/>
              </w:rPr>
              <w:t>崔敬伟</w:t>
            </w:r>
            <w:r>
              <w:rPr>
                <w:rFonts w:hint="eastAsia"/>
                <w:color w:val="auto"/>
                <w:sz w:val="21"/>
                <w:szCs w:val="21"/>
                <w:lang w:val="de-DE" w:eastAsia="zh-CN"/>
              </w:rPr>
              <w:t>（</w:t>
            </w:r>
            <w:r>
              <w:rPr>
                <w:rFonts w:hint="eastAsia"/>
                <w:color w:val="auto"/>
                <w:sz w:val="21"/>
                <w:szCs w:val="21"/>
                <w:lang w:val="en-US" w:eastAsia="zh-CN"/>
              </w:rPr>
              <w:t>远程</w:t>
            </w:r>
            <w:r>
              <w:rPr>
                <w:rFonts w:hint="eastAsia"/>
                <w:color w:val="auto"/>
                <w:sz w:val="21"/>
                <w:szCs w:val="21"/>
                <w:lang w:val="de-DE" w:eastAsia="zh-CN"/>
              </w:rPr>
              <w:t>）</w:t>
            </w:r>
            <w:r>
              <w:rPr>
                <w:rFonts w:hint="eastAsia"/>
                <w:color w:val="auto"/>
                <w:sz w:val="21"/>
                <w:szCs w:val="21"/>
                <w:lang w:val="en-US" w:eastAsia="zh-CN"/>
              </w:rPr>
              <w:t xml:space="preserve">    </w:t>
            </w:r>
            <w:r>
              <w:rPr>
                <w:rFonts w:hint="eastAsia"/>
                <w:sz w:val="21"/>
                <w:szCs w:val="21"/>
                <w:lang w:val="en-US" w:eastAsia="zh-CN"/>
              </w:rPr>
              <w:t>审核工具：微信视频、电话、文件传输</w:t>
            </w:r>
            <w:r>
              <w:rPr>
                <w:rFonts w:hint="eastAsia"/>
                <w:color w:val="auto"/>
                <w:sz w:val="21"/>
                <w:szCs w:val="21"/>
                <w:lang w:val="en-US" w:eastAsia="zh-CN"/>
              </w:rPr>
              <w:t xml:space="preserve">   </w:t>
            </w:r>
            <w:r>
              <w:rPr>
                <w:rFonts w:hint="eastAsia"/>
                <w:sz w:val="21"/>
                <w:szCs w:val="21"/>
                <w:lang w:val="en-US" w:eastAsia="zh-CN"/>
              </w:rPr>
              <w:t xml:space="preserve"> </w:t>
            </w:r>
            <w:r>
              <w:rPr>
                <w:rFonts w:hint="eastAsia" w:ascii="宋体" w:hAnsi="宋体" w:eastAsia="宋体" w:cs="宋体"/>
                <w:sz w:val="21"/>
                <w:szCs w:val="21"/>
              </w:rPr>
              <w:t xml:space="preserve"> </w:t>
            </w:r>
          </w:p>
          <w:p>
            <w:pPr>
              <w:jc w:val="both"/>
              <w:rPr>
                <w:rFonts w:hint="default" w:ascii="宋体" w:hAnsi="宋体" w:eastAsia="宋体" w:cs="宋体"/>
                <w:sz w:val="21"/>
                <w:szCs w:val="21"/>
                <w:lang w:val="en-US" w:eastAsia="zh-CN"/>
              </w:rPr>
            </w:pPr>
            <w:r>
              <w:rPr>
                <w:rFonts w:hint="eastAsia" w:ascii="宋体" w:hAnsi="宋体" w:eastAsia="宋体" w:cs="宋体"/>
                <w:sz w:val="21"/>
                <w:szCs w:val="21"/>
              </w:rPr>
              <w:t>审核时间：</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12.15</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napToGrid w:val="0"/>
              <w:spacing w:line="320" w:lineRule="exact"/>
              <w:ind w:left="180" w:hanging="210" w:hangingChars="100"/>
              <w:jc w:val="left"/>
              <w:rPr>
                <w:sz w:val="21"/>
                <w:szCs w:val="21"/>
              </w:rPr>
            </w:pPr>
            <w:r>
              <w:rPr>
                <w:rFonts w:hint="eastAsia"/>
                <w:sz w:val="21"/>
                <w:szCs w:val="21"/>
              </w:rPr>
              <w:t>审核条款</w:t>
            </w:r>
            <w:r>
              <w:rPr>
                <w:rFonts w:hint="eastAsia" w:ascii="宋体" w:hAnsi="宋体" w:eastAsia="宋体" w:cs="宋体"/>
                <w:sz w:val="21"/>
                <w:szCs w:val="21"/>
              </w:rPr>
              <w:t>：</w:t>
            </w:r>
            <w:r>
              <w:rPr>
                <w:rFonts w:hint="eastAsia" w:asciiTheme="minorEastAsia" w:hAnsiTheme="minorEastAsia" w:eastAsiaTheme="minorEastAsia" w:cstheme="minorEastAsia"/>
                <w:b/>
                <w:bCs/>
                <w:color w:val="auto"/>
                <w:sz w:val="21"/>
                <w:szCs w:val="21"/>
                <w:u w:val="none"/>
                <w:lang w:val="en-US" w:eastAsia="zh-CN"/>
              </w:rPr>
              <w:t>En</w:t>
            </w:r>
            <w:r>
              <w:rPr>
                <w:rFonts w:hint="eastAsia" w:asciiTheme="minorEastAsia" w:hAnsiTheme="minorEastAsia" w:eastAsiaTheme="minorEastAsia" w:cstheme="minorEastAsia"/>
                <w:b w:val="0"/>
                <w:bCs w:val="0"/>
                <w:color w:val="auto"/>
                <w:sz w:val="21"/>
                <w:szCs w:val="21"/>
                <w:u w:val="none"/>
                <w:lang w:val="en-US" w:eastAsia="zh-CN"/>
              </w:rPr>
              <w:t>:</w:t>
            </w:r>
            <w:r>
              <w:rPr>
                <w:rFonts w:hint="eastAsia" w:ascii="宋体" w:hAnsi="宋体" w:eastAsia="宋体" w:cs="Times New Roman"/>
                <w:b w:val="0"/>
                <w:bCs w:val="0"/>
                <w:sz w:val="21"/>
                <w:szCs w:val="21"/>
                <w:highlight w:val="none"/>
              </w:rPr>
              <w:t>5.3</w:t>
            </w:r>
            <w:r>
              <w:rPr>
                <w:rFonts w:hint="eastAsia" w:ascii="宋体" w:hAnsi="宋体" w:eastAsia="宋体" w:cs="Times New Roman"/>
                <w:b w:val="0"/>
                <w:bCs w:val="0"/>
                <w:sz w:val="21"/>
                <w:szCs w:val="21"/>
                <w:highlight w:val="none"/>
                <w:lang w:val="en-US" w:eastAsia="zh-CN"/>
              </w:rPr>
              <w:t>/</w:t>
            </w:r>
            <w:r>
              <w:rPr>
                <w:rFonts w:hint="eastAsia" w:ascii="宋体" w:hAnsi="宋体" w:eastAsia="宋体" w:cs="Times New Roman"/>
                <w:b w:val="0"/>
                <w:bCs w:val="0"/>
                <w:sz w:val="21"/>
                <w:szCs w:val="21"/>
                <w:highlight w:val="none"/>
              </w:rPr>
              <w:t>6.2</w:t>
            </w:r>
            <w:r>
              <w:rPr>
                <w:rFonts w:hint="eastAsia" w:ascii="宋体" w:hAnsi="宋体" w:eastAsia="宋体" w:cs="Times New Roman"/>
                <w:b w:val="0"/>
                <w:bCs w:val="0"/>
                <w:sz w:val="21"/>
                <w:szCs w:val="21"/>
                <w:highlight w:val="none"/>
                <w:lang w:val="en-US" w:eastAsia="zh-CN"/>
              </w:rPr>
              <w:t>/</w:t>
            </w:r>
            <w:r>
              <w:rPr>
                <w:rFonts w:hint="eastAsia" w:ascii="宋体" w:hAnsi="宋体" w:eastAsia="宋体" w:cs="Times New Roman"/>
                <w:b w:val="0"/>
                <w:bCs w:val="0"/>
                <w:sz w:val="21"/>
                <w:szCs w:val="21"/>
                <w:highlight w:val="none"/>
              </w:rPr>
              <w:t>6.3</w:t>
            </w:r>
            <w:r>
              <w:rPr>
                <w:rFonts w:hint="eastAsia" w:ascii="宋体" w:hAnsi="宋体" w:eastAsia="宋体" w:cs="Times New Roman"/>
                <w:b w:val="0"/>
                <w:bCs w:val="0"/>
                <w:sz w:val="21"/>
                <w:szCs w:val="21"/>
                <w:highlight w:val="none"/>
                <w:lang w:val="en-US" w:eastAsia="zh-CN"/>
              </w:rPr>
              <w:t>/</w:t>
            </w:r>
            <w:r>
              <w:rPr>
                <w:rFonts w:hint="eastAsia" w:ascii="宋体" w:hAnsi="宋体" w:eastAsia="宋体" w:cs="Times New Roman"/>
                <w:b w:val="0"/>
                <w:bCs w:val="0"/>
                <w:sz w:val="21"/>
                <w:szCs w:val="21"/>
                <w:highlight w:val="none"/>
              </w:rPr>
              <w:t>6.4</w:t>
            </w:r>
            <w:r>
              <w:rPr>
                <w:rFonts w:hint="eastAsia" w:ascii="宋体" w:hAnsi="宋体" w:eastAsia="宋体" w:cs="Times New Roman"/>
                <w:b w:val="0"/>
                <w:bCs w:val="0"/>
                <w:sz w:val="21"/>
                <w:szCs w:val="21"/>
                <w:highlight w:val="none"/>
                <w:lang w:val="en-US" w:eastAsia="zh-CN"/>
              </w:rPr>
              <w:t>/</w:t>
            </w:r>
            <w:r>
              <w:rPr>
                <w:rFonts w:hint="eastAsia" w:ascii="宋体" w:hAnsi="宋体" w:eastAsia="宋体" w:cs="Times New Roman"/>
                <w:b w:val="0"/>
                <w:bCs w:val="0"/>
                <w:sz w:val="21"/>
                <w:szCs w:val="21"/>
                <w:highlight w:val="none"/>
              </w:rPr>
              <w:t>6.5</w:t>
            </w:r>
            <w:r>
              <w:rPr>
                <w:rFonts w:hint="eastAsia" w:ascii="宋体" w:hAnsi="宋体" w:eastAsia="宋体" w:cs="Times New Roman"/>
                <w:b w:val="0"/>
                <w:bCs w:val="0"/>
                <w:sz w:val="21"/>
                <w:szCs w:val="21"/>
                <w:highlight w:val="none"/>
                <w:lang w:val="en-US" w:eastAsia="zh-CN"/>
              </w:rPr>
              <w:t>/</w:t>
            </w:r>
            <w:r>
              <w:rPr>
                <w:rFonts w:hint="eastAsia" w:ascii="宋体" w:hAnsi="宋体" w:eastAsia="宋体" w:cs="Times New Roman"/>
                <w:b w:val="0"/>
                <w:bCs w:val="0"/>
                <w:sz w:val="21"/>
                <w:szCs w:val="21"/>
                <w:highlight w:val="none"/>
              </w:rPr>
              <w:t>6.6</w:t>
            </w:r>
            <w:r>
              <w:rPr>
                <w:rFonts w:hint="eastAsia" w:ascii="宋体" w:hAnsi="宋体" w:eastAsia="宋体" w:cs="Times New Roman"/>
                <w:b w:val="0"/>
                <w:bCs w:val="0"/>
                <w:sz w:val="21"/>
                <w:szCs w:val="21"/>
                <w:highlight w:val="none"/>
                <w:lang w:val="en-US" w:eastAsia="zh-CN"/>
              </w:rPr>
              <w:t>/</w:t>
            </w:r>
            <w:r>
              <w:rPr>
                <w:rFonts w:hint="eastAsia" w:ascii="宋体" w:hAnsi="宋体" w:eastAsia="宋体" w:cs="Times New Roman"/>
                <w:b w:val="0"/>
                <w:bCs w:val="0"/>
                <w:sz w:val="21"/>
                <w:szCs w:val="21"/>
                <w:highlight w:val="none"/>
              </w:rPr>
              <w:t>8.1</w:t>
            </w:r>
            <w:r>
              <w:rPr>
                <w:rFonts w:hint="eastAsia" w:ascii="宋体" w:hAnsi="宋体" w:eastAsia="宋体" w:cs="Times New Roman"/>
                <w:b w:val="0"/>
                <w:bCs w:val="0"/>
                <w:sz w:val="21"/>
                <w:szCs w:val="21"/>
                <w:highlight w:val="none"/>
                <w:lang w:val="en-US" w:eastAsia="zh-CN"/>
              </w:rPr>
              <w:t>/8.2/</w:t>
            </w:r>
            <w:r>
              <w:rPr>
                <w:rFonts w:hint="eastAsia" w:ascii="宋体" w:hAnsi="宋体" w:eastAsia="宋体" w:cs="Times New Roman"/>
                <w:b w:val="0"/>
                <w:bCs w:val="0"/>
                <w:sz w:val="21"/>
                <w:szCs w:val="21"/>
              </w:rPr>
              <w:t>9.1.1</w:t>
            </w:r>
            <w:r>
              <w:rPr>
                <w:rFonts w:hint="eastAsia" w:ascii="宋体" w:hAnsi="宋体" w:cs="Times New Roman"/>
                <w:b w:val="0"/>
                <w:bCs w:val="0"/>
                <w:sz w:val="21"/>
                <w:szCs w:val="21"/>
                <w:lang w:val="en-US" w:eastAsia="zh-CN"/>
              </w:rPr>
              <w:t>/</w:t>
            </w:r>
            <w:r>
              <w:rPr>
                <w:rFonts w:hint="eastAsia" w:ascii="宋体" w:hAnsi="宋体" w:eastAsia="宋体" w:cs="Times New Roman"/>
                <w:b w:val="0"/>
                <w:bCs w:val="0"/>
                <w:sz w:val="21"/>
                <w:szCs w:val="21"/>
              </w:rPr>
              <w:t>9.1.2</w:t>
            </w:r>
            <w:r>
              <w:rPr>
                <w:rFonts w:hint="eastAsia" w:asciiTheme="minorEastAsia" w:hAnsiTheme="minorEastAsia" w:eastAsiaTheme="minorEastAsia" w:cstheme="minorEastAsia"/>
                <w:b w:val="0"/>
                <w:bCs w:val="0"/>
                <w:color w:val="auto"/>
                <w:sz w:val="21"/>
                <w:szCs w:val="21"/>
                <w:u w:val="none"/>
                <w:lang w:val="en-US" w:eastAsia="zh-CN"/>
              </w:rPr>
              <w:t xml:space="preserve">  </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1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组织的岗位、职责和权限</w:t>
            </w:r>
          </w:p>
          <w:p>
            <w:pPr>
              <w:rPr>
                <w:sz w:val="21"/>
                <w:szCs w:val="21"/>
              </w:rPr>
            </w:pPr>
          </w:p>
        </w:tc>
        <w:tc>
          <w:tcPr>
            <w:tcW w:w="960" w:type="dxa"/>
            <w:vAlign w:val="top"/>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5.3 </w:t>
            </w:r>
          </w:p>
          <w:p>
            <w:pPr>
              <w:jc w:val="left"/>
              <w:rPr>
                <w:rFonts w:hint="eastAsia" w:ascii="宋体" w:hAnsi="宋体" w:eastAsia="宋体" w:cs="宋体"/>
                <w:sz w:val="21"/>
                <w:szCs w:val="21"/>
                <w:lang w:val="en-US" w:eastAsia="zh-CN"/>
              </w:rPr>
            </w:pPr>
          </w:p>
        </w:tc>
        <w:tc>
          <w:tcPr>
            <w:tcW w:w="1000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部门负责人：</w:t>
            </w:r>
            <w:r>
              <w:rPr>
                <w:rFonts w:hint="eastAsia" w:asciiTheme="minorEastAsia" w:hAnsiTheme="minorEastAsia"/>
                <w:sz w:val="21"/>
                <w:szCs w:val="21"/>
              </w:rPr>
              <w:t>门广见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源岗位人员和岗位设置：负责定期实施对各部门质量和环境、职业健康安全管理过程和管理绩效的监视测量，建立保存监视测量的记录;确保全公司计量、仪表装置的可靠运行。负责部门“自校”监视和测量装置的控制和“强检”计量器具的管理。</w:t>
            </w:r>
          </w:p>
        </w:tc>
        <w:tc>
          <w:tcPr>
            <w:tcW w:w="1585" w:type="dxa"/>
            <w:vAlign w:val="top"/>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目标，能源指标及其实现的策划</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w:t>
            </w:r>
          </w:p>
          <w:p>
            <w:pPr>
              <w:pStyle w:val="2"/>
              <w:rPr>
                <w:sz w:val="21"/>
                <w:szCs w:val="21"/>
              </w:rPr>
            </w:pP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6.2</w:t>
            </w:r>
          </w:p>
          <w:p>
            <w:pPr>
              <w:rPr>
                <w:rFonts w:hint="eastAsia" w:ascii="宋体" w:hAnsi="宋体" w:eastAsia="宋体" w:cs="宋体"/>
                <w:sz w:val="21"/>
                <w:szCs w:val="21"/>
              </w:rPr>
            </w:pPr>
          </w:p>
        </w:tc>
        <w:tc>
          <w:tcPr>
            <w:tcW w:w="10004" w:type="dxa"/>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执行公司的总能源目标，目标完成</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w:t>
            </w:r>
            <w:r>
              <w:rPr>
                <w:rFonts w:hint="eastAsia" w:ascii="宋体" w:hAnsi="宋体" w:cs="宋体"/>
                <w:color w:val="auto"/>
                <w:sz w:val="21"/>
                <w:szCs w:val="21"/>
                <w:lang w:val="en-US" w:eastAsia="zh-CN"/>
              </w:rPr>
              <w:t>工程部</w:t>
            </w:r>
            <w:r>
              <w:rPr>
                <w:rFonts w:hint="eastAsia" w:ascii="宋体" w:hAnsi="宋体" w:eastAsia="宋体" w:cs="宋体"/>
                <w:color w:val="auto"/>
                <w:sz w:val="21"/>
                <w:szCs w:val="21"/>
                <w:lang w:val="en-US" w:eastAsia="zh-CN"/>
              </w:rPr>
              <w:t>负责落实《节能管理办法》、有责任人、时间表、措施验证等内容、符合规定；</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年能源目标指标已经实现；</w:t>
            </w: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w:t>
            </w:r>
            <w:r>
              <w:rPr>
                <w:rFonts w:hint="default"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2</w:t>
            </w:r>
            <w:r>
              <w:rPr>
                <w:rFonts w:hint="default" w:ascii="宋体" w:hAnsi="宋体" w:eastAsia="宋体" w:cs="宋体"/>
                <w:color w:val="auto"/>
                <w:sz w:val="21"/>
                <w:szCs w:val="21"/>
                <w:lang w:val="en-US" w:eastAsia="zh-CN"/>
              </w:rPr>
              <w:t>年和202</w:t>
            </w:r>
            <w:r>
              <w:rPr>
                <w:rFonts w:hint="eastAsia" w:ascii="宋体" w:hAnsi="宋体" w:cs="宋体"/>
                <w:color w:val="auto"/>
                <w:sz w:val="21"/>
                <w:szCs w:val="21"/>
                <w:lang w:val="en-US" w:eastAsia="zh-CN"/>
              </w:rPr>
              <w:t>1</w:t>
            </w:r>
            <w:r>
              <w:rPr>
                <w:rFonts w:hint="default" w:ascii="宋体" w:hAnsi="宋体" w:eastAsia="宋体" w:cs="宋体"/>
                <w:color w:val="auto"/>
                <w:sz w:val="21"/>
                <w:szCs w:val="21"/>
                <w:lang w:val="en-US" w:eastAsia="zh-CN"/>
              </w:rPr>
              <w:t>年目标一样、查202</w:t>
            </w:r>
            <w:r>
              <w:rPr>
                <w:rFonts w:hint="eastAsia" w:ascii="宋体" w:hAnsi="宋体" w:cs="宋体"/>
                <w:color w:val="auto"/>
                <w:sz w:val="21"/>
                <w:szCs w:val="21"/>
                <w:lang w:val="en-US" w:eastAsia="zh-CN"/>
              </w:rPr>
              <w:t>2</w:t>
            </w:r>
            <w:r>
              <w:rPr>
                <w:rFonts w:hint="default" w:ascii="宋体" w:hAnsi="宋体" w:eastAsia="宋体" w:cs="宋体"/>
                <w:color w:val="auto"/>
                <w:sz w:val="21"/>
                <w:szCs w:val="21"/>
                <w:lang w:val="en-US" w:eastAsia="zh-CN"/>
              </w:rPr>
              <w:t>年至今目标</w:t>
            </w:r>
            <w:r>
              <w:rPr>
                <w:rFonts w:hint="eastAsia" w:ascii="宋体" w:hAnsi="宋体" w:eastAsia="宋体" w:cs="宋体"/>
                <w:color w:val="auto"/>
                <w:sz w:val="21"/>
                <w:szCs w:val="21"/>
                <w:lang w:val="en-US" w:eastAsia="zh-CN"/>
              </w:rPr>
              <w:t>完成</w:t>
            </w:r>
            <w:r>
              <w:rPr>
                <w:rFonts w:hint="default" w:ascii="宋体" w:hAnsi="宋体" w:eastAsia="宋体" w:cs="宋体"/>
                <w:color w:val="auto"/>
                <w:sz w:val="21"/>
                <w:szCs w:val="21"/>
                <w:lang w:val="en-US" w:eastAsia="zh-CN"/>
              </w:rPr>
              <w:t>情况符合规定</w:t>
            </w:r>
            <w:r>
              <w:rPr>
                <w:rFonts w:hint="eastAsia" w:ascii="宋体" w:hAnsi="宋体" w:cs="宋体"/>
                <w:color w:val="auto"/>
                <w:sz w:val="21"/>
                <w:szCs w:val="21"/>
                <w:lang w:val="en-US" w:eastAsia="zh-CN"/>
              </w:rPr>
              <w:t>；</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pStyle w:val="2"/>
              <w:spacing w:line="240" w:lineRule="auto"/>
              <w:rPr>
                <w:rFonts w:hint="eastAsia"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运行策划和控制</w:t>
            </w:r>
          </w:p>
          <w:p>
            <w:pPr>
              <w:pStyle w:val="2"/>
              <w:spacing w:line="240" w:lineRule="auto"/>
              <w:rPr>
                <w:rFonts w:hint="eastAsia"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沟通</w:t>
            </w:r>
          </w:p>
          <w:p>
            <w:pPr>
              <w:pStyle w:val="2"/>
              <w:spacing w:line="240" w:lineRule="auto"/>
              <w:rPr>
                <w:rFonts w:hint="eastAsia" w:ascii="宋体" w:hAnsi="宋体" w:eastAsia="宋体" w:cs="宋体"/>
                <w:sz w:val="21"/>
                <w:szCs w:val="21"/>
                <w:u w:val="none"/>
                <w:lang w:val="en-US" w:eastAsia="zh-CN"/>
              </w:rPr>
            </w:pPr>
          </w:p>
        </w:tc>
        <w:tc>
          <w:tcPr>
            <w:tcW w:w="960" w:type="dxa"/>
            <w:vAlign w:val="top"/>
          </w:tcPr>
          <w:p>
            <w:pPr>
              <w:pStyle w:val="2"/>
              <w:spacing w:line="240" w:lineRule="auto"/>
              <w:rPr>
                <w:rFonts w:hint="default"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8.1</w:t>
            </w:r>
          </w:p>
          <w:p>
            <w:pPr>
              <w:pStyle w:val="2"/>
              <w:spacing w:line="240" w:lineRule="auto"/>
              <w:rPr>
                <w:rFonts w:hint="eastAsia" w:ascii="宋体" w:hAnsi="宋体" w:cs="宋体"/>
                <w:color w:val="auto"/>
                <w:sz w:val="21"/>
                <w:szCs w:val="21"/>
                <w:u w:val="none"/>
                <w:lang w:val="en-US" w:eastAsia="zh-CN"/>
              </w:rPr>
            </w:pPr>
          </w:p>
          <w:p>
            <w:pPr>
              <w:pStyle w:val="2"/>
              <w:spacing w:line="240" w:lineRule="auto"/>
              <w:rPr>
                <w:rFonts w:hint="eastAsia" w:ascii="宋体" w:hAnsi="宋体" w:eastAsia="宋体" w:cs="宋体"/>
                <w:sz w:val="21"/>
                <w:szCs w:val="21"/>
                <w:u w:val="none"/>
                <w:lang w:val="en-US" w:eastAsia="zh-CN"/>
              </w:rPr>
            </w:pPr>
          </w:p>
        </w:tc>
        <w:tc>
          <w:tcPr>
            <w:tcW w:w="10004" w:type="dxa"/>
            <w:vAlign w:val="top"/>
          </w:tcPr>
          <w:p>
            <w:pPr>
              <w:pStyle w:val="2"/>
              <w:spacing w:line="240" w:lineRule="auto"/>
              <w:rPr>
                <w:rFonts w:hint="eastAsia"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能源控制：</w:t>
            </w:r>
          </w:p>
          <w:p>
            <w:pPr>
              <w:pStyle w:val="9"/>
              <w:numPr>
                <w:ilvl w:val="0"/>
                <w:numId w:val="0"/>
              </w:numPr>
              <w:snapToGrid/>
              <w:spacing w:line="240" w:lineRule="auto"/>
              <w:ind w:leftChars="0"/>
              <w:rPr>
                <w:rFonts w:hint="eastAsia" w:ascii="宋体" w:hAnsi="宋体" w:cs="宋体"/>
                <w:color w:val="auto"/>
                <w:kern w:val="2"/>
                <w:sz w:val="21"/>
                <w:szCs w:val="21"/>
                <w:u w:val="none"/>
                <w:lang w:val="en-US" w:eastAsia="zh-CN" w:bidi="ar-SA"/>
              </w:rPr>
            </w:pPr>
            <w:r>
              <w:rPr>
                <w:rFonts w:hint="eastAsia" w:ascii="宋体" w:hAnsi="宋体" w:cs="宋体"/>
                <w:color w:val="auto"/>
                <w:kern w:val="2"/>
                <w:sz w:val="21"/>
                <w:szCs w:val="21"/>
                <w:u w:val="none"/>
                <w:lang w:val="en-US" w:eastAsia="zh-CN" w:bidi="ar-SA"/>
              </w:rPr>
              <w:t>编制了《制度文件清单-能源管理制度文件》包括“企业节能管理岗位责任制度”、“节能目标考核制度”、“节能培训制度”、“节能奖惩制度”、“能源计量制度”、“能源统计制度”、“能耗限额制度”、“能源审计制度”、“节能技术产品推广制度”、“能效对标制度”、“节约用水制度”、“节电制度”等；</w:t>
            </w:r>
          </w:p>
          <w:p>
            <w:pPr>
              <w:pStyle w:val="9"/>
              <w:numPr>
                <w:ilvl w:val="0"/>
                <w:numId w:val="0"/>
              </w:numPr>
              <w:snapToGrid/>
              <w:spacing w:line="240" w:lineRule="auto"/>
              <w:ind w:leftChars="0"/>
              <w:rPr>
                <w:rFonts w:hint="eastAsia" w:ascii="宋体" w:hAnsi="宋体" w:cs="宋体"/>
                <w:b w:val="0"/>
                <w:bCs w:val="0"/>
                <w:color w:val="auto"/>
                <w:sz w:val="21"/>
                <w:szCs w:val="21"/>
                <w:u w:val="none"/>
                <w:lang w:val="en-US" w:eastAsia="zh-CN"/>
              </w:rPr>
            </w:pPr>
            <w:r>
              <w:rPr>
                <w:rFonts w:hint="eastAsia" w:ascii="宋体" w:hAnsi="宋体" w:cs="宋体"/>
                <w:color w:val="auto"/>
                <w:kern w:val="2"/>
                <w:sz w:val="21"/>
                <w:szCs w:val="21"/>
                <w:u w:val="none"/>
                <w:lang w:val="en-US" w:eastAsia="zh-CN" w:bidi="ar-SA"/>
              </w:rPr>
              <w:t>编</w:t>
            </w:r>
            <w:r>
              <w:rPr>
                <w:rFonts w:hint="eastAsia" w:ascii="宋体" w:hAnsi="宋体" w:cs="宋体"/>
                <w:b w:val="0"/>
                <w:bCs w:val="0"/>
                <w:color w:val="auto"/>
                <w:kern w:val="2"/>
                <w:sz w:val="21"/>
                <w:szCs w:val="21"/>
                <w:u w:val="none"/>
                <w:lang w:val="en-US" w:eastAsia="zh-CN" w:bidi="ar-SA"/>
              </w:rPr>
              <w:t>制了工程部“作业指导书” ；</w:t>
            </w:r>
          </w:p>
          <w:p>
            <w:pPr>
              <w:pStyle w:val="2"/>
              <w:spacing w:line="240" w:lineRule="auto"/>
              <w:rPr>
                <w:rFonts w:hint="default"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查生产情况：</w:t>
            </w:r>
          </w:p>
          <w:p>
            <w:pPr>
              <w:numPr>
                <w:ilvl w:val="0"/>
                <w:numId w:val="0"/>
              </w:numPr>
              <w:spacing w:line="240" w:lineRule="auto"/>
              <w:ind w:leftChars="0"/>
              <w:rPr>
                <w:rFonts w:hint="eastAsia" w:ascii="宋体" w:hAnsi="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生产流程：</w:t>
            </w:r>
          </w:p>
          <w:p>
            <w:pPr>
              <w:numPr>
                <w:ilvl w:val="0"/>
                <w:numId w:val="0"/>
              </w:numPr>
              <w:spacing w:line="240" w:lineRule="auto"/>
              <w:rPr>
                <w:rFonts w:ascii="宋体" w:hAnsi="宋体"/>
                <w:b w:val="0"/>
                <w:bCs w:val="0"/>
                <w:color w:val="auto"/>
                <w:sz w:val="21"/>
                <w:szCs w:val="21"/>
                <w:u w:val="none"/>
              </w:rPr>
            </w:pPr>
            <w:r>
              <w:rPr>
                <w:rFonts w:hint="eastAsia" w:ascii="宋体" w:hAnsi="宋体"/>
                <w:b w:val="0"/>
                <w:bCs w:val="0"/>
                <w:color w:val="auto"/>
                <w:sz w:val="21"/>
                <w:szCs w:val="21"/>
                <w:u w:val="none"/>
              </w:rPr>
              <w:t>资质范围内配电开关控制设备的制造流程：壳体制作外包→元器件布置→铜排制作（适用时）→元器件装配→一次侧制作→二次侧制作→检验→成品入库</w:t>
            </w:r>
          </w:p>
          <w:p>
            <w:pPr>
              <w:numPr>
                <w:ilvl w:val="0"/>
                <w:numId w:val="0"/>
              </w:numPr>
              <w:spacing w:line="240" w:lineRule="auto"/>
              <w:rPr>
                <w:rFonts w:hint="eastAsia"/>
                <w:b w:val="0"/>
                <w:bCs w:val="0"/>
                <w:color w:val="auto"/>
                <w:sz w:val="21"/>
                <w:szCs w:val="21"/>
                <w:u w:val="none"/>
                <w:lang w:val="en-US" w:eastAsia="zh-CN"/>
              </w:rPr>
            </w:pPr>
            <w:r>
              <w:rPr>
                <w:rFonts w:hint="eastAsia" w:ascii="宋体" w:hAnsi="宋体"/>
                <w:b w:val="0"/>
                <w:bCs w:val="0"/>
                <w:color w:val="auto"/>
                <w:sz w:val="21"/>
                <w:szCs w:val="21"/>
                <w:u w:val="none"/>
              </w:rPr>
              <w:t>仪器仪表设备的生产工艺流程：壳体制作外包→元器件布置→元器件装配→检验→成品入库</w:t>
            </w:r>
          </w:p>
          <w:p>
            <w:pPr>
              <w:pStyle w:val="2"/>
              <w:numPr>
                <w:ilvl w:val="0"/>
                <w:numId w:val="0"/>
              </w:numPr>
              <w:spacing w:line="240" w:lineRule="auto"/>
              <w:rPr>
                <w:rFonts w:hint="eastAsia" w:ascii="宋体" w:hAnsi="宋体" w:cs="宋体"/>
                <w:b w:val="0"/>
                <w:bCs w:val="0"/>
                <w:color w:val="auto"/>
                <w:kern w:val="0"/>
                <w:sz w:val="21"/>
                <w:szCs w:val="21"/>
                <w:u w:val="none"/>
              </w:rPr>
            </w:pPr>
            <w:r>
              <w:rPr>
                <w:rFonts w:hint="eastAsia" w:ascii="宋体" w:hAnsi="宋体" w:cs="宋体"/>
                <w:b w:val="0"/>
                <w:bCs w:val="0"/>
                <w:color w:val="auto"/>
                <w:kern w:val="0"/>
                <w:sz w:val="21"/>
                <w:szCs w:val="21"/>
                <w:u w:val="none"/>
                <w:lang w:val="en-US" w:eastAsia="zh-CN"/>
              </w:rPr>
              <w:t>一、</w:t>
            </w:r>
            <w:r>
              <w:rPr>
                <w:rFonts w:hint="eastAsia" w:ascii="宋体" w:hAnsi="宋体" w:cs="宋体"/>
                <w:b w:val="0"/>
                <w:bCs w:val="0"/>
                <w:color w:val="auto"/>
                <w:kern w:val="0"/>
                <w:sz w:val="21"/>
                <w:szCs w:val="21"/>
                <w:u w:val="none"/>
              </w:rPr>
              <w:t>CCC资质范围内的配电开关控制设备的制造</w:t>
            </w:r>
          </w:p>
          <w:p>
            <w:pPr>
              <w:pStyle w:val="2"/>
              <w:numPr>
                <w:ilvl w:val="0"/>
                <w:numId w:val="0"/>
              </w:numPr>
              <w:spacing w:line="240" w:lineRule="auto"/>
              <w:rPr>
                <w:rFonts w:hint="eastAsia"/>
                <w:color w:val="auto"/>
                <w:sz w:val="21"/>
                <w:szCs w:val="21"/>
                <w:u w:val="none"/>
                <w:lang w:val="en-US" w:eastAsia="zh-CN"/>
              </w:rPr>
            </w:pPr>
            <w:r>
              <w:rPr>
                <w:rFonts w:hint="eastAsia" w:ascii="宋体" w:hAnsi="宋体" w:cs="宋体"/>
                <w:b w:val="0"/>
                <w:bCs w:val="0"/>
                <w:color w:val="auto"/>
                <w:kern w:val="0"/>
                <w:sz w:val="21"/>
                <w:szCs w:val="21"/>
                <w:u w:val="none"/>
                <w:lang w:val="en-US" w:eastAsia="zh-CN"/>
              </w:rPr>
              <w:t>厂址位于</w:t>
            </w:r>
            <w:r>
              <w:rPr>
                <w:rFonts w:hint="eastAsia" w:ascii="宋体" w:hAnsi="宋体" w:cs="宋体"/>
                <w:b/>
                <w:bCs/>
                <w:color w:val="auto"/>
                <w:kern w:val="0"/>
                <w:sz w:val="21"/>
                <w:szCs w:val="21"/>
                <w:u w:val="none"/>
                <w:lang w:val="en-US" w:eastAsia="zh-CN"/>
              </w:rPr>
              <w:t>：</w:t>
            </w:r>
            <w:r>
              <w:rPr>
                <w:rFonts w:hint="eastAsia"/>
                <w:color w:val="auto"/>
                <w:sz w:val="21"/>
                <w:szCs w:val="21"/>
                <w:u w:val="none"/>
              </w:rPr>
              <w:t>电气生产车间</w:t>
            </w:r>
            <w:r>
              <w:rPr>
                <w:rFonts w:hint="eastAsia"/>
                <w:color w:val="auto"/>
                <w:sz w:val="21"/>
                <w:szCs w:val="21"/>
                <w:u w:val="none"/>
                <w:lang w:val="en-US" w:eastAsia="zh-CN"/>
              </w:rPr>
              <w:t xml:space="preserve">  </w:t>
            </w:r>
            <w:r>
              <w:rPr>
                <w:rFonts w:hint="eastAsia"/>
                <w:color w:val="auto"/>
                <w:sz w:val="21"/>
                <w:szCs w:val="21"/>
                <w:u w:val="none"/>
              </w:rPr>
              <w:t>河口区海宁路中段</w:t>
            </w:r>
            <w:r>
              <w:rPr>
                <w:rFonts w:hint="eastAsia"/>
                <w:color w:val="auto"/>
                <w:sz w:val="21"/>
                <w:szCs w:val="21"/>
                <w:u w:val="none"/>
                <w:lang w:val="en-US" w:eastAsia="zh-CN"/>
              </w:rPr>
              <w:t xml:space="preserve"> 厂房面积：2000平米</w:t>
            </w:r>
          </w:p>
          <w:p>
            <w:pPr>
              <w:pStyle w:val="2"/>
              <w:numPr>
                <w:ilvl w:val="0"/>
                <w:numId w:val="0"/>
              </w:numPr>
              <w:spacing w:line="240" w:lineRule="auto"/>
              <w:rPr>
                <w:rFonts w:hint="eastAsia"/>
                <w:color w:val="auto"/>
                <w:sz w:val="21"/>
                <w:szCs w:val="21"/>
                <w:highlight w:val="none"/>
                <w:u w:val="none"/>
                <w:lang w:val="en-US" w:eastAsia="zh-CN"/>
              </w:rPr>
            </w:pPr>
            <w:r>
              <w:rPr>
                <w:rFonts w:hint="eastAsia"/>
                <w:color w:val="auto"/>
                <w:sz w:val="21"/>
                <w:szCs w:val="21"/>
                <w:u w:val="none"/>
                <w:lang w:val="en-US" w:eastAsia="zh-CN"/>
              </w:rPr>
              <w:t>主要从事电柜安装，</w:t>
            </w:r>
            <w:r>
              <w:rPr>
                <w:rFonts w:hint="eastAsia"/>
                <w:color w:val="auto"/>
                <w:sz w:val="21"/>
                <w:szCs w:val="21"/>
                <w:highlight w:val="none"/>
                <w:u w:val="none"/>
                <w:lang w:val="en-US" w:eastAsia="zh-CN"/>
              </w:rPr>
              <w:t>2021年共生产高中低压电气产品年产6000台；2022年1-11月生产高中低压电气产品年产4000台。</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型号有油井群控成套装置 GD300主母线：lnA250-16A,lcw=16kA,ue=DC600V,Ui=DC1000V;IP54</w:t>
            </w:r>
          </w:p>
          <w:p>
            <w:pPr>
              <w:pStyle w:val="2"/>
              <w:numPr>
                <w:ilvl w:val="0"/>
                <w:numId w:val="0"/>
              </w:numPr>
              <w:spacing w:line="240" w:lineRule="auto"/>
              <w:rPr>
                <w:rFonts w:hint="default"/>
                <w:color w:val="auto"/>
                <w:sz w:val="21"/>
                <w:szCs w:val="21"/>
                <w:u w:val="none"/>
                <w:lang w:val="en-US" w:eastAsia="zh-CN"/>
              </w:rPr>
            </w:pPr>
            <w:r>
              <w:rPr>
                <w:rFonts w:hint="default"/>
                <w:color w:val="auto"/>
                <w:sz w:val="21"/>
                <w:szCs w:val="21"/>
                <w:u w:val="none"/>
                <w:lang w:val="en-US" w:eastAsia="zh-CN"/>
              </w:rPr>
              <w:t>油井群控成套装置  GCS主母线：lnA4000-1600A,lcw=80kA,配电母线Inc=1000A-400A,Icw=20kA;</w:t>
            </w:r>
          </w:p>
          <w:p>
            <w:pPr>
              <w:pStyle w:val="2"/>
              <w:numPr>
                <w:ilvl w:val="0"/>
                <w:numId w:val="0"/>
              </w:numPr>
              <w:spacing w:line="240" w:lineRule="auto"/>
              <w:rPr>
                <w:rFonts w:hint="default"/>
                <w:color w:val="auto"/>
                <w:sz w:val="21"/>
                <w:szCs w:val="21"/>
                <w:u w:val="none"/>
                <w:lang w:val="en-US" w:eastAsia="zh-CN"/>
              </w:rPr>
            </w:pPr>
            <w:r>
              <w:rPr>
                <w:rFonts w:hint="default"/>
                <w:color w:val="auto"/>
                <w:sz w:val="21"/>
                <w:szCs w:val="21"/>
                <w:u w:val="none"/>
                <w:lang w:val="en-US" w:eastAsia="zh-CN"/>
              </w:rPr>
              <w:t>Ue=DC380V,Ui=DC660V;  50Hz  IP40\IP30</w:t>
            </w:r>
          </w:p>
          <w:p>
            <w:pPr>
              <w:pStyle w:val="2"/>
              <w:numPr>
                <w:ilvl w:val="0"/>
                <w:numId w:val="0"/>
              </w:numPr>
              <w:spacing w:line="240" w:lineRule="auto"/>
              <w:rPr>
                <w:rFonts w:hint="default"/>
                <w:color w:val="auto"/>
                <w:sz w:val="21"/>
                <w:szCs w:val="21"/>
                <w:u w:val="none"/>
                <w:lang w:val="en-US" w:eastAsia="zh-CN"/>
              </w:rPr>
            </w:pPr>
            <w:r>
              <w:rPr>
                <w:rFonts w:hint="default"/>
                <w:color w:val="auto"/>
                <w:sz w:val="21"/>
                <w:szCs w:val="21"/>
                <w:u w:val="none"/>
                <w:lang w:val="en-US" w:eastAsia="zh-CN"/>
              </w:rPr>
              <w:t>配电箱  PZ30 InA=250A-10A,Icw=6kA Ue=380 /220V, Ui=400V 50Hz IP30-操作面  IP20C 户内型</w:t>
            </w:r>
          </w:p>
          <w:p>
            <w:pPr>
              <w:pStyle w:val="2"/>
              <w:numPr>
                <w:ilvl w:val="0"/>
                <w:numId w:val="0"/>
              </w:numPr>
              <w:spacing w:line="240" w:lineRule="auto"/>
              <w:rPr>
                <w:rFonts w:hint="default"/>
                <w:color w:val="auto"/>
                <w:sz w:val="21"/>
                <w:szCs w:val="21"/>
                <w:u w:val="none"/>
                <w:lang w:val="en-US" w:eastAsia="zh-CN"/>
              </w:rPr>
            </w:pPr>
            <w:r>
              <w:rPr>
                <w:rFonts w:hint="eastAsia"/>
                <w:color w:val="auto"/>
                <w:sz w:val="21"/>
                <w:szCs w:val="21"/>
                <w:u w:val="none"/>
                <w:lang w:val="en-US" w:eastAsia="zh-CN"/>
              </w:rPr>
              <w:t>用能主要以电能消耗、以及办公用水消耗</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查现场用能情况：</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①装配人员进行配电柜电气安装，使用工具，电动改锥，</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用能为电力</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drawing>
                <wp:inline distT="0" distB="0" distL="114300" distR="114300">
                  <wp:extent cx="1183640" cy="1714500"/>
                  <wp:effectExtent l="0" t="0" r="10160" b="0"/>
                  <wp:docPr id="42" name="图片 42" descr="5a874b060ec6632f8883e97f099d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a874b060ec6632f8883e97f099d750"/>
                          <pic:cNvPicPr>
                            <a:picLocks noChangeAspect="1"/>
                          </pic:cNvPicPr>
                        </pic:nvPicPr>
                        <pic:blipFill>
                          <a:blip r:embed="rId12"/>
                          <a:stretch>
                            <a:fillRect/>
                          </a:stretch>
                        </pic:blipFill>
                        <pic:spPr>
                          <a:xfrm>
                            <a:off x="0" y="0"/>
                            <a:ext cx="1183640" cy="1714500"/>
                          </a:xfrm>
                          <a:prstGeom prst="rect">
                            <a:avLst/>
                          </a:prstGeom>
                        </pic:spPr>
                      </pic:pic>
                    </a:graphicData>
                  </a:graphic>
                </wp:inline>
              </w:drawing>
            </w:r>
            <w:r>
              <w:rPr>
                <w:rFonts w:hint="eastAsia"/>
                <w:color w:val="auto"/>
                <w:sz w:val="21"/>
                <w:szCs w:val="21"/>
                <w:u w:val="none"/>
                <w:lang w:val="en-US" w:eastAsia="zh-CN"/>
              </w:rPr>
              <w:t xml:space="preserve"> </w:t>
            </w:r>
            <w:r>
              <w:rPr>
                <w:rFonts w:hint="default"/>
                <w:color w:val="auto"/>
                <w:sz w:val="21"/>
                <w:szCs w:val="21"/>
                <w:u w:val="none"/>
                <w:lang w:val="en-US" w:eastAsia="zh-CN"/>
              </w:rPr>
              <w:drawing>
                <wp:inline distT="0" distB="0" distL="114300" distR="114300">
                  <wp:extent cx="1307465" cy="1728470"/>
                  <wp:effectExtent l="0" t="0" r="635" b="11430"/>
                  <wp:docPr id="43" name="图片 43" descr="5a51607fb68f92eb3bf44d337834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5a51607fb68f92eb3bf44d3378348d7"/>
                          <pic:cNvPicPr>
                            <a:picLocks noChangeAspect="1"/>
                          </pic:cNvPicPr>
                        </pic:nvPicPr>
                        <pic:blipFill>
                          <a:blip r:embed="rId13"/>
                          <a:stretch>
                            <a:fillRect/>
                          </a:stretch>
                        </pic:blipFill>
                        <pic:spPr>
                          <a:xfrm>
                            <a:off x="0" y="0"/>
                            <a:ext cx="1307465" cy="1728470"/>
                          </a:xfrm>
                          <a:prstGeom prst="rect">
                            <a:avLst/>
                          </a:prstGeom>
                        </pic:spPr>
                      </pic:pic>
                    </a:graphicData>
                  </a:graphic>
                </wp:inline>
              </w:drawing>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② 人员在进行端子压接：</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使用工具：抽风机、压线机</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用能情况：电能</w:t>
            </w:r>
          </w:p>
          <w:p>
            <w:pPr>
              <w:pStyle w:val="2"/>
              <w:numPr>
                <w:ilvl w:val="0"/>
                <w:numId w:val="0"/>
              </w:numPr>
              <w:spacing w:line="240" w:lineRule="auto"/>
              <w:rPr>
                <w:rFonts w:hint="eastAsia" w:ascii="宋体" w:hAnsi="宋体"/>
                <w:color w:val="auto"/>
                <w:sz w:val="21"/>
                <w:szCs w:val="21"/>
                <w:u w:val="none"/>
                <w:lang w:val="en-US" w:eastAsia="zh-CN"/>
              </w:rPr>
            </w:pPr>
            <w:r>
              <w:rPr>
                <w:rFonts w:hint="eastAsia"/>
                <w:color w:val="auto"/>
                <w:sz w:val="21"/>
                <w:szCs w:val="21"/>
                <w:u w:val="none"/>
                <w:lang w:val="en-US" w:eastAsia="zh-CN"/>
              </w:rPr>
              <w:t>③ 铜排加工 设备：</w:t>
            </w:r>
            <w:r>
              <w:rPr>
                <w:rFonts w:hint="eastAsia" w:ascii="宋体" w:hAnsi="宋体"/>
                <w:color w:val="auto"/>
                <w:sz w:val="21"/>
                <w:szCs w:val="21"/>
                <w:u w:val="none"/>
              </w:rPr>
              <w:t>三工位汇流排（母线）加工机</w:t>
            </w:r>
            <w:r>
              <w:rPr>
                <w:rFonts w:hint="eastAsia" w:ascii="宋体" w:hAnsi="宋体"/>
                <w:color w:val="auto"/>
                <w:sz w:val="21"/>
                <w:szCs w:val="21"/>
                <w:u w:val="none"/>
                <w:lang w:eastAsia="zh-CN"/>
              </w:rPr>
              <w:t>、</w:t>
            </w:r>
            <w:r>
              <w:rPr>
                <w:rFonts w:hint="eastAsia" w:ascii="宋体" w:hAnsi="宋体"/>
                <w:color w:val="auto"/>
                <w:sz w:val="21"/>
                <w:szCs w:val="21"/>
                <w:u w:val="none"/>
                <w:lang w:val="en-US" w:eastAsia="zh-CN"/>
              </w:rPr>
              <w:t xml:space="preserve">折弯机、剪板机  </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用能情况：电能</w:t>
            </w:r>
          </w:p>
          <w:p>
            <w:pPr>
              <w:pStyle w:val="2"/>
              <w:numPr>
                <w:ilvl w:val="0"/>
                <w:numId w:val="0"/>
              </w:numPr>
              <w:spacing w:line="240" w:lineRule="auto"/>
              <w:rPr>
                <w:rFonts w:hint="default"/>
                <w:b w:val="0"/>
                <w:bCs w:val="0"/>
                <w:color w:val="auto"/>
                <w:sz w:val="21"/>
                <w:szCs w:val="21"/>
                <w:u w:val="none"/>
                <w:lang w:val="en-US" w:eastAsia="zh-CN"/>
              </w:rPr>
            </w:pPr>
            <w:r>
              <w:rPr>
                <w:rFonts w:hint="eastAsia"/>
                <w:b w:val="0"/>
                <w:bCs w:val="0"/>
                <w:color w:val="auto"/>
                <w:sz w:val="21"/>
                <w:szCs w:val="21"/>
                <w:u w:val="none"/>
                <w:lang w:val="en-US" w:eastAsia="zh-CN"/>
              </w:rPr>
              <w:t>二、</w:t>
            </w:r>
            <w:r>
              <w:rPr>
                <w:rFonts w:hint="eastAsia" w:ascii="宋体" w:hAnsi="宋体" w:cs="宋体"/>
                <w:b w:val="0"/>
                <w:bCs w:val="0"/>
                <w:color w:val="auto"/>
                <w:kern w:val="0"/>
                <w:sz w:val="21"/>
                <w:szCs w:val="21"/>
                <w:u w:val="none"/>
              </w:rPr>
              <w:t>仪器仪表设备（含压力仪表、温度仪表、含水分析仪表、液位计、流量类仪表及装置、载荷传感器、振动传感器、位移传感器、油井RTU及远程终端控制模块、油田采出水水质在线分析仪、电力有源滤波器）的设计生产</w:t>
            </w:r>
          </w:p>
          <w:p>
            <w:pPr>
              <w:pStyle w:val="2"/>
              <w:numPr>
                <w:ilvl w:val="0"/>
                <w:numId w:val="0"/>
              </w:numPr>
              <w:spacing w:line="240" w:lineRule="auto"/>
              <w:rPr>
                <w:rFonts w:hint="eastAsia"/>
                <w:color w:val="auto"/>
                <w:sz w:val="21"/>
                <w:szCs w:val="21"/>
                <w:u w:val="none"/>
                <w:lang w:val="en-US" w:eastAsia="zh-CN"/>
              </w:rPr>
            </w:pPr>
            <w:r>
              <w:rPr>
                <w:rFonts w:hint="eastAsia" w:ascii="宋体" w:hAnsi="宋体" w:cs="宋体"/>
                <w:b w:val="0"/>
                <w:bCs w:val="0"/>
                <w:color w:val="auto"/>
                <w:kern w:val="0"/>
                <w:sz w:val="21"/>
                <w:szCs w:val="21"/>
                <w:u w:val="none"/>
                <w:lang w:val="en-US" w:eastAsia="zh-CN"/>
              </w:rPr>
              <w:t>厂址位于：</w:t>
            </w:r>
            <w:r>
              <w:rPr>
                <w:rFonts w:hint="eastAsia"/>
                <w:color w:val="auto"/>
                <w:sz w:val="21"/>
                <w:szCs w:val="21"/>
                <w:u w:val="none"/>
              </w:rPr>
              <w:t>仪表生产车间</w:t>
            </w:r>
            <w:r>
              <w:rPr>
                <w:rFonts w:hint="eastAsia"/>
                <w:color w:val="auto"/>
                <w:sz w:val="21"/>
                <w:szCs w:val="21"/>
                <w:u w:val="none"/>
                <w:lang w:val="en-US" w:eastAsia="zh-CN"/>
              </w:rPr>
              <w:t xml:space="preserve">  </w:t>
            </w:r>
            <w:r>
              <w:rPr>
                <w:rFonts w:hint="eastAsia"/>
                <w:color w:val="auto"/>
                <w:sz w:val="21"/>
                <w:szCs w:val="21"/>
                <w:u w:val="none"/>
              </w:rPr>
              <w:t>河口区公园街北首</w:t>
            </w:r>
            <w:r>
              <w:rPr>
                <w:rFonts w:hint="eastAsia"/>
                <w:color w:val="auto"/>
                <w:sz w:val="21"/>
                <w:szCs w:val="21"/>
                <w:u w:val="none"/>
                <w:lang w:val="en-US" w:eastAsia="zh-CN"/>
              </w:rPr>
              <w:t xml:space="preserve"> 厂房面积：1500平米</w:t>
            </w:r>
          </w:p>
          <w:p>
            <w:pPr>
              <w:pStyle w:val="2"/>
              <w:numPr>
                <w:ilvl w:val="0"/>
                <w:numId w:val="0"/>
              </w:numPr>
              <w:spacing w:line="240" w:lineRule="auto"/>
              <w:rPr>
                <w:rFonts w:hint="default"/>
                <w:color w:val="auto"/>
                <w:sz w:val="21"/>
                <w:szCs w:val="21"/>
                <w:u w:val="none"/>
                <w:lang w:val="en-US" w:eastAsia="zh-CN"/>
              </w:rPr>
            </w:pPr>
            <w:r>
              <w:rPr>
                <w:rFonts w:hint="eastAsia"/>
                <w:color w:val="auto"/>
                <w:sz w:val="21"/>
                <w:szCs w:val="21"/>
                <w:u w:val="none"/>
                <w:lang w:val="en-US" w:eastAsia="zh-CN"/>
              </w:rPr>
              <w:t>主要从事电柜安装，</w:t>
            </w:r>
            <w:r>
              <w:rPr>
                <w:rFonts w:hint="eastAsia"/>
                <w:color w:val="auto"/>
                <w:sz w:val="21"/>
                <w:szCs w:val="21"/>
                <w:highlight w:val="none"/>
                <w:u w:val="none"/>
                <w:lang w:val="en-US" w:eastAsia="zh-CN"/>
              </w:rPr>
              <w:t>2021年共生产各类仪器仪表产品年产3000台,2022年1-11月份生产各类仪器仪表产品年产2600台。主要</w:t>
            </w:r>
            <w:r>
              <w:rPr>
                <w:rFonts w:hint="eastAsia"/>
                <w:color w:val="auto"/>
                <w:sz w:val="21"/>
                <w:szCs w:val="21"/>
                <w:u w:val="none"/>
                <w:lang w:val="en-US" w:eastAsia="zh-CN"/>
              </w:rPr>
              <w:t>仪器仪表组装</w:t>
            </w:r>
          </w:p>
          <w:p>
            <w:pPr>
              <w:pStyle w:val="2"/>
              <w:numPr>
                <w:ilvl w:val="0"/>
                <w:numId w:val="0"/>
              </w:numPr>
              <w:spacing w:line="240" w:lineRule="auto"/>
              <w:rPr>
                <w:rFonts w:hint="default"/>
                <w:color w:val="auto"/>
                <w:sz w:val="21"/>
                <w:szCs w:val="21"/>
                <w:u w:val="none"/>
                <w:lang w:val="en-US" w:eastAsia="zh-CN"/>
              </w:rPr>
            </w:pPr>
            <w:r>
              <w:rPr>
                <w:rFonts w:hint="eastAsia"/>
                <w:color w:val="auto"/>
                <w:sz w:val="21"/>
                <w:szCs w:val="21"/>
                <w:u w:val="none"/>
                <w:lang w:val="en-US" w:eastAsia="zh-CN"/>
              </w:rPr>
              <w:t>用能主要以电能消耗、以及办公用水消耗</w:t>
            </w:r>
          </w:p>
          <w:p>
            <w:pPr>
              <w:pStyle w:val="2"/>
              <w:numPr>
                <w:ilvl w:val="0"/>
                <w:numId w:val="0"/>
              </w:numPr>
              <w:spacing w:line="240" w:lineRule="auto"/>
              <w:rPr>
                <w:rFonts w:hint="eastAsia"/>
                <w:b w:val="0"/>
                <w:bCs w:val="0"/>
                <w:color w:val="auto"/>
                <w:sz w:val="21"/>
                <w:szCs w:val="21"/>
                <w:u w:val="none"/>
                <w:lang w:val="en-US" w:eastAsia="zh-CN"/>
              </w:rPr>
            </w:pPr>
            <w:r>
              <w:rPr>
                <w:rFonts w:hint="eastAsia" w:ascii="宋体" w:hAnsi="宋体" w:cs="宋体"/>
                <w:b w:val="0"/>
                <w:bCs w:val="0"/>
                <w:color w:val="auto"/>
                <w:kern w:val="0"/>
                <w:sz w:val="21"/>
                <w:szCs w:val="21"/>
                <w:u w:val="none"/>
              </w:rPr>
              <w:t>含压力仪表、温度仪表、含水分析仪表、液位计、流量类仪表及装置、载荷传感器、振动传感器、位移传感器、油井RTU及远程终端控制模块、油田采出水水质在线分析仪、电力有源滤波器</w:t>
            </w:r>
            <w:r>
              <w:rPr>
                <w:rFonts w:hint="eastAsia" w:ascii="宋体" w:hAnsi="宋体" w:cs="宋体"/>
                <w:b w:val="0"/>
                <w:bCs w:val="0"/>
                <w:color w:val="auto"/>
                <w:kern w:val="0"/>
                <w:sz w:val="21"/>
                <w:szCs w:val="21"/>
                <w:u w:val="none"/>
                <w:lang w:val="en-US" w:eastAsia="zh-CN"/>
              </w:rPr>
              <w:t>的生产工艺一直，该公司主要生产是装配</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查现场用能情况：</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①装配人员进行压力表安装，使用工具，电动改锥，</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用能为电力</w:t>
            </w:r>
          </w:p>
          <w:p>
            <w:pPr>
              <w:pStyle w:val="2"/>
              <w:numPr>
                <w:ilvl w:val="0"/>
                <w:numId w:val="0"/>
              </w:numPr>
              <w:spacing w:line="240" w:lineRule="auto"/>
              <w:rPr>
                <w:rFonts w:hint="eastAsia"/>
                <w:color w:val="auto"/>
                <w:sz w:val="21"/>
                <w:szCs w:val="21"/>
                <w:u w:val="none"/>
                <w:lang w:val="en-US" w:eastAsia="zh-CN"/>
              </w:rPr>
            </w:pPr>
            <w:r>
              <w:rPr>
                <w:rFonts w:hint="eastAsia" w:eastAsia="宋体"/>
                <w:color w:val="auto"/>
                <w:sz w:val="21"/>
                <w:szCs w:val="21"/>
                <w:u w:val="none"/>
                <w:lang w:val="en-US" w:eastAsia="zh-CN"/>
              </w:rPr>
              <w:drawing>
                <wp:inline distT="0" distB="0" distL="114300" distR="114300">
                  <wp:extent cx="1344930" cy="1807210"/>
                  <wp:effectExtent l="0" t="0" r="1270" b="8890"/>
                  <wp:docPr id="46" name="图片 46" descr="7c6faf2f53d8fa3b49d0260b1c56e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7c6faf2f53d8fa3b49d0260b1c56e7c"/>
                          <pic:cNvPicPr>
                            <a:picLocks noChangeAspect="1"/>
                          </pic:cNvPicPr>
                        </pic:nvPicPr>
                        <pic:blipFill>
                          <a:blip r:embed="rId14"/>
                          <a:stretch>
                            <a:fillRect/>
                          </a:stretch>
                        </pic:blipFill>
                        <pic:spPr>
                          <a:xfrm>
                            <a:off x="0" y="0"/>
                            <a:ext cx="1344930" cy="1807210"/>
                          </a:xfrm>
                          <a:prstGeom prst="rect">
                            <a:avLst/>
                          </a:prstGeom>
                        </pic:spPr>
                      </pic:pic>
                    </a:graphicData>
                  </a:graphic>
                </wp:inline>
              </w:drawing>
            </w:r>
          </w:p>
          <w:p>
            <w:pPr>
              <w:pStyle w:val="2"/>
              <w:numPr>
                <w:ilvl w:val="0"/>
                <w:numId w:val="0"/>
              </w:numPr>
              <w:spacing w:line="240" w:lineRule="auto"/>
              <w:rPr>
                <w:rFonts w:hint="default"/>
                <w:color w:val="auto"/>
                <w:sz w:val="21"/>
                <w:szCs w:val="21"/>
                <w:u w:val="none"/>
                <w:lang w:val="en-US" w:eastAsia="zh-CN"/>
              </w:rPr>
            </w:pPr>
            <w:r>
              <w:rPr>
                <w:rFonts w:hint="eastAsia"/>
                <w:color w:val="auto"/>
                <w:sz w:val="21"/>
                <w:szCs w:val="21"/>
                <w:u w:val="none"/>
                <w:lang w:val="en-US" w:eastAsia="zh-CN"/>
              </w:rPr>
              <w:t>②调试人员进行压力表检测，使用设备：智能伺服压力校验台、老化台</w:t>
            </w:r>
          </w:p>
          <w:p>
            <w:pPr>
              <w:pStyle w:val="2"/>
              <w:numPr>
                <w:ilvl w:val="0"/>
                <w:numId w:val="0"/>
              </w:numPr>
              <w:spacing w:line="240" w:lineRule="auto"/>
              <w:rPr>
                <w:rFonts w:hint="eastAsia"/>
                <w:color w:val="auto"/>
                <w:sz w:val="21"/>
                <w:szCs w:val="21"/>
                <w:u w:val="none"/>
                <w:lang w:val="en-US" w:eastAsia="zh-CN"/>
              </w:rPr>
            </w:pPr>
            <w:r>
              <w:rPr>
                <w:rFonts w:hint="eastAsia"/>
                <w:color w:val="auto"/>
                <w:sz w:val="21"/>
                <w:szCs w:val="21"/>
                <w:u w:val="none"/>
                <w:lang w:val="en-US" w:eastAsia="zh-CN"/>
              </w:rPr>
              <w:t>用能为电力</w:t>
            </w:r>
          </w:p>
          <w:p>
            <w:pPr>
              <w:pStyle w:val="2"/>
              <w:numPr>
                <w:ilvl w:val="0"/>
                <w:numId w:val="0"/>
              </w:numPr>
              <w:spacing w:line="240" w:lineRule="auto"/>
              <w:rPr>
                <w:rFonts w:hint="eastAsia"/>
                <w:color w:val="auto"/>
                <w:sz w:val="21"/>
                <w:szCs w:val="21"/>
                <w:u w:val="none"/>
                <w:lang w:val="en-US" w:eastAsia="zh-CN"/>
              </w:rPr>
            </w:pPr>
            <w:r>
              <w:rPr>
                <w:rFonts w:hint="eastAsia" w:eastAsia="宋体"/>
                <w:color w:val="auto"/>
                <w:sz w:val="21"/>
                <w:szCs w:val="21"/>
                <w:u w:val="none"/>
                <w:lang w:val="en-US" w:eastAsia="zh-CN"/>
              </w:rPr>
              <w:drawing>
                <wp:inline distT="0" distB="0" distL="114300" distR="114300">
                  <wp:extent cx="1188085" cy="1506220"/>
                  <wp:effectExtent l="0" t="0" r="5715" b="5080"/>
                  <wp:docPr id="44" name="图片 44" descr="130192932ca5b075c4f2a9d2fa9b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30192932ca5b075c4f2a9d2fa9bdd1"/>
                          <pic:cNvPicPr>
                            <a:picLocks noChangeAspect="1"/>
                          </pic:cNvPicPr>
                        </pic:nvPicPr>
                        <pic:blipFill>
                          <a:blip r:embed="rId15"/>
                          <a:stretch>
                            <a:fillRect/>
                          </a:stretch>
                        </pic:blipFill>
                        <pic:spPr>
                          <a:xfrm>
                            <a:off x="0" y="0"/>
                            <a:ext cx="1188085" cy="1506220"/>
                          </a:xfrm>
                          <a:prstGeom prst="rect">
                            <a:avLst/>
                          </a:prstGeom>
                        </pic:spPr>
                      </pic:pic>
                    </a:graphicData>
                  </a:graphic>
                </wp:inline>
              </w:drawing>
            </w:r>
            <w:r>
              <w:rPr>
                <w:rFonts w:hint="eastAsia" w:eastAsia="宋体"/>
                <w:color w:val="auto"/>
                <w:sz w:val="21"/>
                <w:szCs w:val="21"/>
                <w:u w:val="none"/>
                <w:lang w:val="en-US" w:eastAsia="zh-CN"/>
              </w:rPr>
              <w:t xml:space="preserve"> </w:t>
            </w:r>
            <w:r>
              <w:rPr>
                <w:rFonts w:hint="default"/>
                <w:color w:val="auto"/>
                <w:sz w:val="21"/>
                <w:szCs w:val="21"/>
                <w:u w:val="none"/>
                <w:lang w:val="en-US" w:eastAsia="zh-CN"/>
              </w:rPr>
              <w:drawing>
                <wp:inline distT="0" distB="0" distL="114300" distR="114300">
                  <wp:extent cx="1122045" cy="1550035"/>
                  <wp:effectExtent l="0" t="0" r="8255" b="12065"/>
                  <wp:docPr id="45" name="图片 45" descr="9a1718c71e06cf2f24c7cfbfe3c7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9a1718c71e06cf2f24c7cfbfe3c7e59"/>
                          <pic:cNvPicPr>
                            <a:picLocks noChangeAspect="1"/>
                          </pic:cNvPicPr>
                        </pic:nvPicPr>
                        <pic:blipFill>
                          <a:blip r:embed="rId16"/>
                          <a:stretch>
                            <a:fillRect/>
                          </a:stretch>
                        </pic:blipFill>
                        <pic:spPr>
                          <a:xfrm>
                            <a:off x="0" y="0"/>
                            <a:ext cx="1122045" cy="1550035"/>
                          </a:xfrm>
                          <a:prstGeom prst="rect">
                            <a:avLst/>
                          </a:prstGeom>
                        </pic:spPr>
                      </pic:pic>
                    </a:graphicData>
                  </a:graphic>
                </wp:inline>
              </w:drawing>
            </w:r>
          </w:p>
          <w:p>
            <w:pPr>
              <w:pStyle w:val="2"/>
              <w:numPr>
                <w:ilvl w:val="0"/>
                <w:numId w:val="0"/>
              </w:numPr>
              <w:spacing w:line="240" w:lineRule="auto"/>
              <w:rPr>
                <w:rFonts w:hint="default" w:ascii="宋体" w:hAnsi="宋体" w:cs="宋体"/>
                <w:color w:val="auto"/>
                <w:kern w:val="2"/>
                <w:sz w:val="21"/>
                <w:szCs w:val="21"/>
                <w:u w:val="none"/>
                <w:lang w:val="en-US" w:eastAsia="zh-CN" w:bidi="ar-SA"/>
              </w:rPr>
            </w:pPr>
            <w:r>
              <w:rPr>
                <w:rFonts w:hint="eastAsia"/>
                <w:color w:val="auto"/>
                <w:sz w:val="21"/>
                <w:szCs w:val="21"/>
                <w:u w:val="none"/>
                <w:lang w:val="en-US" w:eastAsia="zh-CN"/>
              </w:rPr>
              <w:t>③设计用能情况：设计主要是办公设</w:t>
            </w:r>
            <w:r>
              <w:rPr>
                <w:rFonts w:hint="eastAsia" w:ascii="宋体" w:hAnsi="宋体" w:cs="宋体"/>
                <w:color w:val="auto"/>
                <w:kern w:val="2"/>
                <w:sz w:val="21"/>
                <w:szCs w:val="21"/>
                <w:u w:val="none"/>
                <w:lang w:val="en-US" w:eastAsia="zh-CN" w:bidi="ar-SA"/>
              </w:rPr>
              <w:t>备、电脑、计算机</w:t>
            </w:r>
          </w:p>
          <w:p>
            <w:pPr>
              <w:pStyle w:val="2"/>
              <w:numPr>
                <w:ilvl w:val="0"/>
                <w:numId w:val="0"/>
              </w:numPr>
              <w:spacing w:line="240" w:lineRule="auto"/>
              <w:rPr>
                <w:rFonts w:hint="default" w:ascii="宋体" w:hAnsi="宋体" w:cs="宋体"/>
                <w:color w:val="auto"/>
                <w:kern w:val="2"/>
                <w:sz w:val="21"/>
                <w:szCs w:val="21"/>
                <w:u w:val="none"/>
                <w:lang w:val="en-US" w:eastAsia="zh-CN" w:bidi="ar-SA"/>
              </w:rPr>
            </w:pPr>
            <w:r>
              <w:rPr>
                <w:rFonts w:hint="eastAsia" w:ascii="宋体" w:hAnsi="宋体" w:cs="宋体"/>
                <w:color w:val="auto"/>
                <w:kern w:val="2"/>
                <w:sz w:val="21"/>
                <w:szCs w:val="21"/>
                <w:u w:val="none"/>
                <w:lang w:val="en-US" w:eastAsia="zh-CN" w:bidi="ar-SA"/>
              </w:rPr>
              <w:t>用能为电力，现场查到设计人员进行压力仪表、温度仪表、含水分析仪表、液位计、流量类仪表及装置、载荷传感器、振动传感器、位移传感器、油井RTU及远程终端控制模块、油田采出水水质在线分析仪、电力有源滤波器的设计工作，设备运行正常</w:t>
            </w:r>
          </w:p>
          <w:p>
            <w:pPr>
              <w:pStyle w:val="2"/>
              <w:numPr>
                <w:ilvl w:val="0"/>
                <w:numId w:val="0"/>
              </w:numPr>
              <w:spacing w:line="240" w:lineRule="auto"/>
              <w:rPr>
                <w:rFonts w:hint="default" w:ascii="宋体" w:hAnsi="宋体" w:eastAsia="宋体" w:cs="宋体"/>
                <w:sz w:val="21"/>
                <w:szCs w:val="21"/>
                <w:u w:val="none"/>
                <w:lang w:val="en-US" w:eastAsia="zh-CN"/>
              </w:rPr>
            </w:pPr>
            <w:r>
              <w:rPr>
                <w:rFonts w:hint="eastAsia" w:ascii="宋体" w:hAnsi="宋体" w:cs="宋体"/>
                <w:color w:val="auto"/>
                <w:kern w:val="2"/>
                <w:sz w:val="21"/>
                <w:szCs w:val="21"/>
                <w:u w:val="none"/>
                <w:lang w:val="en-US" w:eastAsia="zh-CN" w:bidi="ar-SA"/>
              </w:rPr>
              <w:t>自动化设备处于正常运行状态、人员操作符合规定、生产记录内容符合规定、设备控制参数和显示参数正常、产品进出有序、各耗能设备运转正常；</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numPr>
                <w:ilvl w:val="0"/>
                <w:numId w:val="0"/>
              </w:numPr>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设计</w:t>
            </w:r>
          </w:p>
        </w:tc>
        <w:tc>
          <w:tcPr>
            <w:tcW w:w="960" w:type="dxa"/>
            <w:vAlign w:val="top"/>
          </w:tcPr>
          <w:p>
            <w:pPr>
              <w:numPr>
                <w:ilvl w:val="0"/>
                <w:numId w:val="0"/>
              </w:numPr>
              <w:spacing w:line="240" w:lineRule="auto"/>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8.2 </w:t>
            </w:r>
          </w:p>
          <w:p>
            <w:pPr>
              <w:numPr>
                <w:ilvl w:val="0"/>
                <w:numId w:val="0"/>
              </w:numPr>
              <w:spacing w:line="240" w:lineRule="auto"/>
              <w:ind w:left="0" w:leftChars="0" w:firstLine="0" w:firstLineChars="0"/>
              <w:rPr>
                <w:rFonts w:hint="eastAsia" w:ascii="宋体" w:hAnsi="宋体" w:eastAsia="宋体" w:cs="宋体"/>
                <w:color w:val="auto"/>
                <w:kern w:val="2"/>
                <w:sz w:val="21"/>
                <w:szCs w:val="21"/>
                <w:lang w:val="en-US" w:eastAsia="zh-CN" w:bidi="ar-SA"/>
              </w:rPr>
            </w:pPr>
          </w:p>
        </w:tc>
        <w:tc>
          <w:tcPr>
            <w:tcW w:w="10004" w:type="dxa"/>
            <w:vAlign w:val="top"/>
          </w:tcPr>
          <w:p>
            <w:pPr>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制定并执行《设计控制程序》，考虑能源性能改进机会和在设计新的、改进的和翻新的设施、设备、系统和能源使用过程时的操作控制，这些过程在计划或预期的使用寿命内可能对其能源性能产生重大影响。</w:t>
            </w:r>
          </w:p>
          <w:p>
            <w:pPr>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在适用的情况下，能源性能考虑的结果应纳入规范、设计和采购活动。</w:t>
            </w:r>
          </w:p>
          <w:p>
            <w:pPr>
              <w:spacing w:line="240" w:lineRule="auto"/>
              <w:rPr>
                <w:rFonts w:hint="eastAsia"/>
                <w:sz w:val="21"/>
                <w:szCs w:val="21"/>
                <w:lang w:val="en-US" w:eastAsia="zh-CN"/>
              </w:rPr>
            </w:pPr>
            <w:r>
              <w:rPr>
                <w:rFonts w:hint="eastAsia"/>
                <w:sz w:val="21"/>
                <w:szCs w:val="21"/>
                <w:lang w:val="en-US" w:eastAsia="zh-CN"/>
              </w:rPr>
              <w:t>公司实施的新改扩建项目在产品生产过程的设计或改进中应考虑能源的合理利用，以降低能源消耗提高能源利用效率。在进行公司新的生产系统、辅助系统以及生产工艺过程的设计或改进过程中，应充分考虑能源的合理利用，以降低能源消耗、提高能源利用效率和改进能源管理绩效。同时还应做到：确保符合国家相关能源法律法规和标准的要求；考虑所使用能源的种类、经济性、质量、环境影响，以及可获得性等；合理匹配生产、辅助各系统和设备设施，优化用能，从设计开始关注系统节能；借鉴节能新技术和方法、最佳节能实践与经验；利用新能源和可再生能源等。</w:t>
            </w:r>
          </w:p>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sz w:val="21"/>
                <w:szCs w:val="21"/>
                <w:lang w:val="en-US" w:eastAsia="zh-CN"/>
              </w:rPr>
            </w:pPr>
            <w:r>
              <w:rPr>
                <w:rFonts w:hint="eastAsia"/>
                <w:sz w:val="21"/>
                <w:szCs w:val="21"/>
                <w:lang w:val="en-US" w:eastAsia="zh-CN"/>
              </w:rPr>
              <w:t>在新项目设计实施前应由组织有关专家和部门进行有效的评审和确认。</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sz w:val="21"/>
                <w:szCs w:val="21"/>
              </w:rPr>
            </w:pPr>
            <w:r>
              <w:rPr>
                <w:rFonts w:hint="eastAsia"/>
                <w:sz w:val="21"/>
                <w:szCs w:val="21"/>
              </w:rPr>
              <w:sym w:font="Wingdings" w:char="00FE"/>
            </w:r>
            <w:r>
              <w:rPr>
                <w:rFonts w:hint="eastAsia"/>
                <w:sz w:val="21"/>
                <w:szCs w:val="21"/>
                <w:lang w:val="en-US" w:eastAsia="zh-CN"/>
              </w:rPr>
              <w:t xml:space="preserve">目前无设计和开发  </w:t>
            </w:r>
            <w:r>
              <w:rPr>
                <w:rFonts w:hint="eastAsia"/>
                <w:sz w:val="21"/>
                <w:szCs w:val="21"/>
              </w:rPr>
              <w:sym w:font="Wingdings" w:char="00A8"/>
            </w:r>
            <w:r>
              <w:rPr>
                <w:rFonts w:hint="eastAsia"/>
                <w:sz w:val="21"/>
                <w:szCs w:val="21"/>
                <w:lang w:val="en-US" w:eastAsia="zh-CN"/>
              </w:rPr>
              <w:t>有设计和开发</w:t>
            </w:r>
            <w:r>
              <w:rPr>
                <w:rFonts w:hint="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sz w:val="21"/>
                <w:szCs w:val="21"/>
              </w:rPr>
            </w:pPr>
            <w:r>
              <w:rPr>
                <w:rFonts w:hint="eastAsia"/>
                <w:sz w:val="21"/>
                <w:szCs w:val="21"/>
              </w:rPr>
              <w:t>目前进行设计开发项目的性质：</w:t>
            </w:r>
            <w:r>
              <w:rPr>
                <w:rFonts w:hint="eastAsia"/>
                <w:sz w:val="21"/>
                <w:szCs w:val="21"/>
              </w:rPr>
              <w:sym w:font="Wingdings" w:char="00A8"/>
            </w:r>
            <w:r>
              <w:rPr>
                <w:rFonts w:hint="eastAsia"/>
                <w:sz w:val="21"/>
                <w:szCs w:val="21"/>
              </w:rPr>
              <w:t xml:space="preserve">新产品 </w:t>
            </w:r>
            <w:r>
              <w:rPr>
                <w:rFonts w:hint="eastAsia"/>
                <w:sz w:val="21"/>
                <w:szCs w:val="21"/>
              </w:rPr>
              <w:sym w:font="Wingdings" w:char="00A8"/>
            </w:r>
            <w:r>
              <w:rPr>
                <w:rFonts w:hint="eastAsia"/>
                <w:sz w:val="21"/>
                <w:szCs w:val="21"/>
              </w:rPr>
              <w:t xml:space="preserve">新服务项目 </w:t>
            </w:r>
            <w:r>
              <w:rPr>
                <w:rFonts w:hint="eastAsia"/>
                <w:sz w:val="21"/>
                <w:szCs w:val="21"/>
              </w:rPr>
              <w:sym w:font="Wingdings" w:char="00A8"/>
            </w:r>
            <w:r>
              <w:rPr>
                <w:rFonts w:hint="eastAsia"/>
                <w:sz w:val="21"/>
                <w:szCs w:val="21"/>
              </w:rPr>
              <w:t>技术改进</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sz w:val="21"/>
                <w:szCs w:val="21"/>
              </w:rPr>
            </w:pPr>
            <w:r>
              <w:rPr>
                <w:rFonts w:hint="eastAsia"/>
                <w:sz w:val="21"/>
                <w:szCs w:val="21"/>
              </w:rPr>
              <w:t>设计开发的主体：</w:t>
            </w:r>
            <w:r>
              <w:rPr>
                <w:rFonts w:hint="eastAsia"/>
                <w:sz w:val="21"/>
                <w:szCs w:val="21"/>
              </w:rPr>
              <w:sym w:font="Wingdings" w:char="00A8"/>
            </w:r>
            <w:r>
              <w:rPr>
                <w:rFonts w:hint="eastAsia"/>
                <w:sz w:val="21"/>
                <w:szCs w:val="21"/>
              </w:rPr>
              <w:t xml:space="preserve">自主开发  </w:t>
            </w:r>
            <w:r>
              <w:rPr>
                <w:rFonts w:hint="eastAsia"/>
                <w:sz w:val="21"/>
                <w:szCs w:val="21"/>
              </w:rPr>
              <w:sym w:font="Wingdings" w:char="00A8"/>
            </w:r>
            <w:r>
              <w:rPr>
                <w:rFonts w:hint="eastAsia"/>
                <w:sz w:val="21"/>
                <w:szCs w:val="21"/>
              </w:rPr>
              <w:t xml:space="preserve">外包   </w:t>
            </w:r>
            <w:r>
              <w:rPr>
                <w:rFonts w:hint="eastAsia"/>
                <w:sz w:val="21"/>
                <w:szCs w:val="21"/>
              </w:rPr>
              <w:sym w:font="Wingdings" w:char="00A8"/>
            </w:r>
            <w:r>
              <w:rPr>
                <w:rFonts w:hint="eastAsia"/>
                <w:sz w:val="21"/>
                <w:szCs w:val="21"/>
              </w:rPr>
              <w:t>购买新</w:t>
            </w:r>
            <w:r>
              <w:rPr>
                <w:rFonts w:hint="eastAsia"/>
                <w:sz w:val="21"/>
                <w:szCs w:val="21"/>
                <w:lang w:val="en-US" w:eastAsia="zh-CN"/>
              </w:rPr>
              <w:t>产品</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cs="Times New Roman"/>
                <w:kern w:val="2"/>
                <w:sz w:val="21"/>
                <w:szCs w:val="21"/>
                <w:highlight w:val="none"/>
                <w:lang w:val="en-US" w:eastAsia="zh-CN" w:bidi="ar-SA"/>
              </w:rPr>
              <w:t>基本</w:t>
            </w:r>
            <w:r>
              <w:rPr>
                <w:rFonts w:hint="eastAsia" w:ascii="Times New Roman" w:hAnsi="Times New Roman" w:eastAsia="宋体" w:cs="Times New Roman"/>
                <w:kern w:val="2"/>
                <w:sz w:val="21"/>
                <w:szCs w:val="21"/>
                <w:highlight w:val="none"/>
                <w:lang w:val="en-US" w:eastAsia="zh-CN" w:bidi="ar-SA"/>
              </w:rPr>
              <w:t>满足要求。</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2160" w:type="dxa"/>
            <w:vAlign w:val="top"/>
          </w:tcPr>
          <w:p>
            <w:pPr>
              <w:numPr>
                <w:ilvl w:val="0"/>
                <w:numId w:val="0"/>
              </w:numPr>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 w:val="21"/>
                <w:szCs w:val="21"/>
                <w:lang w:val="en-US" w:eastAsia="zh-CN"/>
              </w:rPr>
              <w:t>收集能源数据的计划</w:t>
            </w:r>
          </w:p>
        </w:tc>
        <w:tc>
          <w:tcPr>
            <w:tcW w:w="960" w:type="dxa"/>
            <w:vAlign w:val="top"/>
          </w:tcPr>
          <w:p>
            <w:pPr>
              <w:numPr>
                <w:ilvl w:val="0"/>
                <w:numId w:val="0"/>
              </w:numPr>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6.6 </w:t>
            </w:r>
          </w:p>
          <w:p>
            <w:pPr>
              <w:numPr>
                <w:ilvl w:val="0"/>
                <w:numId w:val="0"/>
              </w:numPr>
              <w:ind w:left="0" w:leftChars="0" w:firstLine="0" w:firstLineChars="0"/>
              <w:rPr>
                <w:rFonts w:hint="eastAsia" w:ascii="宋体" w:hAnsi="宋体" w:eastAsia="宋体" w:cs="宋体"/>
                <w:color w:val="auto"/>
                <w:kern w:val="2"/>
                <w:sz w:val="21"/>
                <w:szCs w:val="21"/>
                <w:lang w:val="en-US" w:eastAsia="zh-CN" w:bidi="ar-SA"/>
              </w:rPr>
            </w:pPr>
          </w:p>
        </w:tc>
        <w:tc>
          <w:tcPr>
            <w:tcW w:w="10004" w:type="dxa"/>
            <w:vAlign w:val="top"/>
          </w:tcPr>
          <w:p>
            <w:pPr>
              <w:numPr>
                <w:ilvl w:val="0"/>
                <w:numId w:val="0"/>
              </w:numPr>
              <w:ind w:left="0" w:leftChars="0" w:firstLine="0" w:firstLineChars="0"/>
              <w:rPr>
                <w:rFonts w:hint="eastAsia"/>
                <w:lang w:val="en-US" w:eastAsia="zh-CN"/>
              </w:rPr>
            </w:pPr>
            <w:r>
              <w:rPr>
                <w:rFonts w:hint="eastAsia"/>
                <w:lang w:val="en-US" w:eastAsia="zh-CN"/>
              </w:rPr>
              <w:t>查组织编制了《数据收集计划》其中包括了“关于SEUs的相关变量、与SEUs和本组织有关的能源消耗、与SEUs有关的操作标准/运行准则、 静态因素、行动计划中制定的数据”等内容——查基本符合标准要求；</w:t>
            </w:r>
          </w:p>
          <w:p>
            <w:pPr>
              <w:numPr>
                <w:ilvl w:val="0"/>
                <w:numId w:val="0"/>
              </w:numPr>
              <w:ind w:left="0" w:leftChars="0" w:firstLine="0" w:firstLineChars="0"/>
              <w:rPr>
                <w:rFonts w:hint="eastAsia"/>
                <w:lang w:val="en-US" w:eastAsia="zh-CN"/>
              </w:rPr>
            </w:pPr>
            <w:r>
              <w:rPr>
                <w:rFonts w:hint="eastAsia"/>
                <w:lang w:val="en-US" w:eastAsia="zh-CN"/>
              </w:rPr>
              <w:t>公司按照国家的要求对能源计量进行了配备，现场查电流表、热量表等运行正常，满足要求。</w:t>
            </w:r>
          </w:p>
          <w:p>
            <w:pPr>
              <w:rPr>
                <w:rFonts w:hint="default"/>
                <w:szCs w:val="22"/>
                <w:lang w:val="en-US" w:eastAsia="zh-CN"/>
              </w:rPr>
            </w:pPr>
            <w:r>
              <w:rPr>
                <w:rFonts w:hint="eastAsia"/>
              </w:rPr>
              <w:t xml:space="preserve">了解用于能源计量资源种类： </w:t>
            </w:r>
            <w:r>
              <w:rPr>
                <w:rFonts w:hint="eastAsia"/>
                <w:szCs w:val="22"/>
                <w:lang w:val="en-US" w:eastAsia="zh-CN"/>
              </w:rPr>
              <w:t>水表、电表</w:t>
            </w:r>
          </w:p>
          <w:p>
            <w:pPr>
              <w:rPr>
                <w:rFonts w:hint="eastAsia"/>
                <w:lang w:val="en-US" w:eastAsia="zh-CN"/>
              </w:rPr>
            </w:pPr>
            <w:r>
              <w:rPr>
                <w:rFonts w:hint="eastAsia"/>
              </w:rPr>
              <w:sym w:font="Wingdings" w:char="00FE"/>
            </w:r>
            <w:r>
              <w:rPr>
                <w:rFonts w:hint="eastAsia"/>
              </w:rPr>
              <w:t xml:space="preserve">计量器具 ： </w:t>
            </w:r>
            <w:r>
              <w:rPr>
                <w:rFonts w:hint="eastAsia"/>
              </w:rPr>
              <w:sym w:font="Wingdings" w:char="00A8"/>
            </w:r>
            <w:r>
              <w:rPr>
                <w:rFonts w:hint="eastAsia"/>
              </w:rPr>
              <w:t xml:space="preserve">监视设备  </w:t>
            </w:r>
            <w:r>
              <w:rPr>
                <w:rFonts w:hint="eastAsia"/>
              </w:rPr>
              <w:sym w:font="Wingdings" w:char="00A8"/>
            </w:r>
          </w:p>
          <w:p>
            <w:pPr>
              <w:rPr>
                <w:rFonts w:hint="default"/>
                <w:szCs w:val="22"/>
                <w:lang w:val="en-US" w:eastAsia="zh-CN"/>
              </w:rPr>
            </w:pPr>
            <w:r>
              <w:rPr>
                <w:rFonts w:hint="eastAsia"/>
              </w:rPr>
              <w:t>监视设备：</w:t>
            </w:r>
            <w:r>
              <w:rPr>
                <w:rFonts w:hint="eastAsia"/>
              </w:rPr>
              <w:sym w:font="Wingdings" w:char="00FE"/>
            </w:r>
            <w:r>
              <w:rPr>
                <w:rFonts w:hint="eastAsia"/>
              </w:rPr>
              <w:t>定期验证的计划，频次：</w:t>
            </w:r>
            <w:r>
              <w:rPr>
                <w:rFonts w:hint="eastAsia"/>
                <w:szCs w:val="22"/>
                <w:lang w:val="en-US" w:eastAsia="zh-CN"/>
              </w:rPr>
              <w:t>由供方进行检验，但电表和水表的检定情况未能获取</w:t>
            </w:r>
          </w:p>
          <w:p>
            <w:pPr>
              <w:ind w:firstLine="1050" w:firstLineChars="500"/>
            </w:pPr>
            <w:r>
              <w:rPr>
                <w:rFonts w:hint="eastAsia"/>
              </w:rPr>
              <w:sym w:font="Wingdings" w:char="00A8"/>
            </w:r>
            <w:r>
              <w:rPr>
                <w:rFonts w:hint="eastAsia"/>
              </w:rPr>
              <w:t xml:space="preserve">抽查验证记录日期：                ；             ；               </w:t>
            </w:r>
          </w:p>
          <w:p>
            <w:pPr>
              <w:pStyle w:val="14"/>
              <w:rPr>
                <w:rFonts w:hint="eastAsia"/>
                <w:lang w:val="en-US" w:eastAsia="zh-CN"/>
              </w:rPr>
            </w:pPr>
            <w:r>
              <w:rPr>
                <w:rFonts w:hint="eastAsia"/>
              </w:rPr>
              <w:sym w:font="Wingdings" w:char="00A8"/>
            </w:r>
            <w:r>
              <w:rPr>
                <w:rFonts w:hint="eastAsia"/>
              </w:rPr>
              <w:t xml:space="preserve">按照验证计划实施 </w:t>
            </w:r>
            <w:r>
              <w:rPr>
                <w:rFonts w:hint="eastAsia"/>
              </w:rPr>
              <w:sym w:font="Wingdings" w:char="00A8"/>
            </w:r>
            <w:r>
              <w:rPr>
                <w:rFonts w:hint="eastAsia"/>
              </w:rPr>
              <w:t xml:space="preserve">未按照验证计划实施；说明  </w:t>
            </w:r>
          </w:p>
          <w:p>
            <w:r>
              <w:rPr>
                <w:rFonts w:hint="eastAsia"/>
              </w:rPr>
              <w:t>抽查内部校准情况；抽查《内部校准计划》  《校准规程》  《校准记录》</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657"/>
              <w:gridCol w:w="3389"/>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r>
                    <w:rPr>
                      <w:rFonts w:hint="eastAsia"/>
                    </w:rPr>
                    <w:t>计量器具名称</w:t>
                  </w:r>
                </w:p>
              </w:tc>
              <w:tc>
                <w:tcPr>
                  <w:tcW w:w="1657" w:type="dxa"/>
                </w:tcPr>
                <w:p>
                  <w:r>
                    <w:rPr>
                      <w:rFonts w:hint="eastAsia"/>
                    </w:rPr>
                    <w:t>校准日期</w:t>
                  </w:r>
                </w:p>
              </w:tc>
              <w:tc>
                <w:tcPr>
                  <w:tcW w:w="3389" w:type="dxa"/>
                </w:tcPr>
                <w:p>
                  <w:r>
                    <w:rPr>
                      <w:rFonts w:hint="eastAsia"/>
                    </w:rPr>
                    <w:t>计划期限至</w:t>
                  </w:r>
                </w:p>
              </w:tc>
              <w:tc>
                <w:tcPr>
                  <w:tcW w:w="1864"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restart"/>
                </w:tcPr>
                <w:p>
                  <w:pPr>
                    <w:rPr>
                      <w:rFonts w:hint="default" w:eastAsia="宋体"/>
                      <w:lang w:val="en-US" w:eastAsia="zh-CN"/>
                    </w:rPr>
                  </w:pPr>
                  <w:r>
                    <w:rPr>
                      <w:rFonts w:hint="eastAsia"/>
                      <w:lang w:val="en-US" w:eastAsia="zh-CN"/>
                    </w:rPr>
                    <w:t>电表</w:t>
                  </w:r>
                </w:p>
              </w:tc>
              <w:tc>
                <w:tcPr>
                  <w:tcW w:w="1657" w:type="dxa"/>
                </w:tcPr>
                <w:p>
                  <w:pPr>
                    <w:rPr>
                      <w:rFonts w:hint="default" w:eastAsia="宋体"/>
                      <w:lang w:val="en-US" w:eastAsia="zh-CN"/>
                    </w:rPr>
                  </w:pPr>
                  <w:r>
                    <w:rPr>
                      <w:rFonts w:hint="eastAsia"/>
                      <w:lang w:val="en-US" w:eastAsia="zh-CN"/>
                    </w:rPr>
                    <w:t>由供方校准</w:t>
                  </w:r>
                </w:p>
              </w:tc>
              <w:tc>
                <w:tcPr>
                  <w:tcW w:w="3389" w:type="dxa"/>
                  <w:vMerge w:val="restart"/>
                </w:tcPr>
                <w:p>
                  <w:pPr>
                    <w:rPr>
                      <w:rFonts w:hint="default"/>
                      <w:szCs w:val="22"/>
                      <w:lang w:val="en-US" w:eastAsia="zh-CN"/>
                    </w:rPr>
                  </w:pPr>
                  <w:r>
                    <w:rPr>
                      <w:rFonts w:hint="eastAsia"/>
                      <w:szCs w:val="22"/>
                      <w:lang w:val="en-US" w:eastAsia="zh-CN"/>
                    </w:rPr>
                    <w:t>企业介绍：公司用于贸易结算的供电供电局负责。资产归供方所有。用水企业自取。</w:t>
                  </w:r>
                </w:p>
                <w:p>
                  <w:pPr>
                    <w:pStyle w:val="14"/>
                    <w:ind w:left="0" w:leftChars="0" w:firstLine="0" w:firstLineChars="0"/>
                    <w:rPr>
                      <w:rFonts w:hint="default"/>
                      <w:lang w:val="en-US"/>
                    </w:rPr>
                  </w:pPr>
                  <w:r>
                    <w:rPr>
                      <w:rFonts w:hint="eastAsia" w:ascii="Times New Roman" w:hAnsi="Times New Roman" w:eastAsia="宋体" w:cs="Times New Roman"/>
                      <w:color w:val="auto"/>
                      <w:kern w:val="2"/>
                      <w:sz w:val="21"/>
                      <w:szCs w:val="22"/>
                      <w:lang w:val="en-US" w:eastAsia="zh-CN" w:bidi="ar-SA"/>
                    </w:rPr>
                    <w:t>生产过程安装的电表未进行校准和测试</w:t>
                  </w:r>
                  <w:r>
                    <w:rPr>
                      <w:rFonts w:hint="eastAsia" w:cs="Times New Roman"/>
                      <w:color w:val="auto"/>
                      <w:kern w:val="2"/>
                      <w:sz w:val="21"/>
                      <w:szCs w:val="22"/>
                      <w:lang w:val="en-US" w:eastAsia="zh-CN" w:bidi="ar-SA"/>
                    </w:rPr>
                    <w:t>，已沟通</w:t>
                  </w:r>
                </w:p>
              </w:tc>
              <w:tc>
                <w:tcPr>
                  <w:tcW w:w="1864" w:type="dxa"/>
                </w:tcPr>
                <w:p>
                  <w:r>
                    <w:rPr>
                      <w:rFonts w:hint="eastAsia"/>
                    </w:rPr>
                    <w:sym w:font="Wingdings" w:char="00FE"/>
                  </w:r>
                  <w:r>
                    <w:rPr>
                      <w:rFonts w:hint="eastAsia"/>
                      <w:lang w:val="en-US" w:eastAsia="zh-CN"/>
                    </w:rPr>
                    <w:t>企业</w:t>
                  </w:r>
                  <w:r>
                    <w:rPr>
                      <w:rFonts w:hint="eastAsia"/>
                    </w:rPr>
                    <w:t xml:space="preserve">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continue"/>
                </w:tcPr>
                <w:p>
                  <w:pPr>
                    <w:rPr>
                      <w:rFonts w:hint="default" w:eastAsia="宋体"/>
                      <w:lang w:val="en-US" w:eastAsia="zh-CN"/>
                    </w:rPr>
                  </w:pPr>
                </w:p>
              </w:tc>
              <w:tc>
                <w:tcPr>
                  <w:tcW w:w="1657" w:type="dxa"/>
                </w:tcPr>
                <w:p>
                  <w:r>
                    <w:rPr>
                      <w:rFonts w:hint="eastAsia"/>
                      <w:lang w:val="en-US" w:eastAsia="zh-CN"/>
                    </w:rPr>
                    <w:t>由供方校准</w:t>
                  </w:r>
                </w:p>
              </w:tc>
              <w:tc>
                <w:tcPr>
                  <w:tcW w:w="3389" w:type="dxa"/>
                  <w:vMerge w:val="continue"/>
                </w:tcPr>
                <w:p/>
              </w:tc>
              <w:tc>
                <w:tcPr>
                  <w:tcW w:w="1864" w:type="dxa"/>
                </w:tcPr>
                <w:p>
                  <w:r>
                    <w:rPr>
                      <w:rFonts w:hint="eastAsia"/>
                    </w:rPr>
                    <w:sym w:font="Wingdings" w:char="00FE"/>
                  </w:r>
                  <w:r>
                    <w:rPr>
                      <w:rFonts w:hint="eastAsia"/>
                      <w:lang w:val="en-US" w:eastAsia="zh-CN"/>
                    </w:rPr>
                    <w:t>企业</w:t>
                  </w:r>
                  <w:r>
                    <w:rPr>
                      <w:rFonts w:hint="eastAsia"/>
                    </w:rPr>
                    <w:t xml:space="preserve">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restart"/>
                </w:tcPr>
                <w:p>
                  <w:pPr>
                    <w:rPr>
                      <w:rFonts w:hint="eastAsia" w:eastAsia="宋体"/>
                      <w:lang w:val="en-US" w:eastAsia="zh-CN"/>
                    </w:rPr>
                  </w:pPr>
                  <w:r>
                    <w:rPr>
                      <w:rFonts w:hint="eastAsia"/>
                      <w:lang w:val="en-US" w:eastAsia="zh-CN"/>
                    </w:rPr>
                    <w:t>水表</w:t>
                  </w:r>
                </w:p>
              </w:tc>
              <w:tc>
                <w:tcPr>
                  <w:tcW w:w="1657" w:type="dxa"/>
                </w:tcPr>
                <w:p>
                  <w:r>
                    <w:rPr>
                      <w:rFonts w:hint="eastAsia"/>
                      <w:lang w:val="en-US" w:eastAsia="zh-CN"/>
                    </w:rPr>
                    <w:t>由供方校准</w:t>
                  </w:r>
                </w:p>
              </w:tc>
              <w:tc>
                <w:tcPr>
                  <w:tcW w:w="3389" w:type="dxa"/>
                  <w:vMerge w:val="continue"/>
                </w:tcPr>
                <w:p/>
              </w:tc>
              <w:tc>
                <w:tcPr>
                  <w:tcW w:w="1864" w:type="dxa"/>
                </w:tcPr>
                <w:p>
                  <w:r>
                    <w:rPr>
                      <w:rFonts w:hint="eastAsia"/>
                    </w:rPr>
                    <w:sym w:font="Wingdings" w:char="00FE"/>
                  </w:r>
                  <w:r>
                    <w:rPr>
                      <w:rFonts w:hint="eastAsia"/>
                      <w:lang w:val="en-US" w:eastAsia="zh-CN"/>
                    </w:rPr>
                    <w:t xml:space="preserve">企业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continue"/>
                </w:tcPr>
                <w:p>
                  <w:pPr>
                    <w:rPr>
                      <w:rFonts w:hint="eastAsia"/>
                      <w:lang w:val="en-US" w:eastAsia="zh-CN"/>
                    </w:rPr>
                  </w:pPr>
                </w:p>
              </w:tc>
              <w:tc>
                <w:tcPr>
                  <w:tcW w:w="1657" w:type="dxa"/>
                </w:tcPr>
                <w:p>
                  <w:r>
                    <w:rPr>
                      <w:rFonts w:hint="eastAsia"/>
                      <w:lang w:val="en-US" w:eastAsia="zh-CN"/>
                    </w:rPr>
                    <w:t>由供方校准，</w:t>
                  </w:r>
                </w:p>
              </w:tc>
              <w:tc>
                <w:tcPr>
                  <w:tcW w:w="3389" w:type="dxa"/>
                  <w:vMerge w:val="continue"/>
                </w:tcPr>
                <w:p/>
              </w:tc>
              <w:tc>
                <w:tcPr>
                  <w:tcW w:w="1864" w:type="dxa"/>
                </w:tcPr>
                <w:p>
                  <w:pPr>
                    <w:rPr>
                      <w:rFonts w:hint="eastAsia"/>
                    </w:rPr>
                  </w:pPr>
                </w:p>
              </w:tc>
            </w:tr>
          </w:tbl>
          <w:p>
            <w:pPr>
              <w:pStyle w:val="14"/>
              <w:ind w:left="0" w:leftChars="0" w:firstLine="0" w:firstLineChars="0"/>
              <w:rPr>
                <w:rFonts w:hint="eastAsia" w:ascii="宋体" w:hAnsi="宋体" w:cs="Times New Roman"/>
                <w:color w:val="0000FF"/>
                <w:kern w:val="2"/>
                <w:sz w:val="21"/>
                <w:szCs w:val="22"/>
                <w:lang w:val="en-US" w:eastAsia="zh-CN" w:bidi="ar-SA"/>
              </w:rPr>
            </w:pPr>
            <w:r>
              <w:rPr>
                <w:rFonts w:hint="eastAsia" w:ascii="宋体" w:hAnsi="宋体" w:cs="Times New Roman"/>
                <w:color w:val="auto"/>
                <w:kern w:val="2"/>
                <w:sz w:val="21"/>
                <w:szCs w:val="22"/>
                <w:lang w:val="en-US" w:eastAsia="zh-CN" w:bidi="ar-SA"/>
              </w:rPr>
              <w:t>计量器具校验还需要加强管理——问题项，已沟通。</w:t>
            </w:r>
          </w:p>
          <w:p>
            <w:pPr>
              <w:pStyle w:val="14"/>
              <w:ind w:left="0" w:leftChars="0" w:firstLine="0" w:firstLineChars="0"/>
              <w:rPr>
                <w:rFonts w:hint="eastAsia"/>
                <w:lang w:val="en-US" w:eastAsia="zh-CN"/>
              </w:rPr>
            </w:pPr>
            <w:r>
              <w:rPr>
                <w:rFonts w:hint="eastAsia" w:ascii="Times New Roman" w:hAnsi="Times New Roman" w:eastAsia="宋体" w:cs="Times New Roman"/>
                <w:kern w:val="2"/>
                <w:sz w:val="21"/>
                <w:szCs w:val="22"/>
                <w:lang w:val="en-US" w:eastAsia="zh-CN" w:bidi="ar-SA"/>
              </w:rPr>
              <w:t>生产中测量设备通常采用</w:t>
            </w:r>
            <w:r>
              <w:rPr>
                <w:rFonts w:hint="eastAsia" w:cs="Times New Roman"/>
                <w:kern w:val="2"/>
                <w:sz w:val="21"/>
                <w:szCs w:val="22"/>
                <w:lang w:val="en-US" w:eastAsia="zh-CN" w:bidi="ar-SA"/>
              </w:rPr>
              <w:t>电压表</w:t>
            </w:r>
            <w:r>
              <w:rPr>
                <w:rFonts w:hint="eastAsia" w:ascii="Times New Roman" w:hAnsi="Times New Roman" w:eastAsia="宋体" w:cs="Times New Roman"/>
                <w:kern w:val="2"/>
                <w:sz w:val="21"/>
                <w:szCs w:val="22"/>
                <w:lang w:val="en-US" w:eastAsia="zh-CN" w:bidi="ar-SA"/>
              </w:rPr>
              <w:t>、卷尺</w:t>
            </w:r>
            <w:r>
              <w:rPr>
                <w:rFonts w:hint="eastAsia" w:cs="Times New Roman"/>
                <w:kern w:val="2"/>
                <w:sz w:val="21"/>
                <w:szCs w:val="22"/>
                <w:lang w:val="en-US" w:eastAsia="zh-CN" w:bidi="ar-SA"/>
              </w:rPr>
              <w:t>、数字秒表、电阻测试仪</w:t>
            </w:r>
            <w:r>
              <w:rPr>
                <w:rFonts w:hint="eastAsia" w:ascii="Times New Roman" w:hAnsi="Times New Roman" w:eastAsia="宋体" w:cs="Times New Roman"/>
                <w:kern w:val="2"/>
                <w:sz w:val="21"/>
                <w:szCs w:val="22"/>
                <w:lang w:val="en-US" w:eastAsia="zh-CN" w:bidi="ar-SA"/>
              </w:rPr>
              <w:t>等进行产品的检验，</w:t>
            </w:r>
            <w:r>
              <w:rPr>
                <w:rFonts w:hint="eastAsia" w:eastAsia="宋体" w:cs="Times New Roman"/>
                <w:kern w:val="2"/>
                <w:sz w:val="21"/>
                <w:szCs w:val="22"/>
                <w:lang w:val="en-US" w:eastAsia="zh-CN" w:bidi="ar-SA"/>
              </w:rPr>
              <w:t>提供台账并</w:t>
            </w:r>
            <w:r>
              <w:rPr>
                <w:rFonts w:hint="eastAsia" w:ascii="Times New Roman" w:hAnsi="Times New Roman" w:eastAsia="宋体" w:cs="Times New Roman"/>
                <w:kern w:val="2"/>
                <w:sz w:val="21"/>
                <w:szCs w:val="22"/>
                <w:lang w:val="en-US" w:eastAsia="zh-CN" w:bidi="ar-SA"/>
              </w:rPr>
              <w:t>抽</w:t>
            </w:r>
            <w:r>
              <w:rPr>
                <w:rFonts w:hint="eastAsia" w:cs="Times New Roman"/>
                <w:kern w:val="2"/>
                <w:sz w:val="21"/>
                <w:szCs w:val="22"/>
                <w:lang w:val="en-US" w:eastAsia="zh-CN" w:bidi="ar-SA"/>
              </w:rPr>
              <w:t>取</w:t>
            </w:r>
            <w:r>
              <w:rPr>
                <w:rFonts w:hint="eastAsia" w:ascii="Times New Roman" w:hAnsi="Times New Roman" w:eastAsia="宋体" w:cs="Times New Roman"/>
                <w:kern w:val="2"/>
                <w:sz w:val="21"/>
                <w:szCs w:val="22"/>
                <w:lang w:val="en-US" w:eastAsia="zh-CN" w:bidi="ar-SA"/>
              </w:rPr>
              <w:t>校准报告</w:t>
            </w:r>
            <w:r>
              <w:rPr>
                <w:rFonts w:hint="eastAsia" w:cs="Times New Roman"/>
                <w:kern w:val="2"/>
                <w:sz w:val="21"/>
                <w:szCs w:val="22"/>
                <w:lang w:val="en-US" w:eastAsia="zh-CN" w:bidi="ar-SA"/>
              </w:rPr>
              <w:t>如下：</w:t>
            </w:r>
          </w:p>
          <w:p>
            <w:pPr>
              <w:pStyle w:val="20"/>
              <w:rPr>
                <w:rFonts w:hint="default"/>
                <w:lang w:val="en-US" w:eastAsia="zh-CN"/>
              </w:rPr>
            </w:pPr>
            <w:r>
              <w:rPr>
                <w:rFonts w:hint="eastAsia"/>
                <w:lang w:val="en-US" w:eastAsia="zh-CN"/>
              </w:rPr>
              <w:drawing>
                <wp:inline distT="0" distB="0" distL="114300" distR="114300">
                  <wp:extent cx="1951355" cy="1386840"/>
                  <wp:effectExtent l="0" t="0" r="4445" b="10160"/>
                  <wp:docPr id="49" name="图片 49" descr="167109640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671096400582"/>
                          <pic:cNvPicPr>
                            <a:picLocks noChangeAspect="1"/>
                          </pic:cNvPicPr>
                        </pic:nvPicPr>
                        <pic:blipFill>
                          <a:blip r:embed="rId17"/>
                          <a:stretch>
                            <a:fillRect/>
                          </a:stretch>
                        </pic:blipFill>
                        <pic:spPr>
                          <a:xfrm>
                            <a:off x="0" y="0"/>
                            <a:ext cx="1951355" cy="138684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547620" cy="1086485"/>
                  <wp:effectExtent l="0" t="0" r="5080" b="5715"/>
                  <wp:docPr id="50" name="图片 50" descr="167109643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1671096434189"/>
                          <pic:cNvPicPr>
                            <a:picLocks noChangeAspect="1"/>
                          </pic:cNvPicPr>
                        </pic:nvPicPr>
                        <pic:blipFill>
                          <a:blip r:embed="rId18"/>
                          <a:stretch>
                            <a:fillRect/>
                          </a:stretch>
                        </pic:blipFill>
                        <pic:spPr>
                          <a:xfrm>
                            <a:off x="0" y="0"/>
                            <a:ext cx="2547620" cy="1086485"/>
                          </a:xfrm>
                          <a:prstGeom prst="rect">
                            <a:avLst/>
                          </a:prstGeom>
                        </pic:spPr>
                      </pic:pic>
                    </a:graphicData>
                  </a:graphic>
                </wp:inline>
              </w:drawing>
            </w:r>
          </w:p>
          <w:p>
            <w:pPr>
              <w:pStyle w:val="20"/>
              <w:rPr>
                <w:rFonts w:hint="default"/>
                <w:lang w:val="en-US" w:eastAsia="zh-CN"/>
              </w:rPr>
            </w:pPr>
            <w:r>
              <w:rPr>
                <w:rFonts w:hint="eastAsia"/>
                <w:lang w:val="en-US" w:eastAsia="zh-CN"/>
              </w:rPr>
              <w:drawing>
                <wp:inline distT="0" distB="0" distL="114300" distR="114300">
                  <wp:extent cx="979805" cy="1410335"/>
                  <wp:effectExtent l="0" t="0" r="10795" b="12065"/>
                  <wp:docPr id="47" name="图片 47" descr="167109621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671096217698"/>
                          <pic:cNvPicPr>
                            <a:picLocks noChangeAspect="1"/>
                          </pic:cNvPicPr>
                        </pic:nvPicPr>
                        <pic:blipFill>
                          <a:blip r:embed="rId19"/>
                          <a:stretch>
                            <a:fillRect/>
                          </a:stretch>
                        </pic:blipFill>
                        <pic:spPr>
                          <a:xfrm>
                            <a:off x="0" y="0"/>
                            <a:ext cx="979805" cy="141033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093470" cy="1445260"/>
                  <wp:effectExtent l="0" t="0" r="11430" b="2540"/>
                  <wp:docPr id="48" name="图片 48" descr="167109625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71096257988"/>
                          <pic:cNvPicPr>
                            <a:picLocks noChangeAspect="1"/>
                          </pic:cNvPicPr>
                        </pic:nvPicPr>
                        <pic:blipFill>
                          <a:blip r:embed="rId20"/>
                          <a:stretch>
                            <a:fillRect/>
                          </a:stretch>
                        </pic:blipFill>
                        <pic:spPr>
                          <a:xfrm>
                            <a:off x="0" y="0"/>
                            <a:ext cx="1093470" cy="14452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046480" cy="1457960"/>
                  <wp:effectExtent l="0" t="0" r="7620" b="2540"/>
                  <wp:docPr id="51" name="图片 51" descr="167109685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1671096856014"/>
                          <pic:cNvPicPr>
                            <a:picLocks noChangeAspect="1"/>
                          </pic:cNvPicPr>
                        </pic:nvPicPr>
                        <pic:blipFill>
                          <a:blip r:embed="rId21"/>
                          <a:stretch>
                            <a:fillRect/>
                          </a:stretch>
                        </pic:blipFill>
                        <pic:spPr>
                          <a:xfrm>
                            <a:off x="0" y="0"/>
                            <a:ext cx="1046480" cy="14579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058545" cy="1418590"/>
                  <wp:effectExtent l="0" t="0" r="8255" b="3810"/>
                  <wp:docPr id="52" name="图片 52" descr="167109688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1671096889805"/>
                          <pic:cNvPicPr>
                            <a:picLocks noChangeAspect="1"/>
                          </pic:cNvPicPr>
                        </pic:nvPicPr>
                        <pic:blipFill>
                          <a:blip r:embed="rId22"/>
                          <a:stretch>
                            <a:fillRect/>
                          </a:stretch>
                        </pic:blipFill>
                        <pic:spPr>
                          <a:xfrm>
                            <a:off x="0" y="0"/>
                            <a:ext cx="1058545" cy="141859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41730" cy="1483360"/>
                  <wp:effectExtent l="0" t="0" r="1270" b="2540"/>
                  <wp:docPr id="53" name="图片 53" descr="167109693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1671096931026"/>
                          <pic:cNvPicPr>
                            <a:picLocks noChangeAspect="1"/>
                          </pic:cNvPicPr>
                        </pic:nvPicPr>
                        <pic:blipFill>
                          <a:blip r:embed="rId23"/>
                          <a:stretch>
                            <a:fillRect/>
                          </a:stretch>
                        </pic:blipFill>
                        <pic:spPr>
                          <a:xfrm>
                            <a:off x="0" y="0"/>
                            <a:ext cx="1141730" cy="1483360"/>
                          </a:xfrm>
                          <a:prstGeom prst="rect">
                            <a:avLst/>
                          </a:prstGeom>
                        </pic:spPr>
                      </pic:pic>
                    </a:graphicData>
                  </a:graphic>
                </wp:inline>
              </w:drawing>
            </w:r>
          </w:p>
          <w:p>
            <w:pPr>
              <w:pStyle w:val="20"/>
              <w:rPr>
                <w:rFonts w:hint="default"/>
                <w:lang w:val="en-US" w:eastAsia="zh-CN"/>
              </w:rPr>
            </w:pPr>
            <w:r>
              <w:rPr>
                <w:rFonts w:hint="eastAsia" w:ascii="Times New Roman" w:hAnsi="Times New Roman" w:eastAsia="宋体" w:cs="Times New Roman"/>
                <w:bCs/>
                <w:spacing w:val="10"/>
                <w:kern w:val="2"/>
                <w:sz w:val="21"/>
                <w:szCs w:val="22"/>
                <w:lang w:val="en-US" w:eastAsia="zh-CN" w:bidi="ar-SA"/>
              </w:rPr>
              <w:t>符合要求。</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能源评审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auto"/>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 xml:space="preserve">能源绩效参数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auto"/>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能源基准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auto"/>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lang w:val="en-US" w:eastAsia="zh-CN" w:bidi="ar-SA"/>
              </w:rPr>
            </w:pPr>
          </w:p>
        </w:tc>
        <w:tc>
          <w:tcPr>
            <w:tcW w:w="960" w:type="dxa"/>
            <w:vAlign w:val="top"/>
          </w:tcPr>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6.3 </w:t>
            </w:r>
          </w:p>
          <w:p>
            <w:pPr>
              <w:numPr>
                <w:ilvl w:val="0"/>
                <w:numId w:val="0"/>
              </w:numPr>
              <w:ind w:left="0" w:leftChars="0" w:firstLine="0" w:firstLineChars="0"/>
              <w:rPr>
                <w:rFonts w:hint="eastAsia" w:ascii="宋体" w:hAnsi="宋体" w:cs="宋体"/>
                <w:color w:val="auto"/>
                <w:sz w:val="21"/>
                <w:szCs w:val="21"/>
                <w:lang w:val="en-US" w:eastAsia="zh-CN"/>
              </w:rPr>
            </w:pP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w:t>
            </w: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6.4 </w:t>
            </w:r>
          </w:p>
          <w:p>
            <w:pPr>
              <w:numPr>
                <w:ilvl w:val="0"/>
                <w:numId w:val="0"/>
              </w:numPr>
              <w:ind w:left="0" w:leftChars="0" w:firstLine="0" w:firstLineChars="0"/>
              <w:rPr>
                <w:rFonts w:hint="eastAsia" w:ascii="宋体" w:hAnsi="宋体" w:cs="宋体"/>
                <w:color w:val="auto"/>
                <w:sz w:val="21"/>
                <w:szCs w:val="21"/>
                <w:lang w:val="en-US" w:eastAsia="zh-CN"/>
              </w:rPr>
            </w:pP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6.5</w:t>
            </w:r>
          </w:p>
          <w:p>
            <w:pPr>
              <w:numPr>
                <w:ilvl w:val="0"/>
                <w:numId w:val="0"/>
              </w:numPr>
              <w:ind w:left="0" w:leftChars="0" w:firstLine="0" w:firstLineChars="0"/>
              <w:rPr>
                <w:rFonts w:hint="eastAsia" w:ascii="宋体" w:hAnsi="宋体" w:cs="宋体"/>
                <w:color w:val="auto"/>
                <w:sz w:val="21"/>
                <w:szCs w:val="21"/>
                <w:lang w:val="en-US" w:eastAsia="zh-CN"/>
              </w:rPr>
            </w:pPr>
          </w:p>
          <w:p>
            <w:pPr>
              <w:numPr>
                <w:ilvl w:val="0"/>
                <w:numId w:val="0"/>
              </w:numPr>
              <w:ind w:left="0" w:leftChars="0" w:firstLine="0" w:firstLineChars="0"/>
              <w:rPr>
                <w:rFonts w:hint="eastAsia" w:ascii="宋体" w:hAnsi="宋体" w:cs="宋体"/>
                <w:color w:val="auto"/>
                <w:sz w:val="21"/>
                <w:szCs w:val="21"/>
                <w:lang w:val="en-US" w:eastAsia="zh-CN"/>
              </w:rPr>
            </w:pPr>
          </w:p>
          <w:p>
            <w:pPr>
              <w:numPr>
                <w:ilvl w:val="0"/>
                <w:numId w:val="0"/>
              </w:numPr>
              <w:ind w:left="0" w:leftChars="0" w:firstLine="0" w:firstLineChars="0"/>
              <w:rPr>
                <w:rFonts w:hint="eastAsia" w:ascii="宋体" w:hAnsi="宋体" w:cs="宋体"/>
                <w:color w:val="auto"/>
                <w:sz w:val="21"/>
                <w:szCs w:val="21"/>
                <w:lang w:val="en-US" w:eastAsia="zh-CN"/>
              </w:rPr>
            </w:pPr>
          </w:p>
          <w:p>
            <w:pPr>
              <w:numPr>
                <w:ilvl w:val="0"/>
                <w:numId w:val="0"/>
              </w:numPr>
              <w:ind w:left="0" w:leftChars="0" w:firstLine="0" w:firstLineChars="0"/>
              <w:rPr>
                <w:rFonts w:hint="eastAsia" w:ascii="宋体" w:hAnsi="宋体" w:cs="宋体"/>
                <w:color w:val="auto"/>
                <w:sz w:val="21"/>
                <w:szCs w:val="21"/>
                <w:lang w:val="en-US" w:eastAsia="zh-CN"/>
              </w:rPr>
            </w:pPr>
          </w:p>
          <w:p>
            <w:pPr>
              <w:numPr>
                <w:ilvl w:val="0"/>
                <w:numId w:val="0"/>
              </w:numPr>
              <w:ind w:left="0" w:leftChars="0" w:firstLine="0" w:firstLineChars="0"/>
              <w:rPr>
                <w:rFonts w:hint="eastAsia" w:ascii="宋体" w:hAnsi="宋体" w:cs="宋体"/>
                <w:color w:val="auto"/>
                <w:sz w:val="21"/>
                <w:szCs w:val="21"/>
                <w:lang w:val="en-US" w:eastAsia="zh-CN"/>
              </w:rPr>
            </w:pPr>
          </w:p>
          <w:p>
            <w:pPr>
              <w:numPr>
                <w:ilvl w:val="0"/>
                <w:numId w:val="0"/>
              </w:numPr>
              <w:ind w:left="0" w:leftChars="0" w:firstLine="0" w:firstLineChars="0"/>
              <w:rPr>
                <w:rFonts w:hint="eastAsia" w:ascii="宋体" w:hAnsi="宋体" w:cs="宋体"/>
                <w:color w:val="auto"/>
                <w:sz w:val="21"/>
                <w:szCs w:val="21"/>
                <w:lang w:val="en-US" w:eastAsia="zh-CN"/>
              </w:rPr>
            </w:pPr>
          </w:p>
          <w:p>
            <w:pPr>
              <w:numPr>
                <w:ilvl w:val="0"/>
                <w:numId w:val="0"/>
              </w:numPr>
              <w:ind w:left="0" w:leftChars="0" w:firstLine="0" w:firstLineChars="0"/>
              <w:rPr>
                <w:rFonts w:hint="eastAsia" w:ascii="宋体" w:hAnsi="宋体" w:cs="宋体"/>
                <w:color w:val="auto"/>
                <w:sz w:val="21"/>
                <w:szCs w:val="21"/>
                <w:lang w:val="en-US" w:eastAsia="zh-CN"/>
              </w:rPr>
            </w:pPr>
          </w:p>
          <w:p>
            <w:pPr>
              <w:numPr>
                <w:ilvl w:val="0"/>
                <w:numId w:val="0"/>
              </w:numPr>
              <w:ind w:left="0" w:leftChars="0" w:firstLine="0" w:firstLineChars="0"/>
              <w:rPr>
                <w:rFonts w:hint="eastAsia" w:ascii="宋体" w:hAnsi="宋体" w:eastAsia="宋体" w:cs="宋体"/>
                <w:color w:val="auto"/>
                <w:kern w:val="2"/>
                <w:sz w:val="21"/>
                <w:szCs w:val="21"/>
                <w:lang w:val="en-US" w:eastAsia="zh-CN" w:bidi="ar-SA"/>
              </w:rPr>
            </w:pPr>
          </w:p>
        </w:tc>
        <w:tc>
          <w:tcPr>
            <w:tcW w:w="10004" w:type="dxa"/>
            <w:vAlign w:val="top"/>
          </w:tcPr>
          <w:p>
            <w:pPr>
              <w:numPr>
                <w:ilvl w:val="0"/>
                <w:numId w:val="0"/>
              </w:numPr>
              <w:ind w:left="0" w:leftChars="0" w:firstLine="0" w:firstLineChars="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 xml:space="preserve">提供“初始能源评审”结论： </w:t>
            </w:r>
          </w:p>
          <w:p>
            <w:pPr>
              <w:numPr>
                <w:ilvl w:val="0"/>
                <w:numId w:val="4"/>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用能情况的描述：</w:t>
            </w: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主要耗能系统：日常办公用电、生活用水用电、出差办公用车、生产用水、用电；</w:t>
            </w:r>
          </w:p>
          <w:p>
            <w:pPr>
              <w:numPr>
                <w:ilvl w:val="0"/>
                <w:numId w:val="0"/>
              </w:numPr>
              <w:ind w:left="0" w:leftChars="0" w:firstLine="0" w:firstLineChars="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辅助及附属系统：无</w:t>
            </w: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2.确定SEUs：设计生产过程、余热利用过程；</w:t>
            </w: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3.相关变量：产值；</w:t>
            </w: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4.静态因素：季节、天气因素（雨雪）、人员状态等；</w:t>
            </w:r>
          </w:p>
          <w:p>
            <w:pPr>
              <w:numPr>
                <w:ilvl w:val="0"/>
                <w:numId w:val="0"/>
              </w:numPr>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highlight w:val="none"/>
                <w:lang w:val="en-US" w:eastAsia="zh-CN"/>
              </w:rPr>
              <w:t>确定2020年的能源绩效：</w:t>
            </w:r>
          </w:p>
          <w:p>
            <w:pPr>
              <w:numPr>
                <w:ilvl w:val="0"/>
                <w:numId w:val="0"/>
              </w:numPr>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年综合能耗：488.778tce；</w:t>
            </w:r>
          </w:p>
          <w:p>
            <w:pPr>
              <w:pStyle w:val="20"/>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rPr>
              <w:t>产值12000万元</w:t>
            </w:r>
          </w:p>
          <w:p>
            <w:pPr>
              <w:numPr>
                <w:ilvl w:val="0"/>
                <w:numId w:val="0"/>
              </w:numPr>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单位产值综合能耗：0.04kgce/万元</w:t>
            </w:r>
            <w:r>
              <w:rPr>
                <w:rFonts w:hint="eastAsia" w:ascii="宋体" w:hAnsi="宋体" w:cs="宋体"/>
                <w:color w:val="auto"/>
                <w:sz w:val="21"/>
                <w:szCs w:val="21"/>
                <w:highlight w:val="none"/>
                <w:lang w:val="en-US" w:eastAsia="zh-CN"/>
              </w:rPr>
              <w:t>；</w:t>
            </w:r>
          </w:p>
          <w:p>
            <w:pPr>
              <w:numPr>
                <w:ilvl w:val="0"/>
                <w:numId w:val="0"/>
              </w:numPr>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6.确定2021年的能源绩效：</w:t>
            </w:r>
          </w:p>
          <w:p>
            <w:pPr>
              <w:numPr>
                <w:ilvl w:val="0"/>
                <w:numId w:val="0"/>
              </w:numPr>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年综合能耗：496tce；</w:t>
            </w:r>
          </w:p>
          <w:p>
            <w:pPr>
              <w:pStyle w:val="20"/>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rPr>
              <w:t>产值8300万元；</w:t>
            </w:r>
          </w:p>
          <w:p>
            <w:pPr>
              <w:numPr>
                <w:ilvl w:val="0"/>
                <w:numId w:val="0"/>
              </w:numPr>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单位产值综合能耗：0.047tce/万元；</w:t>
            </w: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7.未来的能源使用和能源消耗：同现在；</w:t>
            </w: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二、绩效参数：</w:t>
            </w:r>
          </w:p>
          <w:p>
            <w:pPr>
              <w:numPr>
                <w:ilvl w:val="0"/>
                <w:numId w:val="0"/>
              </w:numPr>
              <w:ind w:left="0" w:leftChars="0" w:firstLine="0" w:firstLineChars="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 xml:space="preserve">公司级：tce、kgce/t </w:t>
            </w: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三、能源基准：</w:t>
            </w:r>
          </w:p>
          <w:p>
            <w:pPr>
              <w:numPr>
                <w:ilvl w:val="0"/>
                <w:numId w:val="0"/>
              </w:numPr>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1.基准年：2020；</w:t>
            </w:r>
          </w:p>
          <w:p>
            <w:pPr>
              <w:numPr>
                <w:ilvl w:val="0"/>
                <w:numId w:val="0"/>
              </w:numPr>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2.单位产值综合能耗：0.04（kgce/万元）</w:t>
            </w:r>
          </w:p>
          <w:p>
            <w:pPr>
              <w:numPr>
                <w:ilvl w:val="0"/>
                <w:numId w:val="0"/>
              </w:numPr>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四、节能量：</w:t>
            </w:r>
          </w:p>
          <w:p>
            <w:pPr>
              <w:numPr>
                <w:ilvl w:val="0"/>
                <w:numId w:val="0"/>
              </w:numPr>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-7.222吨标煤</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能源绩效和EnMS的监视、测量、分析和评价</w:t>
            </w:r>
          </w:p>
          <w:p>
            <w:pPr>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9.1.1</w:t>
            </w:r>
          </w:p>
          <w:p>
            <w:pPr>
              <w:rPr>
                <w:rFonts w:hint="eastAsia" w:ascii="宋体" w:hAnsi="宋体" w:eastAsia="宋体" w:cs="宋体"/>
                <w:color w:val="auto"/>
                <w:kern w:val="2"/>
                <w:sz w:val="21"/>
                <w:szCs w:val="21"/>
                <w:lang w:val="en-US" w:eastAsia="zh-CN" w:bidi="ar-SA"/>
              </w:rPr>
            </w:pPr>
          </w:p>
        </w:tc>
        <w:tc>
          <w:tcPr>
            <w:tcW w:w="10004" w:type="dxa"/>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查《能源监视测量程序》规定的监测项目包括 ：</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1.目标和能源指标（已经达成）；</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2.能源绩效参数EnPI（S）；</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3.主要能源使用（SEUs）的运行；</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4.实际能耗与预期能耗的对比评价；</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5.评价了其能源绩效和能源管理体系的有效性 。</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6-1.通过比较能源绩效参数值（EnPI值）和相应的能源基准（EnB）评价能源绩效的改进。</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6-2.（2021~2022年组织未发现能源绩效中出现重大偏差情况）；</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经查符合要求。 </w:t>
            </w:r>
          </w:p>
        </w:tc>
        <w:tc>
          <w:tcPr>
            <w:tcW w:w="1585" w:type="dxa"/>
          </w:tcPr>
          <w:p>
            <w:pPr>
              <w:rPr>
                <w:rFonts w:hint="eastAsia" w:eastAsia="宋体"/>
                <w:sz w:val="21"/>
                <w:szCs w:val="21"/>
                <w:lang w:val="en-US" w:eastAsia="zh-CN"/>
              </w:rPr>
            </w:pPr>
            <w:r>
              <w:rPr>
                <w:rFonts w:hint="eastAsia"/>
                <w:sz w:val="21"/>
                <w:szCs w:val="21"/>
                <w:lang w:val="en-US" w:eastAsia="zh-CN"/>
              </w:rPr>
              <w:t>Y</w:t>
            </w:r>
          </w:p>
        </w:tc>
      </w:tr>
    </w:tbl>
    <w:p>
      <w:pPr>
        <w:rPr>
          <w:rFonts w:hint="eastAsia" w:ascii="隶书" w:hAnsi="宋体" w:eastAsia="隶书"/>
          <w:bCs/>
          <w:color w:val="000000"/>
          <w:sz w:val="36"/>
          <w:szCs w:val="36"/>
        </w:rPr>
      </w:pPr>
      <w:r>
        <w:rPr>
          <w:rFonts w:hint="eastAsia"/>
        </w:rPr>
        <w:t>说明：不符合标注N</w:t>
      </w:r>
      <w:bookmarkStart w:id="4" w:name="_GoBack"/>
      <w:bookmarkEnd w:id="4"/>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77"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JB+ETYAAAACwEAAA8AAAAAAAAAAQAgAAAAIgAAAGRycy9kb3du&#10;cmV2LnhtbFBLAQIUABQAAAAIAIdO4kDQaYkZxgEAAHsDAAAOAAAAAAAAAAEAIAAAACcBAABkcnMv&#10;ZTJvRG9jLnhtbFBLBQYAAAAABgAGAFkBAABf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10"/>
      <w:pBdr>
        <w:bottom w:val="none" w:color="auto" w:sz="0" w:space="0"/>
      </w:pBdr>
      <w:spacing w:line="320" w:lineRule="exact"/>
      <w:ind w:firstLine="756" w:firstLineChars="400"/>
      <w:jc w:val="left"/>
    </w:pPr>
    <w:r>
      <w:rPr>
        <w:rStyle w:val="2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47D63"/>
    <w:multiLevelType w:val="singleLevel"/>
    <w:tmpl w:val="9E047D63"/>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00000015"/>
    <w:multiLevelType w:val="multilevel"/>
    <w:tmpl w:val="00000015"/>
    <w:lvl w:ilvl="0" w:tentative="0">
      <w:start w:val="1"/>
      <w:numFmt w:val="lowerLetter"/>
      <w:pStyle w:val="2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2B5E0D65"/>
    <w:multiLevelType w:val="singleLevel"/>
    <w:tmpl w:val="2B5E0D65"/>
    <w:lvl w:ilvl="0" w:tentative="0">
      <w:start w:val="1"/>
      <w:numFmt w:val="decimal"/>
      <w:lvlText w:val="%1."/>
      <w:lvlJc w:val="left"/>
      <w:pPr>
        <w:tabs>
          <w:tab w:val="left" w:pos="312"/>
        </w:tabs>
      </w:pPr>
    </w:lvl>
  </w:abstractNum>
  <w:abstractNum w:abstractNumId="3">
    <w:nsid w:val="73834641"/>
    <w:multiLevelType w:val="multilevel"/>
    <w:tmpl w:val="738346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3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OGY5MzIwYjM5OWFmZGI4MTBhODVhYjUzMzlkOTUifQ=="/>
  </w:docVars>
  <w:rsids>
    <w:rsidRoot w:val="00000000"/>
    <w:rsid w:val="00373163"/>
    <w:rsid w:val="00833284"/>
    <w:rsid w:val="009E37E5"/>
    <w:rsid w:val="00A43EAD"/>
    <w:rsid w:val="00B14EE5"/>
    <w:rsid w:val="00F53E32"/>
    <w:rsid w:val="011D53EA"/>
    <w:rsid w:val="017E3DB0"/>
    <w:rsid w:val="01C04F86"/>
    <w:rsid w:val="01CF1530"/>
    <w:rsid w:val="01DE515F"/>
    <w:rsid w:val="021B3B4C"/>
    <w:rsid w:val="02705A93"/>
    <w:rsid w:val="028F05B2"/>
    <w:rsid w:val="02D37A81"/>
    <w:rsid w:val="033F1C52"/>
    <w:rsid w:val="03B971B2"/>
    <w:rsid w:val="03BE3789"/>
    <w:rsid w:val="03C0720F"/>
    <w:rsid w:val="03DC2438"/>
    <w:rsid w:val="0486360C"/>
    <w:rsid w:val="04D07C7E"/>
    <w:rsid w:val="061439B5"/>
    <w:rsid w:val="06624DC0"/>
    <w:rsid w:val="0667442D"/>
    <w:rsid w:val="06E120F3"/>
    <w:rsid w:val="0719365E"/>
    <w:rsid w:val="07417436"/>
    <w:rsid w:val="077E3B54"/>
    <w:rsid w:val="07B60937"/>
    <w:rsid w:val="07CB1195"/>
    <w:rsid w:val="07D6381E"/>
    <w:rsid w:val="08465003"/>
    <w:rsid w:val="088D190A"/>
    <w:rsid w:val="09290183"/>
    <w:rsid w:val="098E31D7"/>
    <w:rsid w:val="099C2B1E"/>
    <w:rsid w:val="0A3123DC"/>
    <w:rsid w:val="0A486323"/>
    <w:rsid w:val="0A635A3D"/>
    <w:rsid w:val="0A82515C"/>
    <w:rsid w:val="0A9A614C"/>
    <w:rsid w:val="0AAC0660"/>
    <w:rsid w:val="0B774229"/>
    <w:rsid w:val="0BC26BF0"/>
    <w:rsid w:val="0BFB0478"/>
    <w:rsid w:val="0C2926E4"/>
    <w:rsid w:val="0CBC4BA9"/>
    <w:rsid w:val="0CC41AEA"/>
    <w:rsid w:val="0D1E160E"/>
    <w:rsid w:val="0D56453B"/>
    <w:rsid w:val="0D8F3697"/>
    <w:rsid w:val="0DA11E90"/>
    <w:rsid w:val="0DBD0513"/>
    <w:rsid w:val="0DC10540"/>
    <w:rsid w:val="0DCF4FC9"/>
    <w:rsid w:val="0DF3035E"/>
    <w:rsid w:val="0E0718B6"/>
    <w:rsid w:val="0E225B4A"/>
    <w:rsid w:val="0EA21AF8"/>
    <w:rsid w:val="0F9F2542"/>
    <w:rsid w:val="102006B1"/>
    <w:rsid w:val="10E35DEF"/>
    <w:rsid w:val="114C5F96"/>
    <w:rsid w:val="115C7DB5"/>
    <w:rsid w:val="118F65E6"/>
    <w:rsid w:val="11D658B4"/>
    <w:rsid w:val="11EC3BA9"/>
    <w:rsid w:val="12011276"/>
    <w:rsid w:val="12107727"/>
    <w:rsid w:val="12236435"/>
    <w:rsid w:val="12301FF6"/>
    <w:rsid w:val="12984E24"/>
    <w:rsid w:val="12D149BF"/>
    <w:rsid w:val="12E33173"/>
    <w:rsid w:val="13196F2B"/>
    <w:rsid w:val="132F7426"/>
    <w:rsid w:val="13477178"/>
    <w:rsid w:val="13DB1216"/>
    <w:rsid w:val="14851B53"/>
    <w:rsid w:val="14950295"/>
    <w:rsid w:val="149C7998"/>
    <w:rsid w:val="14B275DB"/>
    <w:rsid w:val="14B54A65"/>
    <w:rsid w:val="154761F4"/>
    <w:rsid w:val="15B200F0"/>
    <w:rsid w:val="15BB7172"/>
    <w:rsid w:val="15CE2D26"/>
    <w:rsid w:val="164158A1"/>
    <w:rsid w:val="16F75FE9"/>
    <w:rsid w:val="17102CA4"/>
    <w:rsid w:val="175A7373"/>
    <w:rsid w:val="17C80143"/>
    <w:rsid w:val="17F9781F"/>
    <w:rsid w:val="18793362"/>
    <w:rsid w:val="18B44D3D"/>
    <w:rsid w:val="18E11348"/>
    <w:rsid w:val="18E77279"/>
    <w:rsid w:val="18F16E26"/>
    <w:rsid w:val="19472E9F"/>
    <w:rsid w:val="198165E6"/>
    <w:rsid w:val="19C01A32"/>
    <w:rsid w:val="1A2C26F6"/>
    <w:rsid w:val="1A7B6000"/>
    <w:rsid w:val="1A7F37C2"/>
    <w:rsid w:val="1AA97D0F"/>
    <w:rsid w:val="1ADF238C"/>
    <w:rsid w:val="1B822BA2"/>
    <w:rsid w:val="1BA979E5"/>
    <w:rsid w:val="1BFA616B"/>
    <w:rsid w:val="1C3310EC"/>
    <w:rsid w:val="1C9A2B09"/>
    <w:rsid w:val="1CB66290"/>
    <w:rsid w:val="1CC80A08"/>
    <w:rsid w:val="1D0B7F72"/>
    <w:rsid w:val="1D2A6AB8"/>
    <w:rsid w:val="1E5310C7"/>
    <w:rsid w:val="1ED20B22"/>
    <w:rsid w:val="1F6E1F30"/>
    <w:rsid w:val="201E255B"/>
    <w:rsid w:val="217E04D3"/>
    <w:rsid w:val="229F5FF0"/>
    <w:rsid w:val="22EE13EB"/>
    <w:rsid w:val="22EE1FD0"/>
    <w:rsid w:val="23177672"/>
    <w:rsid w:val="234B0F30"/>
    <w:rsid w:val="23B0077F"/>
    <w:rsid w:val="23DF3620"/>
    <w:rsid w:val="2447030E"/>
    <w:rsid w:val="24B71C84"/>
    <w:rsid w:val="25B13F49"/>
    <w:rsid w:val="25D60939"/>
    <w:rsid w:val="26093C74"/>
    <w:rsid w:val="262238DA"/>
    <w:rsid w:val="268F5369"/>
    <w:rsid w:val="272F5836"/>
    <w:rsid w:val="277125BE"/>
    <w:rsid w:val="27DC65FE"/>
    <w:rsid w:val="284134E6"/>
    <w:rsid w:val="284B56E9"/>
    <w:rsid w:val="28D81B7D"/>
    <w:rsid w:val="28F94A33"/>
    <w:rsid w:val="29041774"/>
    <w:rsid w:val="29CE4600"/>
    <w:rsid w:val="29EE68B9"/>
    <w:rsid w:val="2B1739DD"/>
    <w:rsid w:val="2B3E2FBA"/>
    <w:rsid w:val="2B573DAA"/>
    <w:rsid w:val="2B6E2653"/>
    <w:rsid w:val="2B8175F8"/>
    <w:rsid w:val="2C9C3561"/>
    <w:rsid w:val="2CA45F3A"/>
    <w:rsid w:val="2D7A3A3A"/>
    <w:rsid w:val="2DAA2150"/>
    <w:rsid w:val="2F2A7EBA"/>
    <w:rsid w:val="2F38662D"/>
    <w:rsid w:val="2F466CDC"/>
    <w:rsid w:val="2FDE743C"/>
    <w:rsid w:val="303B7397"/>
    <w:rsid w:val="30547FDC"/>
    <w:rsid w:val="31344A06"/>
    <w:rsid w:val="3147160D"/>
    <w:rsid w:val="3199554C"/>
    <w:rsid w:val="31BD3593"/>
    <w:rsid w:val="320E3C68"/>
    <w:rsid w:val="32837E52"/>
    <w:rsid w:val="33103299"/>
    <w:rsid w:val="335A26AD"/>
    <w:rsid w:val="33775400"/>
    <w:rsid w:val="33805DE1"/>
    <w:rsid w:val="339758CB"/>
    <w:rsid w:val="33CC093E"/>
    <w:rsid w:val="33FA7C5F"/>
    <w:rsid w:val="34CB1130"/>
    <w:rsid w:val="34E53114"/>
    <w:rsid w:val="355A0925"/>
    <w:rsid w:val="35991338"/>
    <w:rsid w:val="359D0DF3"/>
    <w:rsid w:val="35C67F79"/>
    <w:rsid w:val="35F05C1F"/>
    <w:rsid w:val="36103827"/>
    <w:rsid w:val="36126196"/>
    <w:rsid w:val="366E1817"/>
    <w:rsid w:val="367900AF"/>
    <w:rsid w:val="36A22794"/>
    <w:rsid w:val="36CF348C"/>
    <w:rsid w:val="36DE62A9"/>
    <w:rsid w:val="36EA5EE9"/>
    <w:rsid w:val="36F51E71"/>
    <w:rsid w:val="36F948DF"/>
    <w:rsid w:val="371922FC"/>
    <w:rsid w:val="37577350"/>
    <w:rsid w:val="377C1237"/>
    <w:rsid w:val="379530C6"/>
    <w:rsid w:val="380939E1"/>
    <w:rsid w:val="38351ED1"/>
    <w:rsid w:val="383C6C49"/>
    <w:rsid w:val="38870F39"/>
    <w:rsid w:val="38A46AC5"/>
    <w:rsid w:val="38E15ACA"/>
    <w:rsid w:val="391E4C9C"/>
    <w:rsid w:val="39803EC1"/>
    <w:rsid w:val="3A155285"/>
    <w:rsid w:val="3BD63FE6"/>
    <w:rsid w:val="3C1557B6"/>
    <w:rsid w:val="3C4507D5"/>
    <w:rsid w:val="3C507BAC"/>
    <w:rsid w:val="3C581BEF"/>
    <w:rsid w:val="3CCC450D"/>
    <w:rsid w:val="3D1410C8"/>
    <w:rsid w:val="3D8E52AC"/>
    <w:rsid w:val="3DF74D1B"/>
    <w:rsid w:val="3E1B58A0"/>
    <w:rsid w:val="3EA26DAF"/>
    <w:rsid w:val="3EA62ED3"/>
    <w:rsid w:val="3EAF182F"/>
    <w:rsid w:val="3EB5698F"/>
    <w:rsid w:val="3EC34ABA"/>
    <w:rsid w:val="3F4C7DC5"/>
    <w:rsid w:val="3FC66401"/>
    <w:rsid w:val="3FF41D7D"/>
    <w:rsid w:val="3FF6392A"/>
    <w:rsid w:val="3FF93951"/>
    <w:rsid w:val="403B0F30"/>
    <w:rsid w:val="404519F4"/>
    <w:rsid w:val="4077613F"/>
    <w:rsid w:val="40BA0D6D"/>
    <w:rsid w:val="411C61E6"/>
    <w:rsid w:val="417A5FC0"/>
    <w:rsid w:val="42476F2A"/>
    <w:rsid w:val="42554C43"/>
    <w:rsid w:val="427C4756"/>
    <w:rsid w:val="42B749AD"/>
    <w:rsid w:val="432F3DB2"/>
    <w:rsid w:val="43BF6C09"/>
    <w:rsid w:val="442B4400"/>
    <w:rsid w:val="44446334"/>
    <w:rsid w:val="444E5D09"/>
    <w:rsid w:val="44B914B3"/>
    <w:rsid w:val="44F1365B"/>
    <w:rsid w:val="44FB129D"/>
    <w:rsid w:val="45946CD2"/>
    <w:rsid w:val="459D36E4"/>
    <w:rsid w:val="461027D4"/>
    <w:rsid w:val="46352363"/>
    <w:rsid w:val="46446364"/>
    <w:rsid w:val="46667330"/>
    <w:rsid w:val="46BD5764"/>
    <w:rsid w:val="470C5746"/>
    <w:rsid w:val="474E0AAD"/>
    <w:rsid w:val="47DC5BC5"/>
    <w:rsid w:val="47DF4F69"/>
    <w:rsid w:val="47E524E0"/>
    <w:rsid w:val="481B7C3D"/>
    <w:rsid w:val="484627C8"/>
    <w:rsid w:val="484F769A"/>
    <w:rsid w:val="4865696C"/>
    <w:rsid w:val="48CF43A7"/>
    <w:rsid w:val="48DD765B"/>
    <w:rsid w:val="494D6999"/>
    <w:rsid w:val="49626503"/>
    <w:rsid w:val="49702770"/>
    <w:rsid w:val="499A72FA"/>
    <w:rsid w:val="49C83E68"/>
    <w:rsid w:val="4A2910D0"/>
    <w:rsid w:val="4ABB2EEE"/>
    <w:rsid w:val="4B7637CB"/>
    <w:rsid w:val="4BBF129A"/>
    <w:rsid w:val="4C0629F4"/>
    <w:rsid w:val="4C4F5BD9"/>
    <w:rsid w:val="4C5F29D1"/>
    <w:rsid w:val="4C823861"/>
    <w:rsid w:val="4CA31F6E"/>
    <w:rsid w:val="4CFF13A0"/>
    <w:rsid w:val="4D0C3053"/>
    <w:rsid w:val="4DD728CB"/>
    <w:rsid w:val="4E08619A"/>
    <w:rsid w:val="4E3B00AF"/>
    <w:rsid w:val="4E7765B4"/>
    <w:rsid w:val="4E920EE8"/>
    <w:rsid w:val="4F714B84"/>
    <w:rsid w:val="4F9F566B"/>
    <w:rsid w:val="504A7E56"/>
    <w:rsid w:val="514069D9"/>
    <w:rsid w:val="51B8376E"/>
    <w:rsid w:val="521850C1"/>
    <w:rsid w:val="524449E2"/>
    <w:rsid w:val="5256365E"/>
    <w:rsid w:val="528C39F9"/>
    <w:rsid w:val="52A12CD7"/>
    <w:rsid w:val="53915C12"/>
    <w:rsid w:val="53AF762B"/>
    <w:rsid w:val="53C71F85"/>
    <w:rsid w:val="53FF42DB"/>
    <w:rsid w:val="540928DB"/>
    <w:rsid w:val="541C2725"/>
    <w:rsid w:val="54700952"/>
    <w:rsid w:val="551322A2"/>
    <w:rsid w:val="553125F3"/>
    <w:rsid w:val="556E1F98"/>
    <w:rsid w:val="559A44DB"/>
    <w:rsid w:val="562543F0"/>
    <w:rsid w:val="56254D39"/>
    <w:rsid w:val="565F1587"/>
    <w:rsid w:val="56B80109"/>
    <w:rsid w:val="57182DEC"/>
    <w:rsid w:val="57284198"/>
    <w:rsid w:val="572C3A40"/>
    <w:rsid w:val="57CA0BB9"/>
    <w:rsid w:val="57F87361"/>
    <w:rsid w:val="58193004"/>
    <w:rsid w:val="58205FEC"/>
    <w:rsid w:val="58214DBF"/>
    <w:rsid w:val="58215001"/>
    <w:rsid w:val="58645A2C"/>
    <w:rsid w:val="58940F63"/>
    <w:rsid w:val="58C06FF7"/>
    <w:rsid w:val="58CE6C09"/>
    <w:rsid w:val="58F33F69"/>
    <w:rsid w:val="59635E70"/>
    <w:rsid w:val="59C13E16"/>
    <w:rsid w:val="5A2249AB"/>
    <w:rsid w:val="5A391125"/>
    <w:rsid w:val="5A9B3411"/>
    <w:rsid w:val="5B5F3914"/>
    <w:rsid w:val="5B7C68DC"/>
    <w:rsid w:val="5C25328D"/>
    <w:rsid w:val="5CAC3BDF"/>
    <w:rsid w:val="5CC40A59"/>
    <w:rsid w:val="5D170F36"/>
    <w:rsid w:val="5D461ACD"/>
    <w:rsid w:val="5DAC7A6B"/>
    <w:rsid w:val="5DAE55F7"/>
    <w:rsid w:val="5DBE0D94"/>
    <w:rsid w:val="5DF04D09"/>
    <w:rsid w:val="5DF3340F"/>
    <w:rsid w:val="5ED34DAC"/>
    <w:rsid w:val="5EF77A6C"/>
    <w:rsid w:val="5F2E35DE"/>
    <w:rsid w:val="5F6B1143"/>
    <w:rsid w:val="5FE069A3"/>
    <w:rsid w:val="6031028F"/>
    <w:rsid w:val="60980AA8"/>
    <w:rsid w:val="60BF4B60"/>
    <w:rsid w:val="611A455B"/>
    <w:rsid w:val="613413C7"/>
    <w:rsid w:val="61630B06"/>
    <w:rsid w:val="61650413"/>
    <w:rsid w:val="616D3FA5"/>
    <w:rsid w:val="61973485"/>
    <w:rsid w:val="61F061BF"/>
    <w:rsid w:val="62404985"/>
    <w:rsid w:val="62662A7E"/>
    <w:rsid w:val="628A5575"/>
    <w:rsid w:val="635570EF"/>
    <w:rsid w:val="63C13A9B"/>
    <w:rsid w:val="63FA04DF"/>
    <w:rsid w:val="642E13EB"/>
    <w:rsid w:val="648C648D"/>
    <w:rsid w:val="64A50F4A"/>
    <w:rsid w:val="64A667F7"/>
    <w:rsid w:val="64B82FFF"/>
    <w:rsid w:val="65584A66"/>
    <w:rsid w:val="6588381D"/>
    <w:rsid w:val="65FF636C"/>
    <w:rsid w:val="664A62D0"/>
    <w:rsid w:val="66B62758"/>
    <w:rsid w:val="66C719A1"/>
    <w:rsid w:val="67702B08"/>
    <w:rsid w:val="67A94358"/>
    <w:rsid w:val="6810000F"/>
    <w:rsid w:val="687E7C7B"/>
    <w:rsid w:val="68E128A7"/>
    <w:rsid w:val="68F875DA"/>
    <w:rsid w:val="68FF3664"/>
    <w:rsid w:val="692769A5"/>
    <w:rsid w:val="6949489A"/>
    <w:rsid w:val="69A578CA"/>
    <w:rsid w:val="69BB3B78"/>
    <w:rsid w:val="69DD7719"/>
    <w:rsid w:val="6A6F5844"/>
    <w:rsid w:val="6B1D27D2"/>
    <w:rsid w:val="6B3C5405"/>
    <w:rsid w:val="6B967ADA"/>
    <w:rsid w:val="6B9F2FD4"/>
    <w:rsid w:val="6BCA1924"/>
    <w:rsid w:val="6C4B4A21"/>
    <w:rsid w:val="6CBC5D89"/>
    <w:rsid w:val="6CD75FEC"/>
    <w:rsid w:val="6D660A87"/>
    <w:rsid w:val="6EE012D7"/>
    <w:rsid w:val="6EE20292"/>
    <w:rsid w:val="6FE46E8C"/>
    <w:rsid w:val="702F4BB1"/>
    <w:rsid w:val="70871AD7"/>
    <w:rsid w:val="70E163C9"/>
    <w:rsid w:val="713D76C6"/>
    <w:rsid w:val="71636FD9"/>
    <w:rsid w:val="7185690A"/>
    <w:rsid w:val="71B72167"/>
    <w:rsid w:val="71D903AC"/>
    <w:rsid w:val="7212223E"/>
    <w:rsid w:val="723B6919"/>
    <w:rsid w:val="72541E8D"/>
    <w:rsid w:val="726E1048"/>
    <w:rsid w:val="72853640"/>
    <w:rsid w:val="72CE4E43"/>
    <w:rsid w:val="73216213"/>
    <w:rsid w:val="743D3963"/>
    <w:rsid w:val="74625E33"/>
    <w:rsid w:val="7490269B"/>
    <w:rsid w:val="74B61792"/>
    <w:rsid w:val="75475CD9"/>
    <w:rsid w:val="757D186E"/>
    <w:rsid w:val="75915985"/>
    <w:rsid w:val="75A958EC"/>
    <w:rsid w:val="77BE4E39"/>
    <w:rsid w:val="79101D48"/>
    <w:rsid w:val="795D34C2"/>
    <w:rsid w:val="797C23F5"/>
    <w:rsid w:val="799314ED"/>
    <w:rsid w:val="7A1659C5"/>
    <w:rsid w:val="7A246614"/>
    <w:rsid w:val="7A377809"/>
    <w:rsid w:val="7AA10D25"/>
    <w:rsid w:val="7BC566B5"/>
    <w:rsid w:val="7BC777C4"/>
    <w:rsid w:val="7C314549"/>
    <w:rsid w:val="7C6D4269"/>
    <w:rsid w:val="7D140E2D"/>
    <w:rsid w:val="7D4D5285"/>
    <w:rsid w:val="7D9B14E6"/>
    <w:rsid w:val="7E7715D8"/>
    <w:rsid w:val="7E9F0934"/>
    <w:rsid w:val="7EF74AED"/>
    <w:rsid w:val="7EFC6DC8"/>
    <w:rsid w:val="7F1F7BDC"/>
    <w:rsid w:val="7F6B32D6"/>
    <w:rsid w:val="7F763505"/>
    <w:rsid w:val="7FB31C91"/>
    <w:rsid w:val="7FE64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List Bullet 5"/>
    <w:basedOn w:val="1"/>
    <w:semiHidden/>
    <w:unhideWhenUsed/>
    <w:qFormat/>
    <w:uiPriority w:val="99"/>
    <w:pPr>
      <w:numPr>
        <w:ilvl w:val="0"/>
        <w:numId w:val="1"/>
      </w:numPr>
    </w:pPr>
  </w:style>
  <w:style w:type="paragraph" w:styleId="5">
    <w:name w:val="Normal Indent"/>
    <w:basedOn w:val="1"/>
    <w:qFormat/>
    <w:uiPriority w:val="0"/>
    <w:pPr>
      <w:ind w:firstLine="420"/>
    </w:pPr>
    <w:rPr>
      <w:szCs w:val="20"/>
    </w:r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Plain Text"/>
    <w:basedOn w:val="1"/>
    <w:qFormat/>
    <w:uiPriority w:val="0"/>
    <w:rPr>
      <w:rFonts w:ascii="宋体" w:hAnsi="Courier New" w:cs="Courier New"/>
      <w:szCs w:val="21"/>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able of figures"/>
    <w:basedOn w:val="1"/>
    <w:next w:val="1"/>
    <w:qFormat/>
    <w:uiPriority w:val="0"/>
    <w:pPr>
      <w:ind w:left="200" w:leftChars="200" w:hanging="200" w:hanging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w:basedOn w:val="2"/>
    <w:unhideWhenUsed/>
    <w:qFormat/>
    <w:uiPriority w:val="99"/>
    <w:pPr>
      <w:ind w:firstLine="420" w:firstLineChars="100"/>
    </w:pPr>
  </w:style>
  <w:style w:type="paragraph" w:styleId="15">
    <w:name w:val="Body Text First Indent 2"/>
    <w:basedOn w:val="6"/>
    <w:qFormat/>
    <w:uiPriority w:val="0"/>
    <w:pPr>
      <w:spacing w:after="120" w:afterLines="0"/>
      <w:ind w:left="420" w:leftChars="200" w:firstLine="420" w:firstLineChars="200"/>
    </w:pPr>
    <w:rPr>
      <w:rFonts w:ascii="Times New Roman" w:hAnsi="Times New Roman"/>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20">
    <w:name w:val="表格文字"/>
    <w:basedOn w:val="1"/>
    <w:qFormat/>
    <w:uiPriority w:val="0"/>
    <w:pPr>
      <w:spacing w:before="25" w:after="25"/>
    </w:pPr>
    <w:rPr>
      <w:bCs/>
      <w:spacing w:val="10"/>
    </w:rPr>
  </w:style>
  <w:style w:type="character" w:customStyle="1" w:styleId="21">
    <w:name w:val="页眉 Char"/>
    <w:basedOn w:val="18"/>
    <w:link w:val="10"/>
    <w:qFormat/>
    <w:uiPriority w:val="99"/>
    <w:rPr>
      <w:rFonts w:ascii="Times New Roman" w:hAnsi="Times New Roman" w:eastAsia="宋体" w:cs="Times New Roman"/>
      <w:sz w:val="18"/>
      <w:szCs w:val="18"/>
    </w:rPr>
  </w:style>
  <w:style w:type="character" w:customStyle="1" w:styleId="22">
    <w:name w:val="页脚 Char"/>
    <w:basedOn w:val="18"/>
    <w:link w:val="9"/>
    <w:qFormat/>
    <w:uiPriority w:val="99"/>
    <w:rPr>
      <w:rFonts w:ascii="Times New Roman" w:hAnsi="Times New Roman" w:eastAsia="宋体" w:cs="Times New Roman"/>
      <w:sz w:val="18"/>
      <w:szCs w:val="18"/>
    </w:rPr>
  </w:style>
  <w:style w:type="character" w:customStyle="1" w:styleId="23">
    <w:name w:val="批注框文本 Char"/>
    <w:basedOn w:val="18"/>
    <w:link w:val="8"/>
    <w:semiHidden/>
    <w:qFormat/>
    <w:uiPriority w:val="99"/>
    <w:rPr>
      <w:rFonts w:ascii="Times New Roman" w:hAnsi="Times New Roman" w:eastAsia="宋体" w:cs="Times New Roman"/>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styleId="25">
    <w:name w:val="List Paragraph"/>
    <w:basedOn w:val="1"/>
    <w:qFormat/>
    <w:uiPriority w:val="99"/>
    <w:pPr>
      <w:ind w:firstLine="420" w:firstLineChars="200"/>
    </w:pPr>
  </w:style>
  <w:style w:type="paragraph" w:customStyle="1" w:styleId="26">
    <w:name w:val="样式1"/>
    <w:next w:val="1"/>
    <w:qFormat/>
    <w:uiPriority w:val="0"/>
    <w:pPr>
      <w:spacing w:line="360" w:lineRule="auto"/>
    </w:pPr>
    <w:rPr>
      <w:rFonts w:ascii="Microsoft YaHei UI" w:hAnsi="Microsoft YaHei UI" w:eastAsia="宋体" w:cs="Microsoft YaHei UI"/>
      <w:b/>
      <w:color w:val="000000"/>
      <w:kern w:val="2"/>
      <w:sz w:val="21"/>
      <w:szCs w:val="21"/>
      <w:lang w:val="en-US" w:eastAsia="zh-CN" w:bidi="ar-SA"/>
    </w:rPr>
  </w:style>
  <w:style w:type="paragraph" w:customStyle="1" w:styleId="2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正文文本部分"/>
    <w:basedOn w:val="1"/>
    <w:qFormat/>
    <w:uiPriority w:val="0"/>
    <w:pPr>
      <w:widowControl/>
      <w:adjustRightInd w:val="0"/>
      <w:snapToGrid w:val="0"/>
      <w:spacing w:beforeLines="50" w:line="360" w:lineRule="auto"/>
      <w:ind w:firstLine="200" w:firstLineChars="200"/>
      <w:jc w:val="left"/>
    </w:pPr>
    <w:rPr>
      <w:rFonts w:hAnsi="Times New Roman" w:eastAsia="宋体" w:cs="Times New Roman" w:asciiTheme="minorEastAsia"/>
      <w:kern w:val="0"/>
      <w:sz w:val="24"/>
      <w:szCs w:val="20"/>
    </w:rPr>
  </w:style>
  <w:style w:type="paragraph" w:customStyle="1" w:styleId="29">
    <w:name w:val="Body 9pt"/>
    <w:basedOn w:val="1"/>
    <w:qFormat/>
    <w:uiPriority w:val="0"/>
    <w:pPr>
      <w:spacing w:before="40" w:after="40"/>
    </w:pPr>
    <w:rPr>
      <w:rFonts w:eastAsia="Times New Roman"/>
      <w:sz w:val="18"/>
      <w:lang w:val="de-DE" w:eastAsia="de-DE"/>
    </w:rPr>
  </w:style>
  <w:style w:type="paragraph" w:customStyle="1" w:styleId="30">
    <w:name w:val="三级无"/>
    <w:basedOn w:val="1"/>
    <w:qFormat/>
    <w:uiPriority w:val="0"/>
    <w:pPr>
      <w:widowControl/>
      <w:numPr>
        <w:ilvl w:val="3"/>
        <w:numId w:val="3"/>
      </w:numPr>
      <w:jc w:val="left"/>
      <w:outlineLvl w:val="4"/>
    </w:pPr>
    <w:rPr>
      <w:rFonts w:ascii="宋体" w:eastAsia="宋体"/>
      <w:snapToGrid/>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11627</Words>
  <Characters>12531</Characters>
  <Lines>1</Lines>
  <Paragraphs>1</Paragraphs>
  <TotalTime>13</TotalTime>
  <ScaleCrop>false</ScaleCrop>
  <LinksUpToDate>false</LinksUpToDate>
  <CharactersWithSpaces>13415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2022-12-19T06:38:21Z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AF5B0865D86C4DB9A08E00A048C11CD5</vt:lpwstr>
  </property>
  <property fmtid="{D5CDD505-2E9C-101B-9397-08002B2CF9AE}" pid="3" name="KSOProductBuildVer">
    <vt:lpwstr>2052-11.1.0.12980</vt:lpwstr>
  </property>
</Properties>
</file>