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0267-2020-2022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85"/>
        <w:gridCol w:w="675"/>
        <w:gridCol w:w="567"/>
        <w:gridCol w:w="1134"/>
        <w:gridCol w:w="425"/>
        <w:gridCol w:w="1472"/>
        <w:gridCol w:w="8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板材厚度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ascii="Times New Roman" w:hAnsi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5mm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47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±0.167mm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hanging="1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±0.5mm 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505" w:type="dxa"/>
            <w:gridSpan w:val="2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Calibri" w:hAnsi="Calibri" w:cs="Calibri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FCJS/MP-001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FCJS/MP-001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常温常湿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 xml:space="preserve">蒙其和 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板材厚度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 w:cs="Times New Roman"/>
                <w:szCs w:val="21"/>
              </w:rPr>
              <w:t>测量不确定度评定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板材厚度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 w:cs="Times New Roman"/>
                <w:szCs w:val="21"/>
              </w:rPr>
              <w:t>验证记录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测量过程控制图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57785</wp:posOffset>
            </wp:positionV>
            <wp:extent cx="700405" cy="347980"/>
            <wp:effectExtent l="0" t="0" r="10795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0913" t="14559"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31750</wp:posOffset>
            </wp:positionV>
            <wp:extent cx="481965" cy="347345"/>
            <wp:effectExtent l="0" t="0" r="635" b="8255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3473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C756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2022-12-12T14:48:21Z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2D63291593864B30B32D296A406DB708</vt:lpwstr>
  </property>
</Properties>
</file>