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1177"/>
        <w:gridCol w:w="1245"/>
        <w:gridCol w:w="1401"/>
        <w:gridCol w:w="1504"/>
        <w:gridCol w:w="190"/>
        <w:gridCol w:w="1105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四川科度实业有限公司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E：33.03.01;34.01.01;34.01.02;34.06.00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O：33.03.01;34.01.01;34.01.02;34.06.00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测绘服务、土地调查、自然资源调查：合同签订→收集资料→现场测绘→编制、绘图→编制项目报告（文本、图件）→变更（需要时）→交付客户。</w:t>
            </w:r>
          </w:p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农田工程规划设计、土地整理、土地规划、土地综合整治：合同签订→收集资料→编制、绘图→编制项目报告（文本、图件）→变更（需要时）→交付客户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数据处理和存储支持服务：核对国家下发数据 → 开展外业核查 → 上传平台（审核）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测绘的服务过程</w:t>
            </w:r>
            <w:r>
              <w:rPr>
                <w:rFonts w:hint="eastAsia"/>
                <w:b/>
                <w:sz w:val="20"/>
                <w:lang w:val="en-US" w:eastAsia="zh-CN"/>
              </w:rPr>
              <w:t>/风险控制措施/特殊过程确认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型式检验和试验项目及要求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76200</wp:posOffset>
                  </wp:positionV>
                  <wp:extent cx="857250" cy="349250"/>
                  <wp:effectExtent l="0" t="0" r="6350" b="6350"/>
                  <wp:wrapNone/>
                  <wp:docPr id="36" name="图片 36" descr="edb2a643104b6f9e573ebfe748e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edb2a643104b6f9e573ebfe748e48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42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161925</wp:posOffset>
                  </wp:positionV>
                  <wp:extent cx="812165" cy="275590"/>
                  <wp:effectExtent l="0" t="0" r="635" b="3810"/>
                  <wp:wrapNone/>
                  <wp:docPr id="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1177"/>
        <w:gridCol w:w="1245"/>
        <w:gridCol w:w="111"/>
        <w:gridCol w:w="1290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四川科度实业有限公司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E：33.03.01;34.01.01;34.01.02;34.06.00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O：33.03.01;34.01.01;34.01.02;34.06.00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测绘服务、土地调查、自然资源调查：合同签订→收集资料→现场测绘→编制、绘图→编制项目报告（文本、图件）→变更（需要时）→交付客户。</w:t>
            </w:r>
          </w:p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农田工程规划设计、土地整理、土地规划、土地综合整治：合同签订→收集资料→编制、绘图→编制项目报告（文本、图件）→变更（需要时）→交付客户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数据处理和存储支持服务：核对国家下发数据 → 开展外业核查 → 上传平台（审核）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重要环境因素：</w:t>
            </w: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固废的排放</w:t>
            </w:r>
            <w:r>
              <w:rPr>
                <w:rFonts w:hint="eastAsia"/>
                <w:b/>
                <w:sz w:val="20"/>
                <w:lang w:eastAsia="zh-CN"/>
              </w:rPr>
              <w:t>、废气排放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控制措施：环境管理方案、运行控制程序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50165</wp:posOffset>
                  </wp:positionV>
                  <wp:extent cx="857250" cy="349250"/>
                  <wp:effectExtent l="0" t="0" r="6350" b="6350"/>
                  <wp:wrapNone/>
                  <wp:docPr id="8" name="图片 8" descr="edb2a643104b6f9e573ebfe748e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db2a643104b6f9e573ebfe748e48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161925</wp:posOffset>
                  </wp:positionV>
                  <wp:extent cx="812165" cy="275590"/>
                  <wp:effectExtent l="0" t="0" r="635" b="3810"/>
                  <wp:wrapNone/>
                  <wp:docPr id="5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1177"/>
        <w:gridCol w:w="1245"/>
        <w:gridCol w:w="111"/>
        <w:gridCol w:w="1290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四川科度实业有限公司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Q：33.03.01;34.01.01;34.01.02;34.06.00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E：33.03.01;34.01.01;34.01.02;34.06.00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O：33.03.01;34.01.01;34.01.02;34.06.00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石生安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Q：33.03.01;34.01.01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6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测绘服务、土地调查、自然资源调查：合同签订→收集资料→现场测绘→编制、绘图→编制项目报告（文本、图件）→变更（需要时）→交付客户。</w:t>
            </w:r>
          </w:p>
          <w:p>
            <w:pPr>
              <w:pStyle w:val="12"/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农田工程规划设计、土地整理、土地规划、土地综合整治：合同签订→收集资料→编制、绘图→编制项目报告（文本、图件）→变更（需要时）→交付客户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pacing w:val="0"/>
                <w:kern w:val="2"/>
                <w:sz w:val="20"/>
                <w:lang w:val="en-US" w:eastAsia="zh-CN" w:bidi="ar-SA"/>
              </w:rPr>
              <w:t>数据处理和存储支持服务：核对国家下发数据 → 开展外业核查 → 上传平台（审核）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火灾、触电、交通事故、意外伤害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控制措施：危险源管理方案、运行控制程序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安全生产法、中华人民共和国环境影响评价法、中华人民共和国消防法、中华人民共和国职业病防治法、生产项目土地复垦验收规程、土地利用动态遥感监测规程、土地整治权属调整规范、土地整治项目基础调查规范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62865</wp:posOffset>
                  </wp:positionV>
                  <wp:extent cx="857250" cy="349250"/>
                  <wp:effectExtent l="0" t="0" r="6350" b="6350"/>
                  <wp:wrapNone/>
                  <wp:docPr id="9" name="图片 9" descr="edb2a643104b6f9e573ebfe748e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db2a643104b6f9e573ebfe748e48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77470</wp:posOffset>
                  </wp:positionV>
                  <wp:extent cx="812165" cy="275590"/>
                  <wp:effectExtent l="0" t="0" r="635" b="3810"/>
                  <wp:wrapNone/>
                  <wp:docPr id="7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8" t="9871" r="7156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1294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2023-01-01T02:30:22Z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