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苏州海宏水泥制品有限公司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0112-2019-2022</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hint="default" w:ascii="宋体" w:hAnsi="宋体" w:eastAsiaTheme="minorEastAsia"/>
          <w:spacing w:val="80"/>
          <w:sz w:val="32"/>
          <w:lang w:val="en-US" w:eastAsia="zh-CN"/>
        </w:rPr>
      </w:pPr>
      <w:r>
        <w:rPr>
          <w:rFonts w:hint="eastAsia" w:ascii="宋体" w:hAnsi="宋体"/>
          <w:spacing w:val="80"/>
          <w:sz w:val="32"/>
          <w:lang w:val="en-US" w:eastAsia="zh-CN"/>
        </w:rPr>
        <w:t xml:space="preserve">              </w:t>
      </w:r>
    </w:p>
    <w:p>
      <w:pPr>
        <w:widowControl/>
        <w:spacing w:line="360" w:lineRule="auto"/>
        <w:ind w:right="360"/>
        <w:rPr>
          <w:rFonts w:hint="eastAsia" w:ascii="Times New Roman" w:hAnsi="Times New Roman" w:eastAsia="宋体" w:cs="Times New Roman"/>
          <w:bCs/>
          <w:kern w:val="0"/>
          <w:sz w:val="18"/>
          <w:szCs w:val="18"/>
          <w:lang w:val="en-US" w:eastAsia="zh-CN"/>
        </w:rPr>
      </w:pPr>
      <w:r>
        <w:rPr>
          <w:rFonts w:hint="eastAsia" w:ascii="Times New Roman" w:hAnsi="Times New Roman" w:eastAsia="宋体" w:cs="Times New Roman"/>
          <w:bCs/>
          <w:kern w:val="0"/>
          <w:sz w:val="18"/>
          <w:szCs w:val="18"/>
          <w:lang w:val="en-US" w:eastAsia="zh-CN"/>
        </w:rPr>
        <w:t xml:space="preserve"> </w:t>
      </w: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0112-2019-2022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苏州海宏水泥制品有限公司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金美娟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ISC-2019-0539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2024-11-19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三</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2022年12月09日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cs="宋体" w:asciiTheme="minorEastAsia" w:hAnsiTheme="minorEastAsia"/>
                <w:kern w:val="0"/>
                <w:szCs w:val="21"/>
                <w:lang w:val="en-US" w:eastAsia="zh-CN"/>
              </w:rPr>
              <w:t>黄金荣，</w:t>
            </w:r>
            <w:r>
              <w:rPr>
                <w:rFonts w:ascii="宋体" w:hAnsi="宋体"/>
                <w:color w:val="000000"/>
                <w:szCs w:val="21"/>
                <w:shd w:val="clear" w:color="auto" w:fill="auto"/>
              </w:rPr>
              <w:t>2021-M1MMS-2227641</w:t>
            </w:r>
          </w:p>
          <w:p>
            <w:pPr>
              <w:tabs>
                <w:tab w:val="left" w:pos="880"/>
              </w:tabs>
              <w:autoSpaceDE w:val="0"/>
              <w:autoSpaceDN w:val="0"/>
              <w:adjustRightInd w:val="0"/>
              <w:spacing w:before="35" w:line="276" w:lineRule="auto"/>
              <w:ind w:right="161"/>
              <w:rPr>
                <w:rFonts w:hint="eastAsia" w:ascii="宋体" w:hAnsi="宋体"/>
                <w:color w:val="000000"/>
                <w:szCs w:val="21"/>
                <w:lang w:eastAsia="zh-CN"/>
              </w:rPr>
            </w:pPr>
            <w:r>
              <w:rPr>
                <w:rFonts w:hint="eastAsia" w:ascii="宋体" w:hAnsi="宋体"/>
                <w:color w:val="000000"/>
                <w:szCs w:val="21"/>
              </w:rPr>
              <w:t>ISC[S]0062</w:t>
            </w:r>
            <w:r>
              <w:rPr>
                <w:rFonts w:hint="eastAsia" w:ascii="宋体" w:hAnsi="宋体"/>
                <w:color w:val="000000"/>
                <w:szCs w:val="21"/>
                <w:lang w:eastAsia="zh-CN"/>
              </w:rPr>
              <w:t>。</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ascii="宋体" w:hAnsi="宋体"/>
                <w:color w:val="000000"/>
                <w:szCs w:val="21"/>
                <w:lang w:val="en-US" w:eastAsia="zh-CN"/>
              </w:rPr>
              <w:t>袁菊，</w:t>
            </w:r>
            <w:r>
              <w:rPr>
                <w:rFonts w:ascii="宋体" w:hAnsi="宋体"/>
                <w:color w:val="000000"/>
                <w:szCs w:val="21"/>
                <w:shd w:val="clear" w:color="auto" w:fill="auto"/>
              </w:rPr>
              <w:t>2021-M1MMS-2274447</w:t>
            </w:r>
          </w:p>
          <w:p>
            <w:pPr>
              <w:tabs>
                <w:tab w:val="left" w:pos="880"/>
              </w:tabs>
              <w:autoSpaceDE w:val="0"/>
              <w:autoSpaceDN w:val="0"/>
              <w:adjustRightInd w:val="0"/>
              <w:spacing w:before="35" w:line="276" w:lineRule="auto"/>
              <w:ind w:right="161"/>
              <w:rPr>
                <w:rFonts w:hint="eastAsia" w:ascii="宋体" w:hAnsi="宋体" w:eastAsiaTheme="minorEastAsia"/>
                <w:color w:val="000000"/>
                <w:szCs w:val="21"/>
                <w:shd w:val="clear" w:color="auto" w:fill="auto"/>
                <w:lang w:val="en-US" w:eastAsia="zh-CN"/>
              </w:rPr>
            </w:pPr>
            <w:r>
              <w:rPr>
                <w:rFonts w:hint="eastAsia" w:ascii="宋体" w:hAnsi="宋体"/>
                <w:color w:val="000000"/>
                <w:szCs w:val="21"/>
              </w:rPr>
              <w:t>ISC[S]0258</w:t>
            </w:r>
            <w:r>
              <w:rPr>
                <w:rFonts w:hint="eastAsia" w:ascii="宋体" w:hAnsi="宋体"/>
                <w:color w:val="000000"/>
                <w:szCs w:val="21"/>
                <w:lang w:eastAsia="zh-CN"/>
              </w:rPr>
              <w:t>。</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cs="宋体"/>
                <w:color w:val="FF0000"/>
                <w:kern w:val="0"/>
                <w:szCs w:val="21"/>
                <w:highlight w:val="none"/>
                <w:lang w:val="en-US" w:eastAsia="zh-CN"/>
              </w:rPr>
            </w:pPr>
            <w:r>
              <w:rPr>
                <w:rFonts w:hint="eastAsia" w:ascii="宋体" w:hAnsi="宋体"/>
                <w:color w:val="auto"/>
                <w:szCs w:val="21"/>
                <w:highlight w:val="none"/>
                <w:lang w:val="en-US" w:eastAsia="zh-CN"/>
              </w:rPr>
              <w:t>管理层/</w:t>
            </w:r>
            <w:r>
              <w:rPr>
                <w:rFonts w:hint="eastAsia" w:ascii="宋体" w:hAnsi="宋体"/>
                <w:color w:val="auto"/>
                <w:szCs w:val="21"/>
                <w:highlight w:val="none"/>
              </w:rPr>
              <w:t>管理者代表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技术部</w:t>
            </w:r>
            <w:r>
              <w:rPr>
                <w:rFonts w:hint="eastAsia" w:ascii="宋体" w:hAnsi="宋体" w:cs="宋体"/>
                <w:kern w:val="0"/>
                <w:szCs w:val="21"/>
                <w:highlight w:val="none"/>
                <w:lang w:val="en-US" w:eastAsia="zh-CN"/>
              </w:rPr>
              <w:t>、</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olor w:val="auto"/>
                <w:szCs w:val="21"/>
                <w:highlight w:val="none"/>
                <w:lang w:val="en-US" w:eastAsia="zh-CN"/>
              </w:rPr>
              <w:t>采购部、销售部、生产部（车间）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1.一年内违反法律法规或重大事故的情况：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一年来，公司日常运行中生产、经营、安全、及管理方面比去年都有很大提升，企业制定了多项生产管理文件、制度，测量管理体系理念更加深入人心，企业未有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2.1公司于2022年9月10日至11日组织了公司测量管理体系内审，内审分2个组，对公司5个部门和车间进行了审核，共开出了1个不符合项，到目前为止不符合项已全部完成整改。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2022年10月5日开展了测量管理体系管理评审，会议由公司总经理秦全荣主持，由管理者代表汇报了测量体系运行情况。相关部门汇报了本部门分管的测量体系相关工作。会议肯定了公司测量管理体系的充分性、有效性和适宜性。形成了管理评审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混凝土抗压强度试验过程为关键测量过程，测量过程识别、测量设备配备、检定/校准、验证，测量过程有效性确认，测量不确定度评定、测量过程控制和监视满足要求。企业没有新增关键测量过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a)计量要求的导出和验证：查混凝土抗压强度试验过程，计量要求导出方法正确，验证满足测量过程要求。祥见附件《计量要求导出及验证记录表》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b)测量不确定评定：查混凝土抗压强度试验过程，测量不确定度评定方法正确。祥见附件《测量不确定度评定》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c)有效性确认：查混凝土抗压强度试验过程有效性确认，满足要求。祥见附件《测量过程有效性确认》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d)测量过程的控制：查混凝土抗压强度试验过程，编制了控制规范，对测量人员、测量设备、测量环境进行控制，满足要求。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e)测量过程的监视：查混凝土抗压强度试验过程，采用统计技术进行控制和监视测量过程。祥见《测量过程监视记录》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kern w:val="0"/>
          <w:sz w:val="24"/>
          <w:szCs w:val="24"/>
          <w:lang w:val="en-US" w:eastAsia="zh-CN"/>
        </w:rPr>
      </w:pPr>
      <w:bookmarkStart w:id="11" w:name="_GoBack"/>
      <w:bookmarkEnd w:id="11"/>
      <w:r>
        <w:rPr>
          <w:rFonts w:hint="eastAsia" w:ascii="宋体" w:hAnsi="宋体" w:eastAsia="宋体" w:cs="宋体"/>
          <w:bCs/>
          <w:color w:val="auto"/>
          <w:kern w:val="0"/>
          <w:sz w:val="24"/>
          <w:szCs w:val="24"/>
          <w:lang w:val="en-US" w:eastAsia="zh-CN"/>
        </w:rPr>
        <w:t>f)公司未建最高计量标准，企业测量设备由技术部负责组织委外检定/校准。公司测量设备委托苏州市吴江区检验检测中心等机构检定/校准，抽查8台测量设备检定/校准证书，溯源满足要求。祥见《测量设备溯源检查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4.能源管理情况：企业能源主要消耗品种为电能、水、蒸汽，2022年1月至10月累计消耗电量7640223kWh，水53413t，蒸汽25973.42t，折合标准煤4283.7 tce， 不是重点耗能企业。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5.对认证审核时提出的的不符合项的纠正措施情况：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5.1 去年监督审核未发现不符合项。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6.对投诉的处理情况：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公司目前尚未接到客户在产品质量、物料交接、能源、安全、现场管理等方面的投诉和纠纷。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根据测量体系质量方针，制定了5项质量目标，目标可测量，质量目标已分解，每季度检查统计。查:《2022年公司计量工作质量目标完成统计表》2022年1至3季度年度质量目标全部完成。企业测量体系进一步满足顾客、质量、服务等方面的要求，符合GB/T 19022-2003标准要求。使其更具有动态性和适宜性、有效性及对持续运作的控制。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企业组织机构没有变更。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企业营业执照已发生变更，2022年06月23取得新营业执照。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10.本次审核未发现一般不符合项 ，未发现严重或系统性的不符合情况。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通过2022年12月9日，对苏州海宏水泥制品有限公司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苏州海宏水泥制品有限公司测量管理体系，符合GB/T 19022-2003标准要求，对体系运行具有持续的有效性、符合性予以肯定。建议报请国标联合认证有限公司批准通过监督审核。</w:t>
      </w:r>
    </w:p>
    <w:p>
      <w:pPr>
        <w:widowControl/>
        <w:spacing w:line="360" w:lineRule="auto"/>
        <w:rPr>
          <w:rFonts w:ascii="宋体" w:hAnsi="宋体" w:eastAsia="宋体" w:cs="宋体"/>
          <w:kern w:val="0"/>
          <w:szCs w:val="21"/>
        </w:rPr>
      </w:pPr>
    </w:p>
    <w:p>
      <w:pPr>
        <w:widowControl/>
        <w:spacing w:line="360" w:lineRule="auto"/>
        <w:rPr>
          <w:rFonts w:ascii="宋体" w:hAnsi="宋体" w:eastAsia="宋体" w:cs="宋体"/>
          <w:kern w:val="0"/>
          <w:szCs w:val="21"/>
        </w:rPr>
      </w:pPr>
    </w:p>
    <w:p>
      <w:pPr>
        <w:widowControl/>
        <w:spacing w:line="360" w:lineRule="auto"/>
        <w:rPr>
          <w:rFonts w:ascii="宋体" w:hAnsi="宋体" w:eastAsia="宋体" w:cs="宋体"/>
          <w:kern w:val="0"/>
          <w:szCs w:val="21"/>
        </w:rPr>
      </w:pPr>
    </w:p>
    <w:p>
      <w:pPr>
        <w:widowControl/>
        <w:spacing w:line="360" w:lineRule="auto"/>
        <w:rPr>
          <w:rFonts w:ascii="宋体" w:hAnsi="宋体" w:eastAsia="宋体" w:cs="宋体"/>
          <w:kern w:val="0"/>
          <w:szCs w:val="21"/>
        </w:rPr>
      </w:pPr>
    </w:p>
    <w:p>
      <w:pPr>
        <w:widowControl/>
        <w:spacing w:line="360" w:lineRule="auto"/>
        <w:rPr>
          <w:rFonts w:ascii="宋体" w:hAnsi="宋体" w:eastAsia="宋体" w:cs="宋体"/>
          <w:kern w:val="0"/>
          <w:szCs w:val="21"/>
        </w:rPr>
      </w:pPr>
      <w:r>
        <w:rPr>
          <w:rFonts w:hint="eastAsia" w:ascii="宋体" w:hAnsi="宋体" w:eastAsia="宋体" w:cs="宋体"/>
          <w:bCs/>
          <w:color w:val="auto"/>
          <w:kern w:val="0"/>
          <w:sz w:val="24"/>
          <w:szCs w:val="24"/>
          <w:lang w:val="en-US" w:eastAsia="zh-CN"/>
        </w:rPr>
        <w:drawing>
          <wp:anchor distT="0" distB="0" distL="114300" distR="114300" simplePos="0" relativeHeight="251666432" behindDoc="0" locked="0" layoutInCell="1" allowOverlap="1">
            <wp:simplePos x="0" y="0"/>
            <wp:positionH relativeFrom="column">
              <wp:posOffset>1443355</wp:posOffset>
            </wp:positionH>
            <wp:positionV relativeFrom="paragraph">
              <wp:posOffset>-35560</wp:posOffset>
            </wp:positionV>
            <wp:extent cx="614680" cy="385445"/>
            <wp:effectExtent l="0" t="0" r="0" b="5080"/>
            <wp:wrapNone/>
            <wp:docPr id="2"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2022年12月9日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eastAsia="宋体" w:cs="宋体"/>
          <w:color w:val="000000"/>
          <w:kern w:val="0"/>
          <w:szCs w:val="21"/>
          <w:lang w:val="en-US" w:eastAsia="zh-CN"/>
        </w:rPr>
      </w:pPr>
      <w:r>
        <w:drawing>
          <wp:anchor distT="0" distB="0" distL="0" distR="0" simplePos="0" relativeHeight="251667456" behindDoc="0" locked="0" layoutInCell="1" allowOverlap="1">
            <wp:simplePos x="0" y="0"/>
            <wp:positionH relativeFrom="column">
              <wp:posOffset>1494155</wp:posOffset>
            </wp:positionH>
            <wp:positionV relativeFrom="paragraph">
              <wp:posOffset>50165</wp:posOffset>
            </wp:positionV>
            <wp:extent cx="485775" cy="219075"/>
            <wp:effectExtent l="0" t="0" r="0" b="0"/>
            <wp:wrapNone/>
            <wp:docPr id="3" name="图片 1" descr="C:\Users\mac\Desktop\袁菊\ISC文件\袁菊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mac\Desktop\袁菊\ISC文件\袁菊电子签名.png"/>
                    <pic:cNvPicPr>
                      <a:picLocks noChangeAspect="1" noChangeArrowheads="1"/>
                    </pic:cNvPicPr>
                  </pic:nvPicPr>
                  <pic:blipFill>
                    <a:blip r:embed="rId7"/>
                    <a:srcRect/>
                    <a:stretch>
                      <a:fillRect/>
                    </a:stretch>
                  </pic:blipFill>
                  <pic:spPr>
                    <a:xfrm>
                      <a:off x="0" y="0"/>
                      <a:ext cx="485775" cy="219075"/>
                    </a:xfrm>
                    <a:prstGeom prst="rect">
                      <a:avLst/>
                    </a:prstGeom>
                    <a:noFill/>
                    <a:ln w="9525">
                      <a:noFill/>
                      <a:miter lim="800000"/>
                      <a:headEnd/>
                      <a:tailEnd/>
                    </a:ln>
                  </pic:spPr>
                </pic:pic>
              </a:graphicData>
            </a:graphic>
          </wp:anchor>
        </w:drawing>
      </w: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2022年12月9日</w:t>
      </w:r>
    </w:p>
    <w:p>
      <w:pPr>
        <w:widowControl/>
        <w:spacing w:line="276" w:lineRule="auto"/>
        <w:ind w:right="945"/>
        <w:jc w:val="left"/>
        <w:rPr>
          <w:rFonts w:ascii="宋体" w:hAnsi="宋体" w:eastAsia="宋体" w:cs="宋体"/>
          <w:kern w:val="0"/>
          <w:szCs w:val="28"/>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日 期：</w:t>
      </w: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CE07A9"/>
    <w:rsid w:val="0BAF256D"/>
    <w:rsid w:val="0E3D730E"/>
    <w:rsid w:val="12CE379D"/>
    <w:rsid w:val="1C290DCC"/>
    <w:rsid w:val="206B03BD"/>
    <w:rsid w:val="2F8F3F7D"/>
    <w:rsid w:val="35A537AC"/>
    <w:rsid w:val="574D1AB4"/>
    <w:rsid w:val="5870252E"/>
    <w:rsid w:val="59C00BC4"/>
    <w:rsid w:val="5A597C7F"/>
    <w:rsid w:val="6169056D"/>
    <w:rsid w:val="6E9E7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4</TotalTime>
  <ScaleCrop>false</ScaleCrop>
  <LinksUpToDate>false</LinksUpToDate>
  <CharactersWithSpaces>2165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win8</cp:lastModifiedBy>
  <cp:lastPrinted>2017-09-01T06:24:00Z</cp:lastPrinted>
  <dcterms:modified xsi:type="dcterms:W3CDTF">2022-12-09T06:15:18Z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