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6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211"/>
        <w:gridCol w:w="10104"/>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09" w:type="dxa"/>
            <w:vMerge w:val="restart"/>
            <w:shd w:val="clear" w:color="auto" w:fill="auto"/>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1211" w:type="dxa"/>
            <w:vMerge w:val="restart"/>
            <w:shd w:val="clear" w:color="auto" w:fill="auto"/>
            <w:vAlign w:val="center"/>
          </w:tcPr>
          <w:p>
            <w:pPr>
              <w:rPr>
                <w:sz w:val="24"/>
                <w:szCs w:val="24"/>
              </w:rPr>
            </w:pPr>
            <w:r>
              <w:rPr>
                <w:rFonts w:hint="eastAsia"/>
                <w:sz w:val="24"/>
                <w:szCs w:val="24"/>
              </w:rPr>
              <w:t>涉及</w:t>
            </w:r>
          </w:p>
          <w:p>
            <w:r>
              <w:rPr>
                <w:rFonts w:hint="eastAsia"/>
                <w:sz w:val="24"/>
                <w:szCs w:val="24"/>
              </w:rPr>
              <w:t>条款</w:t>
            </w:r>
          </w:p>
        </w:tc>
        <w:tc>
          <w:tcPr>
            <w:tcW w:w="10104" w:type="dxa"/>
            <w:shd w:val="clear" w:color="auto" w:fill="auto"/>
            <w:vAlign w:val="center"/>
          </w:tcPr>
          <w:p>
            <w:pPr>
              <w:rPr>
                <w:sz w:val="24"/>
                <w:szCs w:val="24"/>
              </w:rPr>
            </w:pPr>
            <w:r>
              <w:rPr>
                <w:rFonts w:hint="eastAsia"/>
                <w:sz w:val="24"/>
                <w:szCs w:val="24"/>
              </w:rPr>
              <w:t xml:space="preserve">受审核部门：综合部  </w:t>
            </w:r>
            <w:r>
              <w:rPr>
                <w:sz w:val="24"/>
                <w:szCs w:val="24"/>
              </w:rPr>
              <w:t xml:space="preserve">  </w:t>
            </w:r>
            <w:r>
              <w:rPr>
                <w:rFonts w:hint="eastAsia"/>
                <w:sz w:val="24"/>
                <w:szCs w:val="24"/>
              </w:rPr>
              <w:t xml:space="preserve">        主要领导：曹梅    </w:t>
            </w:r>
            <w:r>
              <w:rPr>
                <w:sz w:val="24"/>
                <w:szCs w:val="24"/>
              </w:rPr>
              <w:t xml:space="preserve">       </w:t>
            </w:r>
            <w:r>
              <w:rPr>
                <w:rFonts w:hint="eastAsia"/>
                <w:sz w:val="24"/>
                <w:szCs w:val="24"/>
              </w:rPr>
              <w:t>陪同人员：王邦启</w:t>
            </w:r>
          </w:p>
        </w:tc>
        <w:tc>
          <w:tcPr>
            <w:tcW w:w="1490" w:type="dxa"/>
            <w:vMerge w:val="restart"/>
            <w:shd w:val="clear" w:color="auto" w:fill="auto"/>
            <w:vAlign w:val="center"/>
          </w:tcPr>
          <w:p>
            <w:pPr>
              <w:ind w:firstLine="240" w:firstLineChars="100"/>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9" w:type="dxa"/>
            <w:vMerge w:val="continue"/>
            <w:shd w:val="clear" w:color="auto" w:fill="auto"/>
            <w:vAlign w:val="center"/>
          </w:tcPr>
          <w:p/>
        </w:tc>
        <w:tc>
          <w:tcPr>
            <w:tcW w:w="1211" w:type="dxa"/>
            <w:vMerge w:val="continue"/>
            <w:shd w:val="clear" w:color="auto" w:fill="auto"/>
            <w:vAlign w:val="center"/>
          </w:tcPr>
          <w:p/>
        </w:tc>
        <w:tc>
          <w:tcPr>
            <w:tcW w:w="10104" w:type="dxa"/>
            <w:shd w:val="clear" w:color="auto" w:fill="auto"/>
            <w:vAlign w:val="center"/>
          </w:tcPr>
          <w:p>
            <w:pPr>
              <w:spacing w:before="120"/>
            </w:pPr>
            <w:r>
              <w:rPr>
                <w:rFonts w:hint="eastAsia"/>
                <w:sz w:val="24"/>
                <w:szCs w:val="24"/>
              </w:rPr>
              <w:t>审核员：汪桂丽</w:t>
            </w:r>
            <w:r>
              <w:rPr>
                <w:rFonts w:hint="eastAsia"/>
                <w:sz w:val="24"/>
                <w:szCs w:val="24"/>
                <w:lang w:val="en-US" w:eastAsia="zh-CN"/>
              </w:rPr>
              <w:t xml:space="preserve">  黄敏</w:t>
            </w:r>
            <w:r>
              <w:rPr>
                <w:sz w:val="24"/>
                <w:szCs w:val="24"/>
              </w:rPr>
              <w:t xml:space="preserve">   </w:t>
            </w:r>
            <w:r>
              <w:rPr>
                <w:rFonts w:hint="eastAsia"/>
                <w:sz w:val="24"/>
                <w:szCs w:val="24"/>
              </w:rPr>
              <w:t xml:space="preserve">             审核日期：</w:t>
            </w:r>
            <w:r>
              <w:rPr>
                <w:rFonts w:hint="eastAsia"/>
                <w:sz w:val="24"/>
                <w:szCs w:val="24"/>
                <w:lang w:eastAsia="zh-CN"/>
              </w:rPr>
              <w:t>2022</w:t>
            </w:r>
            <w:r>
              <w:rPr>
                <w:rFonts w:hint="eastAsia"/>
                <w:sz w:val="24"/>
                <w:szCs w:val="24"/>
              </w:rPr>
              <w:t>.1</w:t>
            </w:r>
            <w:r>
              <w:rPr>
                <w:rFonts w:hint="eastAsia"/>
                <w:sz w:val="24"/>
                <w:szCs w:val="24"/>
                <w:lang w:val="en-US" w:eastAsia="zh-CN"/>
              </w:rPr>
              <w:t>2</w:t>
            </w:r>
            <w:r>
              <w:rPr>
                <w:rFonts w:hint="eastAsia"/>
                <w:sz w:val="24"/>
                <w:szCs w:val="24"/>
              </w:rPr>
              <w:t>.</w:t>
            </w:r>
            <w:r>
              <w:rPr>
                <w:rFonts w:hint="eastAsia"/>
                <w:sz w:val="24"/>
                <w:szCs w:val="24"/>
                <w:lang w:val="en-US" w:eastAsia="zh-CN"/>
              </w:rPr>
              <w:t>10下午</w:t>
            </w:r>
            <w:r>
              <w:rPr>
                <w:rFonts w:hint="eastAsia"/>
                <w:sz w:val="24"/>
                <w:szCs w:val="24"/>
              </w:rPr>
              <w:t xml:space="preserve"> </w:t>
            </w:r>
          </w:p>
        </w:tc>
        <w:tc>
          <w:tcPr>
            <w:tcW w:w="1490" w:type="dxa"/>
            <w:vMerge w:val="continue"/>
            <w:shd w:val="clear" w:color="auto" w:fill="auto"/>
          </w:tcPr>
          <w:p>
            <w:pPr>
              <w:spacing w:before="12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Merge w:val="continue"/>
            <w:shd w:val="clear" w:color="auto" w:fill="auto"/>
            <w:vAlign w:val="center"/>
          </w:tcPr>
          <w:p/>
        </w:tc>
        <w:tc>
          <w:tcPr>
            <w:tcW w:w="1211" w:type="dxa"/>
            <w:vMerge w:val="continue"/>
            <w:shd w:val="clear" w:color="auto" w:fill="auto"/>
            <w:vAlign w:val="center"/>
          </w:tcPr>
          <w:p/>
        </w:tc>
        <w:tc>
          <w:tcPr>
            <w:tcW w:w="10104" w:type="dxa"/>
            <w:shd w:val="clear" w:color="auto" w:fill="auto"/>
            <w:vAlign w:val="center"/>
          </w:tcPr>
          <w:p>
            <w:r>
              <w:rPr>
                <w:rFonts w:hint="eastAsia"/>
              </w:rPr>
              <w:t>审核条款：</w:t>
            </w:r>
          </w:p>
          <w:p>
            <w:pPr>
              <w:pStyle w:val="20"/>
              <w:spacing w:after="0"/>
              <w:jc w:val="left"/>
              <w:rPr>
                <w:rFonts w:hint="eastAsia" w:asciiTheme="minorEastAsia" w:hAnsiTheme="minorEastAsia" w:eastAsiaTheme="minorEastAsia"/>
                <w:sz w:val="21"/>
                <w:szCs w:val="21"/>
              </w:rPr>
            </w:pPr>
            <w:r>
              <w:rPr>
                <w:rFonts w:hint="eastAsia" w:asciiTheme="minorEastAsia" w:hAnsiTheme="minorEastAsia" w:eastAsiaTheme="minorEastAsia"/>
                <w:sz w:val="21"/>
                <w:szCs w:val="21"/>
              </w:rPr>
              <w:t>Q</w:t>
            </w:r>
            <w:r>
              <w:rPr>
                <w:rFonts w:asciiTheme="minorEastAsia" w:hAnsiTheme="minorEastAsia" w:eastAsiaTheme="minorEastAsia"/>
                <w:sz w:val="21"/>
                <w:szCs w:val="21"/>
              </w:rPr>
              <w:t>MS:</w:t>
            </w:r>
            <w:r>
              <w:rPr>
                <w:rFonts w:hint="eastAsia" w:asciiTheme="minorEastAsia" w:hAnsiTheme="minorEastAsia" w:eastAsiaTheme="minorEastAsia"/>
                <w:sz w:val="21"/>
                <w:szCs w:val="21"/>
              </w:rPr>
              <w:t xml:space="preserve"> </w:t>
            </w:r>
            <w:r>
              <w:rPr>
                <w:rFonts w:hint="eastAsia" w:cs="Arial" w:asciiTheme="minorEastAsia" w:hAnsiTheme="minorEastAsia" w:eastAsiaTheme="minorEastAsia"/>
                <w:sz w:val="21"/>
                <w:szCs w:val="21"/>
              </w:rPr>
              <w:t>5.3、</w:t>
            </w:r>
            <w:r>
              <w:rPr>
                <w:rFonts w:hint="eastAsia" w:asciiTheme="minorEastAsia" w:hAnsiTheme="minorEastAsia" w:eastAsiaTheme="minorEastAsia"/>
                <w:sz w:val="21"/>
                <w:szCs w:val="21"/>
              </w:rPr>
              <w:t>6.2、7.1.2、7.1.6、7.2、7.3、</w:t>
            </w:r>
            <w:r>
              <w:rPr>
                <w:rFonts w:asciiTheme="minorEastAsia" w:hAnsiTheme="minorEastAsia" w:eastAsiaTheme="minorEastAsia"/>
                <w:sz w:val="21"/>
                <w:szCs w:val="21"/>
              </w:rPr>
              <w:t>8.2</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8.4</w:t>
            </w:r>
            <w:r>
              <w:rPr>
                <w:rFonts w:hint="eastAsia" w:asciiTheme="minorEastAsia" w:hAnsiTheme="minorEastAsia" w:eastAsiaTheme="minorEastAsia"/>
                <w:sz w:val="21"/>
                <w:szCs w:val="21"/>
                <w:lang w:eastAsia="zh-CN"/>
              </w:rPr>
              <w:t>、8.5.3、8.5.5、9</w:t>
            </w:r>
            <w:r>
              <w:rPr>
                <w:rFonts w:hint="eastAsia" w:asciiTheme="minorEastAsia" w:hAnsiTheme="minorEastAsia" w:eastAsiaTheme="minorEastAsia"/>
                <w:sz w:val="21"/>
                <w:szCs w:val="21"/>
              </w:rPr>
              <w:t>.1.2</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9.2</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10.2</w:t>
            </w:r>
          </w:p>
          <w:p>
            <w:pPr>
              <w:pStyle w:val="10"/>
              <w:ind w:left="0" w:firstLine="0" w:firstLineChars="0"/>
              <w:rPr>
                <w:rFonts w:asciiTheme="minorEastAsia" w:hAnsiTheme="minorEastAsia" w:eastAsiaTheme="minorEastAsia"/>
                <w:bCs/>
                <w:spacing w:val="10"/>
                <w:szCs w:val="21"/>
              </w:rPr>
            </w:pPr>
            <w:r>
              <w:rPr>
                <w:rFonts w:hint="eastAsia" w:asciiTheme="minorEastAsia" w:hAnsiTheme="minorEastAsia" w:eastAsiaTheme="minorEastAsia"/>
                <w:sz w:val="21"/>
                <w:szCs w:val="21"/>
              </w:rPr>
              <w:t>OHS:</w:t>
            </w:r>
            <w:r>
              <w:rPr>
                <w:rFonts w:hint="eastAsia" w:asciiTheme="minorEastAsia" w:hAnsiTheme="minorEastAsia" w:eastAsiaTheme="minorEastAsia"/>
                <w:bCs/>
                <w:spacing w:val="10"/>
                <w:sz w:val="21"/>
                <w:szCs w:val="21"/>
              </w:rPr>
              <w:t>5.3、</w:t>
            </w:r>
            <w:r>
              <w:rPr>
                <w:rFonts w:hint="eastAsia" w:asciiTheme="minorEastAsia" w:hAnsiTheme="minorEastAsia" w:eastAsiaTheme="minorEastAsia"/>
                <w:sz w:val="21"/>
                <w:szCs w:val="21"/>
              </w:rPr>
              <w:t>6.2、</w:t>
            </w:r>
            <w:r>
              <w:rPr>
                <w:rFonts w:hint="eastAsia" w:cs="Arial" w:asciiTheme="minorEastAsia" w:hAnsiTheme="minorEastAsia" w:eastAsiaTheme="minorEastAsia"/>
                <w:sz w:val="21"/>
                <w:szCs w:val="21"/>
              </w:rPr>
              <w:t>6.1.2</w:t>
            </w:r>
            <w:r>
              <w:rPr>
                <w:rFonts w:hint="eastAsia" w:asciiTheme="minorEastAsia" w:hAnsiTheme="minorEastAsia" w:eastAsiaTheme="minorEastAsia"/>
                <w:sz w:val="21"/>
                <w:szCs w:val="21"/>
                <w:lang w:eastAsia="zh-CN"/>
              </w:rPr>
              <w:t>、</w:t>
            </w:r>
            <w:r>
              <w:rPr>
                <w:rFonts w:hint="eastAsia" w:cs="Arial" w:asciiTheme="minorEastAsia" w:hAnsiTheme="minorEastAsia" w:eastAsiaTheme="minorEastAsia"/>
                <w:sz w:val="21"/>
                <w:szCs w:val="21"/>
              </w:rPr>
              <w:t>6.1.3</w:t>
            </w:r>
            <w:r>
              <w:rPr>
                <w:rFonts w:hint="eastAsia" w:asciiTheme="minorEastAsia" w:hAnsiTheme="minorEastAsia" w:eastAsiaTheme="minorEastAsia"/>
                <w:sz w:val="21"/>
                <w:szCs w:val="21"/>
                <w:lang w:eastAsia="zh-CN"/>
              </w:rPr>
              <w:t>、</w:t>
            </w:r>
            <w:r>
              <w:rPr>
                <w:rFonts w:hint="eastAsia" w:cs="Arial" w:asciiTheme="minorEastAsia" w:hAnsiTheme="minorEastAsia" w:eastAsiaTheme="minorEastAsia"/>
                <w:sz w:val="21"/>
                <w:szCs w:val="21"/>
              </w:rPr>
              <w:t>6.1.4</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bCs/>
                <w:spacing w:val="10"/>
                <w:sz w:val="21"/>
                <w:szCs w:val="21"/>
              </w:rPr>
              <w:t>7.2、7.3</w:t>
            </w:r>
            <w:r>
              <w:rPr>
                <w:rFonts w:hint="eastAsia" w:asciiTheme="minorEastAsia" w:hAnsiTheme="minorEastAsia" w:eastAsiaTheme="minorEastAsia"/>
                <w:bCs/>
                <w:spacing w:val="10"/>
                <w:sz w:val="21"/>
                <w:szCs w:val="21"/>
                <w:lang w:eastAsia="zh-CN"/>
              </w:rPr>
              <w:t>、</w:t>
            </w:r>
            <w:r>
              <w:rPr>
                <w:rFonts w:asciiTheme="minorEastAsia" w:hAnsiTheme="minorEastAsia" w:eastAsiaTheme="minorEastAsia"/>
                <w:sz w:val="21"/>
                <w:szCs w:val="21"/>
              </w:rPr>
              <w:t xml:space="preserve"> </w:t>
            </w:r>
            <w:r>
              <w:rPr>
                <w:rFonts w:hint="eastAsia" w:cs="Arial" w:asciiTheme="minorEastAsia" w:hAnsiTheme="minorEastAsia" w:eastAsiaTheme="minorEastAsia"/>
                <w:sz w:val="21"/>
                <w:szCs w:val="21"/>
              </w:rPr>
              <w:t>8.1</w:t>
            </w:r>
            <w:r>
              <w:rPr>
                <w:rFonts w:hint="eastAsia" w:asciiTheme="minorEastAsia" w:hAnsiTheme="minorEastAsia" w:eastAsiaTheme="minorEastAsia"/>
                <w:sz w:val="21"/>
                <w:szCs w:val="21"/>
                <w:lang w:eastAsia="zh-CN"/>
              </w:rPr>
              <w:t>、</w:t>
            </w:r>
            <w:r>
              <w:rPr>
                <w:rFonts w:hint="eastAsia" w:cs="Arial" w:asciiTheme="minorEastAsia" w:hAnsiTheme="minorEastAsia" w:eastAsiaTheme="minorEastAsia"/>
                <w:sz w:val="21"/>
                <w:szCs w:val="21"/>
              </w:rPr>
              <w:t>8.2</w:t>
            </w:r>
            <w:r>
              <w:rPr>
                <w:rFonts w:hint="eastAsia" w:asciiTheme="minorEastAsia" w:hAnsiTheme="minorEastAsia" w:eastAsiaTheme="minorEastAsia"/>
                <w:sz w:val="21"/>
                <w:szCs w:val="21"/>
                <w:lang w:eastAsia="zh-CN"/>
              </w:rPr>
              <w:t>、</w:t>
            </w:r>
            <w:r>
              <w:rPr>
                <w:rFonts w:hint="eastAsia" w:cs="Arial" w:asciiTheme="minorEastAsia" w:hAnsiTheme="minorEastAsia" w:eastAsiaTheme="minorEastAsia"/>
                <w:sz w:val="21"/>
                <w:szCs w:val="21"/>
              </w:rPr>
              <w:t>9.1.1</w:t>
            </w:r>
            <w:r>
              <w:rPr>
                <w:rFonts w:hint="eastAsia" w:asciiTheme="minorEastAsia" w:hAnsiTheme="minorEastAsia" w:eastAsiaTheme="minorEastAsia"/>
                <w:sz w:val="21"/>
                <w:szCs w:val="21"/>
                <w:lang w:eastAsia="zh-CN"/>
              </w:rPr>
              <w:t>、</w:t>
            </w:r>
            <w:r>
              <w:rPr>
                <w:rFonts w:hint="eastAsia" w:cs="Arial" w:asciiTheme="minorEastAsia" w:hAnsiTheme="minorEastAsia" w:eastAsiaTheme="minorEastAsia"/>
                <w:sz w:val="21"/>
                <w:szCs w:val="21"/>
              </w:rPr>
              <w:t>9.1.2</w:t>
            </w:r>
            <w:r>
              <w:rPr>
                <w:rFonts w:hint="eastAsia" w:asciiTheme="minorEastAsia" w:hAnsiTheme="minorEastAsia" w:eastAsiaTheme="minorEastAsia"/>
                <w:bCs/>
                <w:spacing w:val="10"/>
                <w:sz w:val="21"/>
                <w:szCs w:val="21"/>
              </w:rPr>
              <w:t>、9.2</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10.2</w:t>
            </w:r>
          </w:p>
        </w:tc>
        <w:tc>
          <w:tcPr>
            <w:tcW w:w="1490" w:type="dxa"/>
            <w:vMerge w:val="continue"/>
            <w:shd w:val="clear" w:color="auto" w:fill="auto"/>
          </w:tcPr>
          <w:p>
            <w:pPr>
              <w:pStyle w:val="10"/>
              <w:ind w:left="0" w:firstLine="0" w:firstLineChars="0"/>
              <w:rPr>
                <w:rFonts w:asciiTheme="minorEastAsia" w:hAnsiTheme="minorEastAsia" w:eastAsiaTheme="minorEastAsia"/>
                <w:bCs/>
                <w:spacing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5" w:hRule="atLeast"/>
        </w:trPr>
        <w:tc>
          <w:tcPr>
            <w:tcW w:w="1809" w:type="dxa"/>
            <w:shd w:val="clear" w:color="auto" w:fill="auto"/>
          </w:tcPr>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组织的岗位职责和权限</w:t>
            </w:r>
          </w:p>
        </w:tc>
        <w:tc>
          <w:tcPr>
            <w:tcW w:w="1211" w:type="dxa"/>
            <w:shd w:val="clear" w:color="auto" w:fill="auto"/>
          </w:tcPr>
          <w:p>
            <w:pPr>
              <w:spacing w:line="280" w:lineRule="exact"/>
              <w:ind w:firstLine="420" w:firstLineChars="200"/>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QO</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5.3</w:t>
            </w:r>
          </w:p>
          <w:p>
            <w:pPr>
              <w:spacing w:line="280" w:lineRule="exact"/>
              <w:ind w:firstLine="420" w:firstLineChars="200"/>
              <w:jc w:val="left"/>
              <w:rPr>
                <w:rFonts w:cs="宋体" w:asciiTheme="minorEastAsia" w:hAnsiTheme="minorEastAsia" w:eastAsiaTheme="minorEastAsia"/>
                <w:szCs w:val="21"/>
              </w:rPr>
            </w:pPr>
          </w:p>
        </w:tc>
        <w:tc>
          <w:tcPr>
            <w:tcW w:w="10104" w:type="dxa"/>
            <w:shd w:val="clear" w:color="auto" w:fill="auto"/>
            <w:vAlign w:val="center"/>
          </w:tcPr>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与负责人交流明确职责和权限,与手册中规定一致。</w:t>
            </w:r>
          </w:p>
          <w:p>
            <w:pPr>
              <w:spacing w:line="360" w:lineRule="auto"/>
              <w:ind w:firstLine="420" w:firstLineChars="200"/>
              <w:rPr>
                <w:rFonts w:cs="宋体" w:asciiTheme="minorEastAsia" w:hAnsiTheme="minorEastAsia" w:eastAsiaTheme="minorEastAsia"/>
                <w:szCs w:val="21"/>
              </w:rPr>
            </w:pPr>
            <w:r>
              <w:rPr>
                <w:rFonts w:hint="eastAsia" w:ascii="Times New Roman" w:hAnsi="Times New Roman" w:eastAsia="宋体" w:cs="Times New Roman"/>
                <w:lang w:eastAsia="zh-CN"/>
              </w:rPr>
              <w:t>部门主要负责质量、职业健康安全管理体系建立、实施、保持和持续改进；负责公司体系文件、记录及外来文件的管理；协助管理层贯彻落实公司管理方针和目标指标和管理评审；负责公司人力资源管理；负责制定培训计划并组织培训；组织对本公司的危险源进行识别/辨识和评价，确定重大危险源；负责制定内部审核计划，组织实施内部审核；负责顾客要求确定、评审、满意调查及沟通；负责供方选择评价，确定合格供方，并负责采购实施；负责职业健康安全运行控制管理；应急准备和响应等工作。</w:t>
            </w:r>
          </w:p>
        </w:tc>
        <w:tc>
          <w:tcPr>
            <w:tcW w:w="1490" w:type="dxa"/>
            <w:shd w:val="clear" w:color="auto" w:fill="auto"/>
            <w:vAlign w:val="center"/>
          </w:tcPr>
          <w:p>
            <w:pPr>
              <w:pStyle w:val="2"/>
              <w:ind w:firstLine="46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OK</w:t>
            </w:r>
          </w:p>
          <w:p>
            <w:pPr>
              <w:spacing w:line="280" w:lineRule="exact"/>
              <w:ind w:firstLine="420" w:firstLineChars="200"/>
              <w:rPr>
                <w:rFonts w:cs="宋体"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2" w:hRule="atLeast"/>
        </w:trPr>
        <w:tc>
          <w:tcPr>
            <w:tcW w:w="1809" w:type="dxa"/>
            <w:shd w:val="clear" w:color="auto" w:fill="auto"/>
            <w:vAlign w:val="center"/>
          </w:tcPr>
          <w:p>
            <w:pPr>
              <w:spacing w:line="280" w:lineRule="exact"/>
              <w:jc w:val="left"/>
              <w:rPr>
                <w:rFonts w:cs="Arial" w:asciiTheme="minorEastAsia" w:hAnsiTheme="minorEastAsia" w:eastAsiaTheme="minorEastAsia"/>
                <w:sz w:val="24"/>
                <w:szCs w:val="24"/>
              </w:rPr>
            </w:pPr>
            <w:r>
              <w:rPr>
                <w:rFonts w:hint="eastAsia" w:cs="宋体" w:asciiTheme="minorEastAsia" w:hAnsiTheme="minorEastAsia" w:eastAsiaTheme="minorEastAsia"/>
                <w:szCs w:val="21"/>
              </w:rPr>
              <w:t>目标及其实现策划</w:t>
            </w:r>
          </w:p>
        </w:tc>
        <w:tc>
          <w:tcPr>
            <w:tcW w:w="1211" w:type="dxa"/>
            <w:shd w:val="clear" w:color="auto" w:fill="auto"/>
            <w:vAlign w:val="center"/>
          </w:tcPr>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QO</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6.2</w:t>
            </w:r>
          </w:p>
          <w:p>
            <w:pPr>
              <w:spacing w:line="280" w:lineRule="exact"/>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6.2.1</w:t>
            </w:r>
          </w:p>
          <w:p>
            <w:pPr>
              <w:spacing w:line="280" w:lineRule="exact"/>
              <w:ind w:firstLine="420" w:firstLineChars="200"/>
              <w:jc w:val="left"/>
              <w:rPr>
                <w:rFonts w:cs="Arial" w:asciiTheme="minorEastAsia" w:hAnsiTheme="minorEastAsia" w:eastAsiaTheme="minorEastAsia"/>
                <w:sz w:val="24"/>
                <w:szCs w:val="24"/>
              </w:rPr>
            </w:pPr>
            <w:r>
              <w:rPr>
                <w:rFonts w:hint="eastAsia" w:cs="宋体" w:asciiTheme="minorEastAsia" w:hAnsiTheme="minorEastAsia" w:eastAsiaTheme="minorEastAsia"/>
                <w:szCs w:val="21"/>
              </w:rPr>
              <w:t>6.2.2</w:t>
            </w:r>
          </w:p>
        </w:tc>
        <w:tc>
          <w:tcPr>
            <w:tcW w:w="10104" w:type="dxa"/>
            <w:shd w:val="clear" w:color="auto" w:fill="auto"/>
            <w:vAlign w:val="center"/>
          </w:tcPr>
          <w:p>
            <w:pPr>
              <w:spacing w:line="280" w:lineRule="exact"/>
              <w:ind w:firstLine="420" w:firstLineChars="200"/>
            </w:pPr>
            <w:r>
              <w:rPr>
                <w:rFonts w:hint="eastAsia"/>
              </w:rPr>
              <w:t>提供公司目标、各部门质量目标分解文件、各部门安全指标分解；</w:t>
            </w:r>
          </w:p>
          <w:p>
            <w:pPr>
              <w:spacing w:line="280" w:lineRule="exact"/>
              <w:ind w:firstLine="420" w:firstLineChars="200"/>
            </w:pPr>
            <w:r>
              <w:rPr>
                <w:rFonts w:hint="eastAsia"/>
                <w:lang w:eastAsia="zh-CN"/>
              </w:rPr>
              <w:t>有</w:t>
            </w:r>
            <w:r>
              <w:rPr>
                <w:rFonts w:hint="eastAsia"/>
              </w:rPr>
              <w:t>综合部质量目标分解；</w:t>
            </w:r>
          </w:p>
          <w:p>
            <w:pPr>
              <w:spacing w:line="280" w:lineRule="exact"/>
              <w:ind w:firstLine="420" w:firstLineChars="200"/>
            </w:pPr>
            <w:r>
              <w:rPr>
                <w:rFonts w:hint="eastAsia"/>
                <w:lang w:eastAsia="zh-CN"/>
              </w:rPr>
              <w:t>抽</w:t>
            </w:r>
            <w:r>
              <w:rPr>
                <w:rFonts w:hint="eastAsia"/>
              </w:rPr>
              <w:t>有</w:t>
            </w:r>
            <w:r>
              <w:rPr>
                <w:rFonts w:hint="eastAsia"/>
                <w:lang w:eastAsia="zh-CN"/>
              </w:rPr>
              <w:t>一季度、二季度、三季度</w:t>
            </w:r>
            <w:r>
              <w:rPr>
                <w:rFonts w:hint="eastAsia"/>
              </w:rPr>
              <w:t>质量分解目标完成统计表，综合部分解目标、指标完成如下：</w:t>
            </w:r>
          </w:p>
          <w:tbl>
            <w:tblPr>
              <w:tblStyle w:val="11"/>
              <w:tblW w:w="89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9"/>
              <w:gridCol w:w="5089"/>
              <w:gridCol w:w="1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569" w:type="dxa"/>
                  <w:vAlign w:val="center"/>
                </w:tcPr>
                <w:p>
                  <w:pPr>
                    <w:adjustRightInd w:val="0"/>
                    <w:snapToGrid w:val="0"/>
                    <w:ind w:left="-80" w:leftChars="-38" w:right="-99" w:rightChars="-47"/>
                    <w:jc w:val="center"/>
                  </w:pPr>
                  <w:r>
                    <w:rPr>
                      <w:rFonts w:hint="eastAsia"/>
                    </w:rPr>
                    <w:t>目标、指标</w:t>
                  </w:r>
                </w:p>
              </w:tc>
              <w:tc>
                <w:tcPr>
                  <w:tcW w:w="5089" w:type="dxa"/>
                  <w:vAlign w:val="center"/>
                </w:tcPr>
                <w:p>
                  <w:pPr>
                    <w:adjustRightInd w:val="0"/>
                    <w:snapToGrid w:val="0"/>
                    <w:ind w:left="-80" w:leftChars="-38" w:right="-99" w:rightChars="-47"/>
                    <w:jc w:val="center"/>
                  </w:pPr>
                  <w:r>
                    <w:rPr>
                      <w:rFonts w:hint="eastAsia"/>
                    </w:rPr>
                    <w:t>考 核</w:t>
                  </w:r>
                </w:p>
              </w:tc>
              <w:tc>
                <w:tcPr>
                  <w:tcW w:w="1307" w:type="dxa"/>
                  <w:vAlign w:val="center"/>
                </w:tcPr>
                <w:p>
                  <w:pPr>
                    <w:jc w:val="center"/>
                  </w:pPr>
                  <w:r>
                    <w:rPr>
                      <w:rFonts w:hint="eastAsia"/>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569" w:type="dxa"/>
                  <w:vAlign w:val="center"/>
                </w:tcPr>
                <w:p>
                  <w:pPr>
                    <w:adjustRightInd w:val="0"/>
                    <w:snapToGrid w:val="0"/>
                    <w:ind w:left="-80" w:leftChars="-38" w:right="-99" w:rightChars="-47"/>
                  </w:pPr>
                  <w:r>
                    <w:rPr>
                      <w:rFonts w:hint="eastAsia"/>
                    </w:rPr>
                    <w:t>1）人员培训合格率≥97％</w:t>
                  </w:r>
                </w:p>
              </w:tc>
              <w:tc>
                <w:tcPr>
                  <w:tcW w:w="5089" w:type="dxa"/>
                  <w:vAlign w:val="center"/>
                </w:tcPr>
                <w:p>
                  <w:pPr>
                    <w:adjustRightInd w:val="0"/>
                    <w:snapToGrid w:val="0"/>
                    <w:ind w:left="-86" w:leftChars="-41" w:right="-122" w:rightChars="-58"/>
                  </w:pPr>
                  <w:r>
                    <w:rPr>
                      <w:rFonts w:hint="eastAsia"/>
                    </w:rPr>
                    <w:t>培训合格率＝受训员工合格人数/受训员工人数×100％</w:t>
                  </w:r>
                </w:p>
              </w:tc>
              <w:tc>
                <w:tcPr>
                  <w:tcW w:w="1307" w:type="dxa"/>
                  <w:vAlign w:val="center"/>
                </w:tcPr>
                <w:p>
                  <w:pPr>
                    <w:jc w:val="center"/>
                  </w:pPr>
                  <w:r>
                    <w:t>97.</w:t>
                  </w:r>
                  <w:r>
                    <w:rPr>
                      <w:rFonts w:hint="eastAsia"/>
                      <w:lang w:val="en-US" w:eastAsia="zh-CN"/>
                    </w:rPr>
                    <w:t>6</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569" w:type="dxa"/>
                  <w:vAlign w:val="center"/>
                </w:tcPr>
                <w:p>
                  <w:pPr>
                    <w:adjustRightInd w:val="0"/>
                    <w:snapToGrid w:val="0"/>
                    <w:ind w:left="-80" w:leftChars="-38" w:right="-99" w:rightChars="-47"/>
                  </w:pPr>
                  <w:r>
                    <w:rPr>
                      <w:rFonts w:hint="eastAsia"/>
                    </w:rPr>
                    <w:t>2）人员持证上岗率100％</w:t>
                  </w:r>
                </w:p>
              </w:tc>
              <w:tc>
                <w:tcPr>
                  <w:tcW w:w="5089" w:type="dxa"/>
                  <w:vAlign w:val="center"/>
                </w:tcPr>
                <w:p>
                  <w:pPr>
                    <w:adjustRightInd w:val="0"/>
                    <w:snapToGrid w:val="0"/>
                    <w:ind w:left="-86" w:leftChars="-41" w:right="-122" w:rightChars="-58"/>
                  </w:pPr>
                  <w:r>
                    <w:rPr>
                      <w:rFonts w:hint="eastAsia"/>
                    </w:rPr>
                    <w:t>持证上岗率＝持证上岗人数/上岗总人数×100％</w:t>
                  </w:r>
                </w:p>
              </w:tc>
              <w:tc>
                <w:tcPr>
                  <w:tcW w:w="1307" w:type="dxa"/>
                  <w:vAlign w:val="center"/>
                </w:tcPr>
                <w:p>
                  <w:pPr>
                    <w:jc w:val="center"/>
                  </w:pPr>
                  <w:r>
                    <w:rPr>
                      <w:rFonts w:hint="eastAsia"/>
                    </w:rPr>
                    <w:t>100</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9" w:type="dxa"/>
                  <w:vAlign w:val="center"/>
                </w:tcPr>
                <w:p>
                  <w:pPr>
                    <w:adjustRightInd w:val="0"/>
                    <w:snapToGrid w:val="0"/>
                    <w:ind w:left="-80" w:leftChars="-38" w:right="-99" w:rightChars="-47"/>
                  </w:pPr>
                  <w:r>
                    <w:rPr>
                      <w:rFonts w:hint="eastAsia"/>
                    </w:rPr>
                    <w:t>3）文件发放收回受控率100％</w:t>
                  </w:r>
                </w:p>
              </w:tc>
              <w:tc>
                <w:tcPr>
                  <w:tcW w:w="5089" w:type="dxa"/>
                  <w:vAlign w:val="center"/>
                </w:tcPr>
                <w:p>
                  <w:pPr>
                    <w:adjustRightInd w:val="0"/>
                    <w:snapToGrid w:val="0"/>
                    <w:ind w:left="-86" w:leftChars="-41" w:right="-122" w:rightChars="-58"/>
                  </w:pPr>
                  <w:r>
                    <w:rPr>
                      <w:rFonts w:hint="eastAsia"/>
                    </w:rPr>
                    <w:t>文件发放收回受控率＝实际发放回收数/文件发放回收登记数×100％</w:t>
                  </w:r>
                </w:p>
              </w:tc>
              <w:tc>
                <w:tcPr>
                  <w:tcW w:w="1307" w:type="dxa"/>
                  <w:vAlign w:val="center"/>
                </w:tcPr>
                <w:p>
                  <w:pPr>
                    <w:jc w:val="center"/>
                  </w:pPr>
                  <w:r>
                    <w:rPr>
                      <w:rFonts w:hint="eastAsia"/>
                    </w:rPr>
                    <w:t>100</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569" w:type="dxa"/>
                  <w:vAlign w:val="center"/>
                </w:tcPr>
                <w:p>
                  <w:pPr>
                    <w:jc w:val="left"/>
                  </w:pPr>
                  <w:r>
                    <w:rPr>
                      <w:rFonts w:hint="eastAsia"/>
                    </w:rPr>
                    <w:t>4）顾客满意度达到90％以上</w:t>
                  </w:r>
                </w:p>
              </w:tc>
              <w:tc>
                <w:tcPr>
                  <w:tcW w:w="5089" w:type="dxa"/>
                  <w:vAlign w:val="center"/>
                </w:tcPr>
                <w:p>
                  <w:r>
                    <w:rPr>
                      <w:rFonts w:hint="eastAsia"/>
                    </w:rPr>
                    <w:t>满意度＝顾客调查的所有合格项目/收回调查表的所有项目×100%</w:t>
                  </w:r>
                </w:p>
              </w:tc>
              <w:tc>
                <w:tcPr>
                  <w:tcW w:w="1307" w:type="dxa"/>
                  <w:vAlign w:val="center"/>
                </w:tcPr>
                <w:p>
                  <w:pPr>
                    <w:jc w:val="center"/>
                  </w:pPr>
                  <w:r>
                    <w:rPr>
                      <w:rFonts w:hint="eastAsia"/>
                    </w:rPr>
                    <w:t>9</w:t>
                  </w:r>
                  <w:r>
                    <w:rPr>
                      <w:rFonts w:hint="eastAsia"/>
                      <w:lang w:val="en-US" w:eastAsia="zh-CN"/>
                    </w:rPr>
                    <w:t>7</w:t>
                  </w:r>
                  <w:r>
                    <w:rPr>
                      <w:rFonts w:hint="eastAsia"/>
                    </w:rPr>
                    <w:t>%</w:t>
                  </w:r>
                </w:p>
              </w:tc>
            </w:tr>
          </w:tbl>
          <w:p>
            <w:pPr>
              <w:spacing w:line="280" w:lineRule="exact"/>
              <w:ind w:firstLine="420" w:firstLineChars="200"/>
            </w:pP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提供 2022年职业健康安全目标指标及方案 ，批准王邦启，方案明确目标、指标、方案及措施、责任部门、资金预算、周期及完成日期；</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 xml:space="preserve">提供本部门职业健康安全管理方案及跟进  </w:t>
            </w:r>
          </w:p>
          <w:p>
            <w:pPr>
              <w:pStyle w:val="2"/>
              <w:rPr>
                <w:rFonts w:hint="eastAsia"/>
                <w:color w:val="FF0000"/>
              </w:rPr>
            </w:pPr>
            <w:r>
              <w:drawing>
                <wp:anchor distT="0" distB="0" distL="114300" distR="114300" simplePos="0" relativeHeight="251665408" behindDoc="0" locked="0" layoutInCell="1" allowOverlap="1">
                  <wp:simplePos x="0" y="0"/>
                  <wp:positionH relativeFrom="column">
                    <wp:posOffset>215900</wp:posOffset>
                  </wp:positionH>
                  <wp:positionV relativeFrom="paragraph">
                    <wp:posOffset>95885</wp:posOffset>
                  </wp:positionV>
                  <wp:extent cx="5714365" cy="1172210"/>
                  <wp:effectExtent l="0" t="0" r="635" b="8890"/>
                  <wp:wrapNone/>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6"/>
                          <a:stretch>
                            <a:fillRect/>
                          </a:stretch>
                        </pic:blipFill>
                        <pic:spPr>
                          <a:xfrm>
                            <a:off x="0" y="0"/>
                            <a:ext cx="5714365" cy="1172210"/>
                          </a:xfrm>
                          <a:prstGeom prst="rect">
                            <a:avLst/>
                          </a:prstGeom>
                          <a:noFill/>
                          <a:ln>
                            <a:noFill/>
                          </a:ln>
                        </pic:spPr>
                      </pic:pic>
                    </a:graphicData>
                  </a:graphic>
                </wp:anchor>
              </w:drawing>
            </w:r>
          </w:p>
          <w:p>
            <w:pPr>
              <w:pStyle w:val="2"/>
              <w:rPr>
                <w:rFonts w:hint="eastAsia"/>
                <w:color w:val="FF0000"/>
              </w:rPr>
            </w:pPr>
          </w:p>
          <w:p>
            <w:pPr>
              <w:pStyle w:val="2"/>
              <w:rPr>
                <w:rFonts w:hint="eastAsia"/>
                <w:color w:val="FF0000"/>
              </w:rPr>
            </w:pPr>
          </w:p>
          <w:p>
            <w:pPr>
              <w:pStyle w:val="2"/>
              <w:rPr>
                <w:rFonts w:hint="eastAsia"/>
                <w:color w:val="FF0000"/>
              </w:rPr>
            </w:pPr>
          </w:p>
          <w:p>
            <w:pPr>
              <w:pStyle w:val="2"/>
              <w:rPr>
                <w:rFonts w:hint="eastAsia"/>
                <w:color w:val="FF0000"/>
              </w:rPr>
            </w:pPr>
          </w:p>
          <w:p>
            <w:pPr>
              <w:ind w:firstLine="420" w:firstLineChars="200"/>
              <w:jc w:val="left"/>
              <w:rPr>
                <w:rFonts w:hint="eastAsia"/>
              </w:rPr>
            </w:pPr>
          </w:p>
          <w:p>
            <w:pPr>
              <w:ind w:firstLine="420" w:firstLineChars="200"/>
              <w:jc w:val="left"/>
              <w:rPr>
                <w:rFonts w:hint="eastAsia"/>
              </w:rPr>
            </w:pPr>
          </w:p>
          <w:p>
            <w:pPr>
              <w:ind w:firstLine="420" w:firstLineChars="200"/>
              <w:jc w:val="left"/>
              <w:rPr>
                <w:rFonts w:hint="eastAsia"/>
              </w:rPr>
            </w:pPr>
            <w:r>
              <w:rPr>
                <w:rFonts w:hint="eastAsia"/>
              </w:rPr>
              <w:t>有</w:t>
            </w:r>
            <w:r>
              <w:rPr>
                <w:rFonts w:hint="eastAsia"/>
                <w:lang w:eastAsia="zh-CN"/>
              </w:rPr>
              <w:t>2022</w:t>
            </w:r>
            <w:r>
              <w:rPr>
                <w:rFonts w:hint="eastAsia"/>
              </w:rPr>
              <w:t>年11月</w:t>
            </w:r>
            <w:r>
              <w:rPr>
                <w:rFonts w:hint="eastAsia"/>
                <w:lang w:val="en-US" w:eastAsia="zh-CN"/>
              </w:rPr>
              <w:t>3</w:t>
            </w:r>
            <w:r>
              <w:rPr>
                <w:rFonts w:hint="eastAsia"/>
              </w:rPr>
              <w:t>0日分解</w:t>
            </w:r>
            <w:r>
              <w:rPr>
                <w:rFonts w:hint="eastAsia"/>
                <w:lang w:eastAsia="zh-CN"/>
              </w:rPr>
              <w:t>职业健康安全</w:t>
            </w:r>
            <w:r>
              <w:rPr>
                <w:rFonts w:hint="eastAsia"/>
              </w:rPr>
              <w:t>目标</w:t>
            </w:r>
            <w:r>
              <w:rPr>
                <w:rFonts w:hint="eastAsia"/>
                <w:lang w:eastAsia="zh-CN"/>
              </w:rPr>
              <w:t>、</w:t>
            </w:r>
            <w:r>
              <w:rPr>
                <w:rFonts w:hint="eastAsia"/>
              </w:rPr>
              <w:t>指</w:t>
            </w:r>
            <w:r>
              <w:rPr>
                <w:rFonts w:hint="eastAsia"/>
                <w:lang w:eastAsia="zh-CN"/>
              </w:rPr>
              <w:t>标</w:t>
            </w:r>
            <w:r>
              <w:rPr>
                <w:rFonts w:hint="eastAsia"/>
              </w:rPr>
              <w:t xml:space="preserve">及跟踪：目标指标达成，方案在实施中。 </w:t>
            </w:r>
          </w:p>
          <w:p>
            <w:pPr>
              <w:numPr>
                <w:ilvl w:val="0"/>
                <w:numId w:val="1"/>
              </w:numPr>
              <w:ind w:left="1265" w:leftChars="0" w:hanging="425" w:firstLineChars="0"/>
              <w:jc w:val="both"/>
              <w:rPr>
                <w:rFonts w:hint="eastAsia"/>
              </w:rPr>
            </w:pPr>
            <w:r>
              <w:rPr>
                <w:rFonts w:hint="eastAsia"/>
              </w:rPr>
              <w:t>火灾爆炸事故0</w:t>
            </w:r>
            <w:r>
              <w:rPr>
                <w:rFonts w:hint="eastAsia"/>
                <w:lang w:val="en-US" w:eastAsia="zh-CN"/>
              </w:rPr>
              <w:t xml:space="preserve">     </w:t>
            </w:r>
          </w:p>
          <w:p>
            <w:pPr>
              <w:numPr>
                <w:ilvl w:val="0"/>
                <w:numId w:val="1"/>
              </w:numPr>
              <w:ind w:left="1265" w:leftChars="0" w:hanging="425" w:firstLineChars="0"/>
              <w:jc w:val="both"/>
              <w:rPr>
                <w:rFonts w:hint="eastAsia"/>
              </w:rPr>
            </w:pPr>
            <w:r>
              <w:rPr>
                <w:rFonts w:hint="eastAsia"/>
              </w:rPr>
              <w:t>重大伤亡事故0</w:t>
            </w:r>
          </w:p>
          <w:p>
            <w:pPr>
              <w:numPr>
                <w:ilvl w:val="0"/>
                <w:numId w:val="1"/>
              </w:numPr>
              <w:ind w:left="1265" w:leftChars="0" w:hanging="425" w:firstLineChars="0"/>
              <w:jc w:val="both"/>
              <w:rPr>
                <w:rFonts w:hint="eastAsia"/>
              </w:rPr>
            </w:pPr>
            <w:r>
              <w:rPr>
                <w:rFonts w:hint="eastAsia"/>
              </w:rPr>
              <w:t>工伤事故0</w:t>
            </w:r>
          </w:p>
          <w:p>
            <w:pPr>
              <w:pStyle w:val="2"/>
              <w:numPr>
                <w:ilvl w:val="0"/>
                <w:numId w:val="1"/>
              </w:numPr>
              <w:ind w:left="1265" w:leftChars="0" w:hanging="425" w:firstLineChars="0"/>
              <w:rPr>
                <w:rFonts w:hint="eastAsia" w:cs="宋体" w:asciiTheme="minorEastAsia" w:hAnsiTheme="minorEastAsia" w:eastAsiaTheme="minorEastAsia"/>
                <w:szCs w:val="21"/>
              </w:rPr>
            </w:pPr>
            <w:r>
              <w:rPr>
                <w:rFonts w:hint="eastAsia"/>
              </w:rPr>
              <w:t>职业病0</w:t>
            </w:r>
          </w:p>
        </w:tc>
        <w:tc>
          <w:tcPr>
            <w:tcW w:w="1490" w:type="dxa"/>
            <w:shd w:val="clear" w:color="auto" w:fill="auto"/>
            <w:vAlign w:val="center"/>
          </w:tcPr>
          <w:p>
            <w:pPr>
              <w:spacing w:line="280" w:lineRule="exact"/>
              <w:ind w:firstLine="420" w:firstLineChars="200"/>
              <w:rPr>
                <w:rFonts w:hint="eastAsia"/>
              </w:rPr>
            </w:pPr>
          </w:p>
          <w:p>
            <w:pPr>
              <w:spacing w:line="280" w:lineRule="exact"/>
              <w:ind w:firstLine="420" w:firstLineChars="200"/>
              <w:rPr>
                <w:rFonts w:hint="eastAsia"/>
              </w:rPr>
            </w:pPr>
          </w:p>
          <w:p>
            <w:pPr>
              <w:pStyle w:val="2"/>
              <w:ind w:firstLine="460" w:firstLineChars="200"/>
              <w:rPr>
                <w:rFonts w:hint="eastAsia"/>
              </w:rPr>
            </w:pPr>
            <w:r>
              <w:rPr>
                <w:rFonts w:hint="eastAsia" w:cs="宋体" w:asciiTheme="minorEastAsia" w:hAnsiTheme="minorEastAsia" w:eastAsiaTheme="minorEastAsia"/>
                <w:szCs w:val="21"/>
              </w:rPr>
              <w:t>OK</w:t>
            </w:r>
          </w:p>
          <w:p>
            <w:pPr>
              <w:pStyle w:val="2"/>
              <w:rPr>
                <w:rFonts w:hint="eastAsia"/>
              </w:rPr>
            </w:pPr>
          </w:p>
          <w:p>
            <w:pPr>
              <w:pStyle w:val="2"/>
              <w:rPr>
                <w:rFonts w:hint="eastAsia"/>
              </w:rPr>
            </w:pPr>
          </w:p>
          <w:p>
            <w:pPr>
              <w:pStyle w:val="2"/>
              <w:rPr>
                <w:rFonts w:hint="eastAsia"/>
              </w:rPr>
            </w:pPr>
          </w:p>
          <w:p>
            <w:pPr>
              <w:pStyle w:val="2"/>
              <w:rPr>
                <w:rFonts w:hint="eastAsia"/>
              </w:rPr>
            </w:pPr>
          </w:p>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1809" w:type="dxa"/>
            <w:shd w:val="clear" w:color="auto" w:fill="auto"/>
            <w:vAlign w:val="center"/>
          </w:tcPr>
          <w:p>
            <w:pPr>
              <w:spacing w:line="280" w:lineRule="exact"/>
              <w:jc w:val="left"/>
              <w:rPr>
                <w:rFonts w:ascii="楷体" w:hAnsi="楷体" w:eastAsia="楷体" w:cs="Times New Roman"/>
                <w:b/>
                <w:kern w:val="2"/>
                <w:sz w:val="24"/>
                <w:szCs w:val="24"/>
                <w:lang w:val="en-US" w:eastAsia="zh-CN" w:bidi="ar-SA"/>
              </w:rPr>
            </w:pPr>
            <w:r>
              <w:rPr>
                <w:rFonts w:hint="eastAsia" w:ascii="宋体" w:hAnsi="宋体" w:cs="Arial"/>
                <w:szCs w:val="21"/>
              </w:rPr>
              <w:t>危险源辨识与评价</w:t>
            </w:r>
          </w:p>
        </w:tc>
        <w:tc>
          <w:tcPr>
            <w:tcW w:w="1211" w:type="dxa"/>
            <w:shd w:val="clear" w:color="auto" w:fill="auto"/>
            <w:vAlign w:val="top"/>
          </w:tcPr>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O 6.1.2 </w:t>
            </w:r>
          </w:p>
          <w:p>
            <w:pPr>
              <w:spacing w:line="280" w:lineRule="exact"/>
              <w:ind w:firstLine="480" w:firstLineChars="200"/>
              <w:jc w:val="left"/>
              <w:rPr>
                <w:rFonts w:hint="eastAsia" w:ascii="楷体" w:hAnsi="楷体" w:eastAsia="楷体" w:cs="楷体"/>
                <w:kern w:val="2"/>
                <w:sz w:val="24"/>
                <w:szCs w:val="24"/>
                <w:lang w:val="en-US" w:eastAsia="zh-CN" w:bidi="ar-SA"/>
              </w:rPr>
            </w:pPr>
          </w:p>
        </w:tc>
        <w:tc>
          <w:tcPr>
            <w:tcW w:w="10104" w:type="dxa"/>
            <w:shd w:val="clear" w:color="auto" w:fill="auto"/>
            <w:vAlign w:val="top"/>
          </w:tcPr>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公司执行《危险源辨识及策划控制程序》，综合部根据各部门业务组织识别办公、活动过程、消防技术服务过程危险源，最后由综合部统一汇总。</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提公司及本部门“危险源清单”：各作业活动、危险源、可能导致后果、类别、作业条件危险、级别及措施，采用LEC法评价，有评价结果，涉及综合部的危险源有跌伤、高处坠落、职业病、视力损伤、颈椎／腰椎病、触电、火灾／交通人身伤害等。</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提供“不可接受风险清单”：综合部有２项不可接受风险，一是火灾事故；二是触电事故。</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主要控制措施：执行管理方案、配备消防器材及防护用品、日常检查、加强教育、应急预案等。</w:t>
            </w:r>
          </w:p>
          <w:p>
            <w:pPr>
              <w:spacing w:line="360" w:lineRule="auto"/>
              <w:ind w:firstLine="420" w:firstLineChars="200"/>
              <w:rPr>
                <w:rFonts w:hint="eastAsia" w:ascii="Times New Roman" w:hAnsi="Times New Roman" w:eastAsia="宋体" w:cs="Times New Roman"/>
                <w:lang w:val="en-US" w:eastAsia="zh-CN"/>
              </w:rPr>
            </w:pPr>
          </w:p>
        </w:tc>
        <w:tc>
          <w:tcPr>
            <w:tcW w:w="1490" w:type="dxa"/>
            <w:shd w:val="clear" w:color="auto" w:fill="auto"/>
            <w:vAlign w:val="top"/>
          </w:tcPr>
          <w:p>
            <w:pPr>
              <w:spacing w:line="280" w:lineRule="exact"/>
              <w:ind w:firstLine="420" w:firstLineChars="200"/>
              <w:rPr>
                <w:rFonts w:hint="eastAsia"/>
              </w:rPr>
            </w:pPr>
          </w:p>
          <w:p>
            <w:pPr>
              <w:spacing w:line="360" w:lineRule="auto"/>
              <w:ind w:firstLine="420" w:firstLineChars="200"/>
              <w:rPr>
                <w:rFonts w:hint="eastAsia" w:ascii="楷体" w:hAnsi="楷体" w:eastAsia="楷体" w:cs="Times New Roman"/>
                <w:kern w:val="2"/>
                <w:sz w:val="24"/>
                <w:szCs w:val="24"/>
                <w:lang w:val="en-US" w:eastAsia="zh-CN" w:bidi="ar-SA"/>
              </w:rPr>
            </w:pPr>
            <w:r>
              <w:rPr>
                <w:rFonts w:hint="eastAsia" w:cs="宋体" w:asciiTheme="minorEastAsia" w:hAnsiTheme="minorEastAsia" w:eastAsiaTheme="minorEastAsia"/>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1809" w:type="dxa"/>
            <w:shd w:val="clear" w:color="auto" w:fill="auto"/>
            <w:vAlign w:val="center"/>
          </w:tcPr>
          <w:p>
            <w:pPr>
              <w:rPr>
                <w:rFonts w:ascii="Times New Roman" w:hAnsi="Times New Roman" w:eastAsia="宋体" w:cs="Times New Roman"/>
                <w:sz w:val="20"/>
              </w:rPr>
            </w:pPr>
            <w:r>
              <w:rPr>
                <w:rFonts w:hint="eastAsia" w:ascii="Times New Roman" w:hAnsi="Times New Roman" w:eastAsia="宋体" w:cs="Times New Roman"/>
                <w:sz w:val="20"/>
              </w:rPr>
              <w:t>合规义务</w:t>
            </w:r>
          </w:p>
        </w:tc>
        <w:tc>
          <w:tcPr>
            <w:tcW w:w="1211" w:type="dxa"/>
            <w:shd w:val="clear" w:color="auto" w:fill="auto"/>
            <w:vAlign w:val="top"/>
          </w:tcPr>
          <w:p>
            <w:pPr>
              <w:spacing w:line="280" w:lineRule="exact"/>
              <w:jc w:val="left"/>
              <w:rPr>
                <w:rFonts w:hint="eastAsia" w:cs="宋体" w:asciiTheme="minorEastAsia" w:hAnsiTheme="minorEastAsia" w:eastAsiaTheme="minorEastAsia"/>
                <w:szCs w:val="21"/>
              </w:rPr>
            </w:pPr>
          </w:p>
          <w:p>
            <w:pPr>
              <w:spacing w:line="280" w:lineRule="exact"/>
              <w:jc w:val="left"/>
              <w:rPr>
                <w:rFonts w:hint="eastAsia" w:cs="宋体" w:asciiTheme="minorEastAsia" w:hAnsiTheme="minorEastAsia" w:eastAsiaTheme="minorEastAsia"/>
                <w:szCs w:val="21"/>
              </w:rPr>
            </w:pPr>
            <w:r>
              <w:rPr>
                <w:rFonts w:hint="eastAsia" w:cs="宋体" w:asciiTheme="minorEastAsia" w:hAnsiTheme="minorEastAsia" w:eastAsiaTheme="minorEastAsia"/>
                <w:szCs w:val="21"/>
              </w:rPr>
              <w:t>O</w:t>
            </w:r>
            <w:r>
              <w:rPr>
                <w:rFonts w:hint="eastAsia" w:cs="宋体" w:asciiTheme="minorEastAsia" w:hAnsiTheme="minorEastAsia" w:eastAsiaTheme="minorEastAsia"/>
                <w:szCs w:val="21"/>
                <w:lang w:val="en-US" w:eastAsia="zh-CN"/>
              </w:rPr>
              <w:t xml:space="preserve"> </w:t>
            </w:r>
            <w:r>
              <w:rPr>
                <w:rFonts w:hint="eastAsia" w:cs="宋体" w:asciiTheme="minorEastAsia" w:hAnsiTheme="minorEastAsia" w:eastAsiaTheme="minorEastAsia"/>
                <w:szCs w:val="21"/>
              </w:rPr>
              <w:t>6.1.3</w:t>
            </w:r>
          </w:p>
          <w:p>
            <w:pPr>
              <w:ind w:left="357"/>
              <w:rPr>
                <w:rFonts w:hint="eastAsia" w:ascii="Times New Roman" w:hAnsi="Times New Roman" w:eastAsia="宋体" w:cs="Times New Roman"/>
                <w:sz w:val="20"/>
              </w:rPr>
            </w:pPr>
          </w:p>
        </w:tc>
        <w:tc>
          <w:tcPr>
            <w:tcW w:w="10104" w:type="dxa"/>
            <w:shd w:val="clear" w:color="auto" w:fill="auto"/>
            <w:vAlign w:val="center"/>
          </w:tcPr>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公司执行《法律法规及其他要求控制程序》</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提供《执行标准和法律法规清单》，识别了企业适用的法律法规和其他要求，根据变更进行更新。</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其中包括：中华人民共和国职业病防治法、中华人民共和国消防法、中华人民共和国电力法、中华人民共和国道路交通安全法、山东省生产经营单位安全生产主体责任规定、安全生产事故隐患排查治理暂行规定、建筑设计防火规范、建筑消防设施的维护管理、山东省消防条例等。</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已识别法律法规及其它要求的适用条款，能与危险源向对应。</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综合部根据需要随时网上获取、识别更新，并通过培训、宣传、会议等形式传达给员工和相关方，各部门如有需要随时到综合部查阅。</w:t>
            </w:r>
          </w:p>
          <w:p>
            <w:pPr>
              <w:spacing w:line="360" w:lineRule="auto"/>
              <w:ind w:firstLine="420" w:firstLineChars="200"/>
              <w:rPr>
                <w:rFonts w:hint="eastAsia" w:ascii="Times New Roman" w:hAnsi="Times New Roman" w:eastAsia="宋体" w:cs="Times New Roman"/>
                <w:lang w:eastAsia="zh-CN"/>
              </w:rPr>
            </w:pPr>
          </w:p>
        </w:tc>
        <w:tc>
          <w:tcPr>
            <w:tcW w:w="1490" w:type="dxa"/>
            <w:shd w:val="clear" w:color="auto" w:fill="auto"/>
            <w:vAlign w:val="center"/>
          </w:tcPr>
          <w:p>
            <w:pPr>
              <w:spacing w:line="28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1809" w:type="dxa"/>
            <w:shd w:val="clear" w:color="auto" w:fill="auto"/>
            <w:vAlign w:val="center"/>
          </w:tcPr>
          <w:p>
            <w:pPr>
              <w:spacing w:line="280" w:lineRule="exact"/>
              <w:jc w:val="left"/>
              <w:rPr>
                <w:rFonts w:hint="eastAsia" w:cs="宋体" w:asciiTheme="minorEastAsia" w:hAnsiTheme="minorEastAsia" w:eastAsiaTheme="minorEastAsia"/>
                <w:szCs w:val="21"/>
              </w:rPr>
            </w:pPr>
            <w:r>
              <w:rPr>
                <w:rFonts w:hint="eastAsia" w:cs="宋体" w:asciiTheme="minorEastAsia" w:hAnsiTheme="minorEastAsia" w:eastAsiaTheme="minorEastAsia"/>
                <w:szCs w:val="21"/>
              </w:rPr>
              <w:t>措施的策划</w:t>
            </w:r>
          </w:p>
        </w:tc>
        <w:tc>
          <w:tcPr>
            <w:tcW w:w="1211" w:type="dxa"/>
            <w:shd w:val="clear" w:color="auto" w:fill="auto"/>
            <w:vAlign w:val="center"/>
          </w:tcPr>
          <w:p>
            <w:pPr>
              <w:spacing w:line="280" w:lineRule="exact"/>
              <w:jc w:val="left"/>
              <w:rPr>
                <w:rFonts w:hint="eastAsia" w:cs="宋体" w:asciiTheme="minorEastAsia" w:hAnsiTheme="minorEastAsia" w:eastAsiaTheme="minorEastAsia"/>
                <w:szCs w:val="21"/>
              </w:rPr>
            </w:pPr>
            <w:r>
              <w:rPr>
                <w:rFonts w:hint="eastAsia" w:cs="宋体" w:asciiTheme="minorEastAsia" w:hAnsiTheme="minorEastAsia" w:eastAsiaTheme="minorEastAsia"/>
                <w:szCs w:val="21"/>
              </w:rPr>
              <w:t>O</w:t>
            </w:r>
            <w:r>
              <w:rPr>
                <w:rFonts w:hint="eastAsia" w:cs="宋体" w:asciiTheme="minorEastAsia" w:hAnsiTheme="minorEastAsia" w:eastAsiaTheme="minorEastAsia"/>
                <w:szCs w:val="21"/>
                <w:lang w:val="en-US" w:eastAsia="zh-CN"/>
              </w:rPr>
              <w:t xml:space="preserve"> </w:t>
            </w:r>
            <w:r>
              <w:rPr>
                <w:rFonts w:hint="eastAsia" w:cs="宋体" w:asciiTheme="minorEastAsia" w:hAnsiTheme="minorEastAsia" w:eastAsiaTheme="minorEastAsia"/>
                <w:szCs w:val="21"/>
              </w:rPr>
              <w:t>6.1.4</w:t>
            </w:r>
          </w:p>
        </w:tc>
        <w:tc>
          <w:tcPr>
            <w:tcW w:w="10104" w:type="dxa"/>
            <w:shd w:val="clear" w:color="auto" w:fill="auto"/>
            <w:vAlign w:val="center"/>
          </w:tcPr>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应对风险和机遇的措施与其对于产品和服务符合性的潜在影响相适应。</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措施的策划：综合部确定应对风险和机遇的措施，实施并评价措施的有效性，公司根据危险源的风险辨识结果，分别制定出《不可接受风险清单》，清单内明确了控制措施计划，通过具体的措施进行有效控制：目标、管理方案、管理制度运行控制、应急预案、日常检查、日常培训。</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制定了《合规性评价控制程序》，每年对公司适用的合规义务进行识别更新并定期评价、检查。</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措施的策划，基本符合标准要求。</w:t>
            </w:r>
          </w:p>
        </w:tc>
        <w:tc>
          <w:tcPr>
            <w:tcW w:w="1490" w:type="dxa"/>
            <w:shd w:val="clear" w:color="auto" w:fill="auto"/>
            <w:vAlign w:val="center"/>
          </w:tcPr>
          <w:p>
            <w:pPr>
              <w:spacing w:line="28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1809" w:type="dxa"/>
            <w:shd w:val="clear" w:color="auto" w:fill="auto"/>
          </w:tcPr>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人员</w:t>
            </w:r>
          </w:p>
          <w:p>
            <w:pPr>
              <w:spacing w:line="280" w:lineRule="exact"/>
              <w:ind w:firstLine="420" w:firstLineChars="200"/>
              <w:jc w:val="left"/>
              <w:rPr>
                <w:rFonts w:cs="宋体" w:asciiTheme="minorEastAsia" w:hAnsiTheme="minorEastAsia" w:eastAsiaTheme="minorEastAsia"/>
                <w:szCs w:val="21"/>
              </w:rPr>
            </w:pPr>
          </w:p>
        </w:tc>
        <w:tc>
          <w:tcPr>
            <w:tcW w:w="1211" w:type="dxa"/>
            <w:shd w:val="clear" w:color="auto" w:fill="auto"/>
          </w:tcPr>
          <w:p>
            <w:pPr>
              <w:spacing w:line="280" w:lineRule="exact"/>
              <w:ind w:firstLine="420" w:firstLineChars="200"/>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Q</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7.1.2</w:t>
            </w:r>
          </w:p>
        </w:tc>
        <w:tc>
          <w:tcPr>
            <w:tcW w:w="10104" w:type="dxa"/>
            <w:shd w:val="clear" w:color="auto" w:fill="auto"/>
            <w:vAlign w:val="center"/>
          </w:tcPr>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提供《人员基本要求一览表》，从品德、资历、业绩、能力对任职各岗位人员做出规定；</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与负责人交流目前人员充分、适宜；</w:t>
            </w:r>
          </w:p>
        </w:tc>
        <w:tc>
          <w:tcPr>
            <w:tcW w:w="1490" w:type="dxa"/>
            <w:shd w:val="clear" w:color="auto" w:fill="auto"/>
            <w:vAlign w:val="center"/>
          </w:tcPr>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7" w:hRule="atLeast"/>
        </w:trPr>
        <w:tc>
          <w:tcPr>
            <w:tcW w:w="1809" w:type="dxa"/>
            <w:shd w:val="clear" w:color="auto" w:fill="auto"/>
          </w:tcPr>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组织知识</w:t>
            </w:r>
          </w:p>
        </w:tc>
        <w:tc>
          <w:tcPr>
            <w:tcW w:w="1211" w:type="dxa"/>
            <w:shd w:val="clear" w:color="auto" w:fill="auto"/>
          </w:tcPr>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Q</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7.1.6</w:t>
            </w:r>
          </w:p>
        </w:tc>
        <w:tc>
          <w:tcPr>
            <w:tcW w:w="10104" w:type="dxa"/>
            <w:shd w:val="clear" w:color="auto" w:fill="auto"/>
            <w:vAlign w:val="center"/>
          </w:tcPr>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提供</w:t>
            </w:r>
            <w:bookmarkStart w:id="0" w:name="_Toc527494930"/>
            <w:r>
              <w:rPr>
                <w:rFonts w:hint="eastAsia" w:ascii="Times New Roman" w:hAnsi="Times New Roman" w:eastAsia="宋体" w:cs="Times New Roman"/>
                <w:lang w:eastAsia="zh-CN"/>
              </w:rPr>
              <w:t>并执行《文件和资料控制程序》对知识管理控制</w:t>
            </w:r>
            <w:bookmarkEnd w:id="0"/>
            <w:r>
              <w:rPr>
                <w:rFonts w:hint="eastAsia" w:ascii="Times New Roman" w:hAnsi="Times New Roman" w:eastAsia="宋体" w:cs="Times New Roman"/>
                <w:lang w:eastAsia="zh-CN"/>
              </w:rPr>
              <w:t>，公司确定所需的知识及管理要求；</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内部来源：公司运作准则（管理手册、程序文件、各项制度、作业记录等）、管理过程控制失败和成功项目吸取的经验教训和改进的结果等；</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外部来源：外来资料（如顾客反馈的信息、供应商和合作伙伴知识、竞争对手等）、法律法规、市场信</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息等。</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对知识的保持采取文件资料的保存和信息系统存储方式，在公司内部通过传递、交流、培训等方式获取。</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 xml:space="preserve">为获取更多必要的知识采用工作经验总结、顾客意见的采集，行业领先者的最佳实践调查等。 </w:t>
            </w:r>
          </w:p>
        </w:tc>
        <w:tc>
          <w:tcPr>
            <w:tcW w:w="1490" w:type="dxa"/>
            <w:shd w:val="clear" w:color="auto" w:fill="auto"/>
            <w:vAlign w:val="center"/>
          </w:tcPr>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809" w:type="dxa"/>
            <w:shd w:val="clear" w:color="auto" w:fill="auto"/>
          </w:tcPr>
          <w:p>
            <w:pPr>
              <w:spacing w:line="280" w:lineRule="exact"/>
              <w:ind w:firstLine="420" w:firstLineChars="200"/>
              <w:jc w:val="left"/>
              <w:rPr>
                <w:rFonts w:cs="宋体" w:asciiTheme="minorEastAsia" w:hAnsiTheme="minorEastAsia" w:eastAsiaTheme="minorEastAsia"/>
                <w:szCs w:val="21"/>
              </w:rPr>
            </w:pPr>
          </w:p>
          <w:p>
            <w:pPr>
              <w:spacing w:line="280" w:lineRule="exact"/>
              <w:ind w:firstLine="420" w:firstLineChars="200"/>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能力</w:t>
            </w:r>
          </w:p>
          <w:p>
            <w:pPr>
              <w:spacing w:line="280" w:lineRule="exact"/>
              <w:ind w:firstLine="420" w:firstLineChars="200"/>
              <w:jc w:val="left"/>
              <w:rPr>
                <w:rFonts w:cs="宋体" w:asciiTheme="minorEastAsia" w:hAnsiTheme="minorEastAsia" w:eastAsiaTheme="minorEastAsia"/>
                <w:szCs w:val="21"/>
              </w:rPr>
            </w:pPr>
          </w:p>
        </w:tc>
        <w:tc>
          <w:tcPr>
            <w:tcW w:w="1211" w:type="dxa"/>
            <w:shd w:val="clear" w:color="auto" w:fill="auto"/>
          </w:tcPr>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QO</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7.2</w:t>
            </w:r>
          </w:p>
          <w:p>
            <w:pPr>
              <w:spacing w:line="280" w:lineRule="exact"/>
              <w:ind w:firstLine="420" w:firstLineChars="200"/>
              <w:jc w:val="left"/>
              <w:rPr>
                <w:rFonts w:cs="宋体" w:asciiTheme="minorEastAsia" w:hAnsiTheme="minorEastAsia" w:eastAsiaTheme="minorEastAsia"/>
                <w:szCs w:val="21"/>
              </w:rPr>
            </w:pPr>
          </w:p>
          <w:p>
            <w:pPr>
              <w:spacing w:line="280" w:lineRule="exact"/>
              <w:ind w:firstLine="420" w:firstLineChars="200"/>
              <w:jc w:val="left"/>
              <w:rPr>
                <w:rFonts w:cs="宋体" w:asciiTheme="minorEastAsia" w:hAnsiTheme="minorEastAsia" w:eastAsiaTheme="minorEastAsia"/>
                <w:szCs w:val="21"/>
              </w:rPr>
            </w:pPr>
          </w:p>
        </w:tc>
        <w:tc>
          <w:tcPr>
            <w:tcW w:w="10104" w:type="dxa"/>
            <w:shd w:val="clear" w:color="auto" w:fill="auto"/>
            <w:vAlign w:val="center"/>
          </w:tcPr>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公司建立并执行《人力资源控制程序》</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公司按各岗位任职资格要求,对工作人员进行任职资格评价，最终确认满足岗位能力要求情况。</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抽查曹立广、曹梅岗位任职评价：从品德、资历、业绩、能力方面进行评价，得分分别为96、97分，结果合格，称职。</w:t>
            </w:r>
          </w:p>
          <w:p>
            <w:pPr>
              <w:spacing w:line="360" w:lineRule="auto"/>
              <w:ind w:firstLine="420" w:firstLineChars="20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b/>
                <w:bCs/>
                <w:lang w:eastAsia="zh-CN"/>
              </w:rPr>
              <w:t>但未提供出滨海中心幼儿园消防作业任职人员管龙世、尹家军上岗评价合格相关证据。</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提供2022年度培训计划，批准：王邦启，日期：2022年</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月</w:t>
            </w:r>
            <w:r>
              <w:rPr>
                <w:rFonts w:hint="eastAsia" w:ascii="Times New Roman" w:hAnsi="Times New Roman" w:eastAsia="宋体" w:cs="Times New Roman"/>
                <w:lang w:val="en-US" w:eastAsia="zh-CN"/>
              </w:rPr>
              <w:t>18</w:t>
            </w:r>
            <w:r>
              <w:rPr>
                <w:rFonts w:hint="eastAsia" w:ascii="Times New Roman" w:hAnsi="Times New Roman" w:eastAsia="宋体" w:cs="Times New Roman"/>
                <w:lang w:eastAsia="zh-CN"/>
              </w:rPr>
              <w:t>日，培训计划包括GB/T19001-2016、GB/T  45001-2020标准的培训、《管理手册》、《程序文件》、</w:t>
            </w:r>
            <w:r>
              <w:rPr>
                <w:rFonts w:hint="eastAsia" w:ascii="Times New Roman" w:hAnsi="Times New Roman" w:eastAsia="宋体" w:cs="Times New Roman"/>
                <w:lang w:val="en-US" w:eastAsia="zh-CN"/>
              </w:rPr>
              <w:t>合规性评价、</w:t>
            </w:r>
            <w:r>
              <w:rPr>
                <w:rFonts w:hint="eastAsia" w:ascii="Times New Roman" w:hAnsi="Times New Roman" w:eastAsia="宋体" w:cs="Times New Roman"/>
                <w:lang w:eastAsia="zh-CN"/>
              </w:rPr>
              <w:t>消防社会上维修和保养技能和质量问题等；要求新员工培训随时进行；</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查《培训记录》：</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1）2022.</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26</w:t>
            </w:r>
            <w:r>
              <w:rPr>
                <w:rFonts w:hint="eastAsia" w:ascii="Times New Roman" w:hAnsi="Times New Roman" w:eastAsia="宋体" w:cs="Times New Roman"/>
                <w:lang w:eastAsia="zh-CN"/>
              </w:rPr>
              <w:t>日：各部门主要负责人参加质量、安全管理体系标准培训，有培训老师记录，通过提问考核，考核结果：合格，对ISO 9001、ISO45001标准有了深刻的认识，</w:t>
            </w:r>
            <w:r>
              <w:rPr>
                <w:rFonts w:hint="eastAsia" w:ascii="Times New Roman" w:hAnsi="Times New Roman" w:eastAsia="宋体" w:cs="Times New Roman"/>
                <w:lang w:val="en-US" w:eastAsia="zh-CN"/>
              </w:rPr>
              <w:t>培训有效</w:t>
            </w:r>
            <w:r>
              <w:rPr>
                <w:rFonts w:hint="eastAsia" w:ascii="Times New Roman" w:hAnsi="Times New Roman" w:eastAsia="宋体" w:cs="Times New Roman"/>
                <w:lang w:eastAsia="zh-CN"/>
              </w:rPr>
              <w:t>。</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2）2022.</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17</w:t>
            </w:r>
            <w:r>
              <w:rPr>
                <w:rFonts w:hint="eastAsia" w:ascii="Times New Roman" w:hAnsi="Times New Roman" w:eastAsia="宋体" w:cs="Times New Roman"/>
                <w:lang w:eastAsia="zh-CN"/>
              </w:rPr>
              <w:t>日：各部门主要负责人培训，培训题目体系文件学习，有培训老师记录，通过提问考核，考核结果：合格，</w:t>
            </w:r>
            <w:r>
              <w:rPr>
                <w:rFonts w:hint="eastAsia" w:ascii="Times New Roman" w:hAnsi="Times New Roman" w:eastAsia="宋体" w:cs="Times New Roman"/>
                <w:lang w:val="en-US" w:eastAsia="zh-CN"/>
              </w:rPr>
              <w:t>提高管理意识，培训有效</w:t>
            </w:r>
            <w:r>
              <w:rPr>
                <w:rFonts w:hint="eastAsia" w:ascii="Times New Roman" w:hAnsi="Times New Roman" w:eastAsia="宋体" w:cs="Times New Roman"/>
                <w:lang w:eastAsia="zh-CN"/>
              </w:rPr>
              <w:t>。</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3）2022.</w:t>
            </w:r>
            <w:r>
              <w:rPr>
                <w:rFonts w:hint="eastAsia" w:ascii="Times New Roman" w:hAnsi="Times New Roman" w:eastAsia="宋体" w:cs="Times New Roman"/>
                <w:lang w:val="en-US" w:eastAsia="zh-CN"/>
              </w:rPr>
              <w:t>6</w:t>
            </w:r>
            <w:r>
              <w:rPr>
                <w:rFonts w:hint="eastAsia" w:ascii="Times New Roman" w:hAnsi="Times New Roman" w:eastAsia="宋体" w:cs="Times New Roman"/>
                <w:lang w:eastAsia="zh-CN"/>
              </w:rPr>
              <w:t>.2</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日 各部门</w:t>
            </w:r>
            <w:r>
              <w:rPr>
                <w:rFonts w:hint="eastAsia" w:ascii="Times New Roman" w:hAnsi="Times New Roman" w:eastAsia="宋体" w:cs="Times New Roman"/>
                <w:lang w:val="en-US" w:eastAsia="zh-CN"/>
              </w:rPr>
              <w:t>负责人</w:t>
            </w:r>
            <w:r>
              <w:rPr>
                <w:rFonts w:hint="eastAsia" w:ascii="Times New Roman" w:hAnsi="Times New Roman" w:eastAsia="宋体" w:cs="Times New Roman"/>
                <w:lang w:eastAsia="zh-CN"/>
              </w:rPr>
              <w:t>培训</w:t>
            </w:r>
            <w:r>
              <w:rPr>
                <w:rFonts w:hint="eastAsia" w:ascii="Times New Roman" w:hAnsi="Times New Roman" w:eastAsia="宋体" w:cs="Times New Roman"/>
                <w:lang w:val="en-US" w:eastAsia="zh-CN"/>
              </w:rPr>
              <w:t>合规性评价</w:t>
            </w:r>
            <w:r>
              <w:rPr>
                <w:rFonts w:hint="eastAsia" w:ascii="Times New Roman" w:hAnsi="Times New Roman" w:eastAsia="宋体" w:cs="Times New Roman"/>
                <w:lang w:eastAsia="zh-CN"/>
              </w:rPr>
              <w:t>培训，记录培训详细内容，通过现场提问考核，考核结果均合格，通过此次培训，员工理解了</w:t>
            </w:r>
            <w:r>
              <w:rPr>
                <w:rFonts w:hint="eastAsia" w:ascii="Times New Roman" w:hAnsi="Times New Roman" w:eastAsia="宋体" w:cs="Times New Roman"/>
                <w:lang w:val="en-US" w:eastAsia="zh-CN"/>
              </w:rPr>
              <w:t>合规性评价要求</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培训有效</w:t>
            </w:r>
            <w:r>
              <w:rPr>
                <w:rFonts w:hint="eastAsia" w:ascii="Times New Roman" w:hAnsi="Times New Roman" w:eastAsia="宋体" w:cs="Times New Roman"/>
                <w:lang w:eastAsia="zh-CN"/>
              </w:rPr>
              <w:t>。</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4</w:t>
            </w:r>
            <w:r>
              <w:rPr>
                <w:rFonts w:hint="eastAsia" w:ascii="Times New Roman" w:hAnsi="Times New Roman" w:eastAsia="宋体" w:cs="Times New Roman"/>
                <w:lang w:eastAsia="zh-CN"/>
              </w:rPr>
              <w:t>）2022.</w:t>
            </w:r>
            <w:r>
              <w:rPr>
                <w:rFonts w:hint="eastAsia" w:ascii="Times New Roman" w:hAnsi="Times New Roman" w:eastAsia="宋体" w:cs="Times New Roman"/>
                <w:lang w:val="en-US" w:eastAsia="zh-CN"/>
              </w:rPr>
              <w:t>11</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15</w:t>
            </w:r>
            <w:r>
              <w:rPr>
                <w:rFonts w:hint="eastAsia" w:ascii="Times New Roman" w:hAnsi="Times New Roman" w:eastAsia="宋体" w:cs="Times New Roman"/>
                <w:lang w:eastAsia="zh-CN"/>
              </w:rPr>
              <w:t>日 各部门</w:t>
            </w:r>
            <w:r>
              <w:rPr>
                <w:rFonts w:hint="eastAsia" w:ascii="Times New Roman" w:hAnsi="Times New Roman" w:eastAsia="宋体" w:cs="Times New Roman"/>
                <w:lang w:val="en-US" w:eastAsia="zh-CN"/>
              </w:rPr>
              <w:t>维修和保养</w:t>
            </w:r>
            <w:r>
              <w:rPr>
                <w:rFonts w:hint="eastAsia" w:ascii="Times New Roman" w:hAnsi="Times New Roman" w:eastAsia="宋体" w:cs="Times New Roman"/>
                <w:lang w:eastAsia="zh-CN"/>
              </w:rPr>
              <w:t>人员培训</w:t>
            </w:r>
            <w:r>
              <w:rPr>
                <w:rFonts w:hint="eastAsia" w:ascii="Times New Roman" w:hAnsi="Times New Roman" w:eastAsia="宋体" w:cs="Times New Roman"/>
                <w:lang w:val="en-US" w:eastAsia="zh-CN"/>
              </w:rPr>
              <w:t>消防设施维修和保养技能和质量问题</w:t>
            </w:r>
            <w:r>
              <w:rPr>
                <w:rFonts w:hint="eastAsia" w:ascii="Times New Roman" w:hAnsi="Times New Roman" w:eastAsia="宋体" w:cs="Times New Roman"/>
                <w:lang w:eastAsia="zh-CN"/>
              </w:rPr>
              <w:t>培训，记录培训详细内容，通过现场提问考核，考核结果均合格，通过此次培训，员工</w:t>
            </w:r>
            <w:r>
              <w:rPr>
                <w:rFonts w:hint="eastAsia" w:ascii="Times New Roman" w:hAnsi="Times New Roman" w:eastAsia="宋体" w:cs="Times New Roman"/>
                <w:lang w:val="en-US" w:eastAsia="zh-CN"/>
              </w:rPr>
              <w:t>对消防设施维修和保养技能流程的操作要点和服务中容易出现的质量问题掌握</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培训有效</w:t>
            </w:r>
            <w:r>
              <w:rPr>
                <w:rFonts w:hint="eastAsia" w:ascii="Times New Roman" w:hAnsi="Times New Roman" w:eastAsia="宋体" w:cs="Times New Roman"/>
                <w:lang w:eastAsia="zh-CN"/>
              </w:rPr>
              <w:t>。</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关键岗位人员持证：</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有张国强、郑如通、于胜法一级注册消防工程师证</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0288" behindDoc="0" locked="0" layoutInCell="1" allowOverlap="1">
                  <wp:simplePos x="0" y="0"/>
                  <wp:positionH relativeFrom="column">
                    <wp:posOffset>1424940</wp:posOffset>
                  </wp:positionH>
                  <wp:positionV relativeFrom="paragraph">
                    <wp:posOffset>-1238885</wp:posOffset>
                  </wp:positionV>
                  <wp:extent cx="1789430" cy="4378960"/>
                  <wp:effectExtent l="0" t="0" r="2540" b="127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rot="5400000">
                            <a:off x="0" y="0"/>
                            <a:ext cx="1789430" cy="4378960"/>
                          </a:xfrm>
                          <a:prstGeom prst="rect">
                            <a:avLst/>
                          </a:prstGeom>
                          <a:noFill/>
                          <a:ln>
                            <a:noFill/>
                          </a:ln>
                        </pic:spPr>
                      </pic:pic>
                    </a:graphicData>
                  </a:graphic>
                </wp:anchor>
              </w:drawing>
            </w: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1312" behindDoc="0" locked="0" layoutInCell="1" allowOverlap="1">
                  <wp:simplePos x="0" y="0"/>
                  <wp:positionH relativeFrom="column">
                    <wp:posOffset>1442085</wp:posOffset>
                  </wp:positionH>
                  <wp:positionV relativeFrom="paragraph">
                    <wp:posOffset>-934720</wp:posOffset>
                  </wp:positionV>
                  <wp:extent cx="2065020" cy="4021455"/>
                  <wp:effectExtent l="0" t="0" r="17145" b="11430"/>
                  <wp:wrapNone/>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rot="5400000">
                            <a:off x="0" y="0"/>
                            <a:ext cx="2065020" cy="4021455"/>
                          </a:xfrm>
                          <a:prstGeom prst="rect">
                            <a:avLst/>
                          </a:prstGeom>
                          <a:noFill/>
                          <a:ln>
                            <a:noFill/>
                          </a:ln>
                        </pic:spPr>
                      </pic:pic>
                    </a:graphicData>
                  </a:graphic>
                </wp:anchor>
              </w:drawing>
            </w: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2336" behindDoc="0" locked="0" layoutInCell="1" allowOverlap="1">
                  <wp:simplePos x="0" y="0"/>
                  <wp:positionH relativeFrom="column">
                    <wp:posOffset>1398905</wp:posOffset>
                  </wp:positionH>
                  <wp:positionV relativeFrom="paragraph">
                    <wp:posOffset>-967105</wp:posOffset>
                  </wp:positionV>
                  <wp:extent cx="2109470" cy="4027170"/>
                  <wp:effectExtent l="0" t="0" r="11430" b="508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9"/>
                          <a:stretch>
                            <a:fillRect/>
                          </a:stretch>
                        </pic:blipFill>
                        <pic:spPr>
                          <a:xfrm rot="5400000">
                            <a:off x="0" y="0"/>
                            <a:ext cx="2109470" cy="4027170"/>
                          </a:xfrm>
                          <a:prstGeom prst="rect">
                            <a:avLst/>
                          </a:prstGeom>
                          <a:noFill/>
                          <a:ln>
                            <a:noFill/>
                          </a:ln>
                        </pic:spPr>
                      </pic:pic>
                    </a:graphicData>
                  </a:graphic>
                </wp:anchor>
              </w:drawing>
            </w: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有栾羽威、孙珂消防设施操作员证书</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4384" behindDoc="0" locked="0" layoutInCell="1" allowOverlap="1">
                  <wp:simplePos x="0" y="0"/>
                  <wp:positionH relativeFrom="column">
                    <wp:posOffset>66040</wp:posOffset>
                  </wp:positionH>
                  <wp:positionV relativeFrom="paragraph">
                    <wp:posOffset>104140</wp:posOffset>
                  </wp:positionV>
                  <wp:extent cx="2988310" cy="2127250"/>
                  <wp:effectExtent l="0" t="0" r="2540" b="6350"/>
                  <wp:wrapNone/>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0"/>
                          <a:stretch>
                            <a:fillRect/>
                          </a:stretch>
                        </pic:blipFill>
                        <pic:spPr>
                          <a:xfrm>
                            <a:off x="0" y="0"/>
                            <a:ext cx="2988310" cy="2127250"/>
                          </a:xfrm>
                          <a:prstGeom prst="rect">
                            <a:avLst/>
                          </a:prstGeom>
                          <a:noFill/>
                          <a:ln>
                            <a:noFill/>
                          </a:ln>
                        </pic:spPr>
                      </pic:pic>
                    </a:graphicData>
                  </a:graphic>
                </wp:anchor>
              </w:drawing>
            </w:r>
            <w:r>
              <w:rPr>
                <w:rFonts w:hint="eastAsia" w:ascii="Times New Roman" w:hAnsi="Times New Roman" w:eastAsia="宋体" w:cs="Times New Roman"/>
                <w:lang w:eastAsia="zh-CN"/>
              </w:rPr>
              <w:drawing>
                <wp:anchor distT="0" distB="0" distL="114300" distR="114300" simplePos="0" relativeHeight="251663360" behindDoc="0" locked="0" layoutInCell="1" allowOverlap="1">
                  <wp:simplePos x="0" y="0"/>
                  <wp:positionH relativeFrom="column">
                    <wp:posOffset>3142615</wp:posOffset>
                  </wp:positionH>
                  <wp:positionV relativeFrom="paragraph">
                    <wp:posOffset>13970</wp:posOffset>
                  </wp:positionV>
                  <wp:extent cx="2891155" cy="2217420"/>
                  <wp:effectExtent l="0" t="0" r="4445" b="11430"/>
                  <wp:wrapNone/>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1"/>
                          <a:stretch>
                            <a:fillRect/>
                          </a:stretch>
                        </pic:blipFill>
                        <pic:spPr>
                          <a:xfrm>
                            <a:off x="0" y="0"/>
                            <a:ext cx="2891155" cy="2217420"/>
                          </a:xfrm>
                          <a:prstGeom prst="rect">
                            <a:avLst/>
                          </a:prstGeom>
                          <a:noFill/>
                          <a:ln>
                            <a:noFill/>
                          </a:ln>
                        </pic:spPr>
                      </pic:pic>
                    </a:graphicData>
                  </a:graphic>
                </wp:anchor>
              </w:drawing>
            </w: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tc>
        <w:tc>
          <w:tcPr>
            <w:tcW w:w="1490" w:type="dxa"/>
            <w:shd w:val="clear" w:color="auto" w:fill="auto"/>
            <w:vAlign w:val="top"/>
          </w:tcPr>
          <w:p>
            <w:pPr>
              <w:spacing w:line="280" w:lineRule="exact"/>
              <w:jc w:val="both"/>
              <w:rPr>
                <w:rFonts w:hint="eastAsia"/>
              </w:rPr>
            </w:pPr>
          </w:p>
          <w:p>
            <w:pPr>
              <w:spacing w:line="28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OK</w:t>
            </w:r>
          </w:p>
          <w:p>
            <w:pPr>
              <w:pStyle w:val="2"/>
              <w:rPr>
                <w:rFonts w:hint="eastAsia" w:cs="宋体" w:asciiTheme="minorEastAsia" w:hAnsiTheme="minorEastAsia" w:eastAsiaTheme="minorEastAsia"/>
                <w:szCs w:val="21"/>
              </w:rPr>
            </w:pPr>
          </w:p>
          <w:p>
            <w:pPr>
              <w:pStyle w:val="2"/>
              <w:rPr>
                <w:rFonts w:hint="eastAsia" w:cs="宋体" w:asciiTheme="minorEastAsia" w:hAnsiTheme="minorEastAsia" w:eastAsiaTheme="minorEastAsia"/>
                <w:szCs w:val="21"/>
              </w:rPr>
            </w:pPr>
          </w:p>
          <w:p>
            <w:pPr>
              <w:pStyle w:val="2"/>
              <w:ind w:firstLine="460" w:firstLineChars="200"/>
              <w:rPr>
                <w:rFonts w:hint="eastAsia" w:cs="宋体" w:asciiTheme="minorEastAsia" w:hAnsiTheme="minorEastAsia" w:eastAsiaTheme="minorEastAsia"/>
                <w:szCs w:val="21"/>
                <w:lang w:val="en-US" w:eastAsia="zh-CN"/>
              </w:rPr>
            </w:pPr>
          </w:p>
          <w:p>
            <w:pPr>
              <w:pStyle w:val="2"/>
              <w:ind w:firstLine="460" w:firstLineChars="200"/>
              <w:rPr>
                <w:rFonts w:hint="eastAsia" w:cs="宋体" w:asciiTheme="minorEastAsia" w:hAnsiTheme="minorEastAsia" w:eastAsiaTheme="minorEastAsia"/>
                <w:szCs w:val="21"/>
                <w:lang w:val="en-US" w:eastAsia="zh-CN"/>
              </w:rPr>
            </w:pPr>
          </w:p>
          <w:p>
            <w:pPr>
              <w:pStyle w:val="2"/>
              <w:ind w:firstLine="460" w:firstLineChars="200"/>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NC</w:t>
            </w:r>
          </w:p>
          <w:p>
            <w:pPr>
              <w:pStyle w:val="2"/>
              <w:ind w:firstLine="460" w:firstLineChars="200"/>
              <w:rPr>
                <w:rFonts w:hint="eastAsia" w:cs="宋体" w:asciiTheme="minorEastAsia" w:hAnsiTheme="minorEastAsia" w:eastAsiaTheme="minorEastAsia"/>
                <w:szCs w:val="21"/>
                <w:lang w:val="en-US" w:eastAsia="zh-CN"/>
              </w:rPr>
            </w:pPr>
          </w:p>
          <w:p>
            <w:pPr>
              <w:pStyle w:val="2"/>
              <w:jc w:val="center"/>
              <w:rPr>
                <w:rFonts w:hint="eastAsia" w:cs="宋体" w:asciiTheme="minorEastAsia" w:hAnsiTheme="minorEastAsia" w:eastAsiaTheme="minorEastAsia"/>
                <w:szCs w:val="21"/>
                <w:lang w:val="en-US" w:eastAsia="zh-CN"/>
              </w:rPr>
            </w:pPr>
          </w:p>
          <w:p>
            <w:pPr>
              <w:pStyle w:val="2"/>
              <w:jc w:val="center"/>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OK</w:t>
            </w: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eastAsia" w:cs="宋体" w:asciiTheme="minorEastAsia" w:hAnsiTheme="minorEastAsia" w:eastAsiaTheme="minorEastAsia"/>
                <w:szCs w:val="21"/>
                <w:lang w:val="en-US" w:eastAsia="zh-CN"/>
              </w:rPr>
            </w:pPr>
          </w:p>
          <w:p>
            <w:pPr>
              <w:pStyle w:val="2"/>
              <w:rPr>
                <w:rFonts w:hint="default"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OK</w:t>
            </w:r>
          </w:p>
          <w:p>
            <w:pPr>
              <w:pStyle w:val="2"/>
              <w:ind w:firstLine="460" w:firstLineChars="200"/>
              <w:rPr>
                <w:rFonts w:hint="eastAsia" w:cs="宋体" w:asciiTheme="minorEastAsia" w:hAnsiTheme="minorEastAsia" w:eastAsiaTheme="minorEastAsia"/>
                <w:szCs w:val="21"/>
                <w:lang w:val="en-US" w:eastAsia="zh-CN"/>
              </w:rPr>
            </w:pPr>
          </w:p>
          <w:p>
            <w:pPr>
              <w:pStyle w:val="2"/>
              <w:ind w:firstLine="460" w:firstLineChars="200"/>
              <w:rPr>
                <w:rFonts w:hint="eastAsia" w:cs="宋体" w:asciiTheme="minorEastAsia" w:hAnsiTheme="minorEastAsia" w:eastAsiaTheme="minorEastAsia"/>
                <w:szCs w:val="21"/>
                <w:lang w:val="en-US" w:eastAsia="zh-CN"/>
              </w:rPr>
            </w:pPr>
          </w:p>
          <w:p>
            <w:pPr>
              <w:pStyle w:val="2"/>
              <w:ind w:firstLine="460" w:firstLineChars="200"/>
              <w:rPr>
                <w:rFonts w:hint="eastAsia" w:cs="宋体" w:asciiTheme="minorEastAsia" w:hAnsiTheme="minorEastAsia" w:eastAsiaTheme="minorEastAsia"/>
                <w:szCs w:val="21"/>
                <w:lang w:val="en-US" w:eastAsia="zh-CN"/>
              </w:rPr>
            </w:pPr>
          </w:p>
          <w:p>
            <w:pPr>
              <w:pStyle w:val="2"/>
              <w:ind w:firstLine="460" w:firstLineChars="200"/>
              <w:rPr>
                <w:rFonts w:hint="default" w:cs="宋体" w:asciiTheme="minorEastAsia" w:hAnsiTheme="minorEastAsia" w:eastAsiaTheme="minorEastAsia"/>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trPr>
        <w:tc>
          <w:tcPr>
            <w:tcW w:w="1809" w:type="dxa"/>
            <w:shd w:val="clear" w:color="auto" w:fill="auto"/>
          </w:tcPr>
          <w:p>
            <w:pPr>
              <w:spacing w:line="280" w:lineRule="exact"/>
              <w:ind w:firstLine="420" w:firstLineChars="200"/>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意识</w:t>
            </w:r>
          </w:p>
          <w:p>
            <w:pPr>
              <w:spacing w:line="280" w:lineRule="exact"/>
              <w:ind w:firstLine="420" w:firstLineChars="200"/>
              <w:jc w:val="left"/>
              <w:rPr>
                <w:rFonts w:cs="宋体" w:asciiTheme="minorEastAsia" w:hAnsiTheme="minorEastAsia" w:eastAsiaTheme="minorEastAsia"/>
                <w:szCs w:val="21"/>
              </w:rPr>
            </w:pPr>
          </w:p>
        </w:tc>
        <w:tc>
          <w:tcPr>
            <w:tcW w:w="1211" w:type="dxa"/>
            <w:shd w:val="clear" w:color="auto" w:fill="auto"/>
          </w:tcPr>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QO</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7.3</w:t>
            </w:r>
          </w:p>
          <w:p>
            <w:pPr>
              <w:spacing w:line="280" w:lineRule="exact"/>
              <w:ind w:firstLine="420" w:firstLineChars="200"/>
              <w:jc w:val="left"/>
              <w:rPr>
                <w:rFonts w:cs="宋体" w:asciiTheme="minorEastAsia" w:hAnsiTheme="minorEastAsia" w:eastAsiaTheme="minorEastAsia"/>
                <w:szCs w:val="21"/>
              </w:rPr>
            </w:pPr>
          </w:p>
        </w:tc>
        <w:tc>
          <w:tcPr>
            <w:tcW w:w="10104" w:type="dxa"/>
            <w:shd w:val="clear" w:color="auto" w:fill="auto"/>
            <w:vAlign w:val="center"/>
          </w:tcPr>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公司通过学习、会议、宣传等方法使在组织控制范围内的相关工作人员知晓和理解：质量、职业健康安全方针、相关的质量、职业健康安全目标；</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员工为本公司管理体系有效性的贡献的意义和途径，包括改进管理绩效的益处；不符合质量和职业健康安全管理体系要求的后果。</w:t>
            </w:r>
          </w:p>
        </w:tc>
        <w:tc>
          <w:tcPr>
            <w:tcW w:w="1490" w:type="dxa"/>
            <w:shd w:val="clear" w:color="auto" w:fill="auto"/>
            <w:vAlign w:val="center"/>
          </w:tcPr>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trPr>
        <w:tc>
          <w:tcPr>
            <w:tcW w:w="1809" w:type="dxa"/>
            <w:shd w:val="clear" w:color="auto" w:fill="auto"/>
            <w:vAlign w:val="center"/>
          </w:tcPr>
          <w:p>
            <w:pPr>
              <w:spacing w:line="280" w:lineRule="exact"/>
              <w:jc w:val="left"/>
              <w:rPr>
                <w:rFonts w:cs="宋体" w:asciiTheme="minorEastAsia" w:hAnsiTheme="minorEastAsia" w:eastAsiaTheme="minorEastAsia"/>
                <w:szCs w:val="21"/>
              </w:rPr>
            </w:pPr>
            <w:r>
              <w:rPr>
                <w:rFonts w:cs="宋体" w:asciiTheme="minorEastAsia" w:hAnsiTheme="minorEastAsia" w:eastAsiaTheme="minorEastAsia"/>
                <w:szCs w:val="21"/>
              </w:rPr>
              <w:t>产品和服务的要求</w:t>
            </w:r>
          </w:p>
        </w:tc>
        <w:tc>
          <w:tcPr>
            <w:tcW w:w="1211" w:type="dxa"/>
            <w:shd w:val="clear" w:color="auto" w:fill="auto"/>
          </w:tcPr>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r>
              <w:rPr>
                <w:rFonts w:cs="宋体" w:asciiTheme="minorEastAsia" w:hAnsiTheme="minorEastAsia" w:eastAsiaTheme="minorEastAsia"/>
                <w:szCs w:val="21"/>
              </w:rPr>
              <w:t>Q8.2</w:t>
            </w:r>
          </w:p>
        </w:tc>
        <w:tc>
          <w:tcPr>
            <w:tcW w:w="10104" w:type="dxa"/>
            <w:shd w:val="clear" w:color="auto" w:fill="auto"/>
          </w:tcPr>
          <w:p>
            <w:pPr>
              <w:spacing w:line="360" w:lineRule="auto"/>
              <w:ind w:firstLine="420" w:firstLineChars="200"/>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建立并执行《与顾客有关的过程控制程序》，</w:t>
            </w:r>
            <w:r>
              <w:rPr>
                <w:rFonts w:hint="eastAsia" w:ascii="Times New Roman" w:hAnsi="Times New Roman" w:eastAsia="宋体" w:cs="Times New Roman"/>
                <w:lang w:val="en-US" w:eastAsia="zh-CN"/>
              </w:rPr>
              <w:t>建立顾客台帐，明确名称、消防设施年度消防维护保养、联系人、电话。</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公司主要通过招标会、客户的走访、熟人介绍等了解市场的需求状态，以文件、合同/协议、电话等形式确定与产品有关的要求，明确顾客对公司提供消防技术服务的各项要求，获得的信息包括：</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1) 消防技术服务标准，包括法律法规的要求、公司认为必要的要求；</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2) 合同意向书、订单，一般以具体的合同条款为准；</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3) 顾客规定消防技术服务要求，包括有关可用性、交付和支持方面的要求及价格、交货期、服务等要求；</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4) 消防技术服务预期用途所必需的要求；</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5) 公司确定的附加要求。</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针对合同洽谈、签订、履行过程中的问题，及时电话联系，明确各自的要求，执行合同，业务人员直接对顾客要求进行识别、确认，对于存在的问题直接提出和顾客进行交流沟通。然后组织人员评审，现场合同评审记录，经评审能满足要求后由总经理或其授权人签字并加盖公司印章，然后回传给顾客。</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查</w:t>
            </w:r>
            <w:r>
              <w:rPr>
                <w:rFonts w:hint="eastAsia" w:ascii="Times New Roman" w:hAnsi="Times New Roman" w:eastAsia="宋体" w:cs="Times New Roman"/>
                <w:lang w:val="en-US" w:eastAsia="zh-CN"/>
              </w:rPr>
              <w:t>有</w:t>
            </w:r>
            <w:r>
              <w:rPr>
                <w:rFonts w:hint="eastAsia" w:ascii="Times New Roman" w:hAnsi="Times New Roman" w:eastAsia="宋体" w:cs="Times New Roman"/>
                <w:lang w:eastAsia="zh-CN"/>
              </w:rPr>
              <w:t>2022.9.</w:t>
            </w:r>
            <w:r>
              <w:rPr>
                <w:rFonts w:hint="eastAsia" w:ascii="Times New Roman" w:hAnsi="Times New Roman" w:eastAsia="宋体" w:cs="Times New Roman"/>
                <w:lang w:val="en-US" w:eastAsia="zh-CN"/>
              </w:rPr>
              <w:t>21-</w:t>
            </w:r>
            <w:r>
              <w:rPr>
                <w:rFonts w:hint="eastAsia" w:ascii="Times New Roman" w:hAnsi="Times New Roman" w:eastAsia="宋体" w:cs="Times New Roman"/>
                <w:lang w:eastAsia="zh-CN"/>
              </w:rPr>
              <w:t>202</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.9.</w:t>
            </w:r>
            <w:r>
              <w:rPr>
                <w:rFonts w:hint="eastAsia" w:ascii="Times New Roman" w:hAnsi="Times New Roman" w:eastAsia="宋体" w:cs="Times New Roman"/>
                <w:lang w:val="en-US" w:eastAsia="zh-CN"/>
              </w:rPr>
              <w:t>20</w:t>
            </w:r>
            <w:r>
              <w:rPr>
                <w:rFonts w:hint="eastAsia" w:ascii="Times New Roman" w:hAnsi="Times New Roman" w:eastAsia="宋体" w:cs="Times New Roman"/>
                <w:lang w:eastAsia="zh-CN"/>
              </w:rPr>
              <w:t>日</w:t>
            </w:r>
            <w:r>
              <w:rPr>
                <w:rFonts w:hint="eastAsia" w:ascii="Times New Roman" w:hAnsi="Times New Roman" w:eastAsia="宋体" w:cs="Times New Roman"/>
                <w:lang w:val="en-US" w:eastAsia="zh-CN"/>
              </w:rPr>
              <w:t>滨海中心幼儿园的建筑消防设施维护保养合同，</w:t>
            </w:r>
            <w:r>
              <w:rPr>
                <w:rFonts w:hint="eastAsia" w:ascii="Times New Roman" w:hAnsi="Times New Roman" w:eastAsia="宋体" w:cs="Times New Roman"/>
                <w:lang w:eastAsia="zh-CN"/>
              </w:rPr>
              <w:t>包括需方名称、消防服务内容及要求、物资需求、质量与技术要求、运输、费用结算、付款方式等要求，有2022年</w:t>
            </w:r>
            <w:r>
              <w:rPr>
                <w:rFonts w:hint="eastAsia" w:ascii="Times New Roman" w:hAnsi="Times New Roman" w:eastAsia="宋体" w:cs="Times New Roman"/>
                <w:lang w:val="en-US" w:eastAsia="zh-CN"/>
              </w:rPr>
              <w:t>9</w:t>
            </w:r>
            <w:r>
              <w:rPr>
                <w:rFonts w:hint="eastAsia" w:ascii="Times New Roman" w:hAnsi="Times New Roman" w:eastAsia="宋体" w:cs="Times New Roman"/>
                <w:lang w:eastAsia="zh-CN"/>
              </w:rPr>
              <w:t>月</w:t>
            </w:r>
            <w:r>
              <w:rPr>
                <w:rFonts w:hint="eastAsia" w:ascii="Times New Roman" w:hAnsi="Times New Roman" w:eastAsia="宋体" w:cs="Times New Roman"/>
                <w:lang w:val="en-US" w:eastAsia="zh-CN"/>
              </w:rPr>
              <w:t>19</w:t>
            </w:r>
            <w:r>
              <w:rPr>
                <w:rFonts w:hint="eastAsia" w:ascii="Times New Roman" w:hAnsi="Times New Roman" w:eastAsia="宋体" w:cs="Times New Roman"/>
                <w:lang w:eastAsia="zh-CN"/>
              </w:rPr>
              <w:t>日合同评审记录表，从价格、交期保证、技术服务要求满足、物资供应满足要求进行评审，评审人</w:t>
            </w:r>
            <w:r>
              <w:rPr>
                <w:rFonts w:hint="eastAsia" w:ascii="Times New Roman" w:hAnsi="Times New Roman" w:eastAsia="宋体" w:cs="Times New Roman"/>
                <w:lang w:val="en-US" w:eastAsia="zh-CN"/>
              </w:rPr>
              <w:t>王邦启、</w:t>
            </w:r>
            <w:r>
              <w:rPr>
                <w:rFonts w:hint="eastAsia" w:ascii="Times New Roman" w:hAnsi="Times New Roman" w:eastAsia="宋体" w:cs="Times New Roman"/>
                <w:lang w:eastAsia="zh-CN"/>
              </w:rPr>
              <w:t>曹立广、曹梅、</w:t>
            </w:r>
            <w:r>
              <w:rPr>
                <w:rFonts w:hint="eastAsia" w:ascii="Times New Roman" w:hAnsi="Times New Roman" w:eastAsia="宋体" w:cs="Times New Roman"/>
                <w:lang w:val="en-US" w:eastAsia="zh-CN"/>
              </w:rPr>
              <w:t>郑如勇</w:t>
            </w:r>
            <w:r>
              <w:rPr>
                <w:rFonts w:hint="eastAsia" w:ascii="Times New Roman" w:hAnsi="Times New Roman" w:eastAsia="宋体" w:cs="Times New Roman"/>
                <w:lang w:eastAsia="zh-CN"/>
              </w:rPr>
              <w:t>，结论可以签订该合同，经总经理批准同意。</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查</w:t>
            </w:r>
            <w:r>
              <w:rPr>
                <w:rFonts w:hint="eastAsia" w:ascii="Times New Roman" w:hAnsi="Times New Roman" w:eastAsia="宋体" w:cs="Times New Roman"/>
                <w:lang w:val="en-US" w:eastAsia="zh-CN"/>
              </w:rPr>
              <w:t>有</w:t>
            </w:r>
            <w:r>
              <w:rPr>
                <w:rFonts w:hint="eastAsia" w:ascii="Times New Roman" w:hAnsi="Times New Roman" w:eastAsia="宋体" w:cs="Times New Roman"/>
                <w:lang w:eastAsia="zh-CN"/>
              </w:rPr>
              <w:t>2022.</w:t>
            </w:r>
            <w:r>
              <w:rPr>
                <w:rFonts w:hint="eastAsia" w:ascii="Times New Roman" w:hAnsi="Times New Roman" w:eastAsia="宋体" w:cs="Times New Roman"/>
                <w:lang w:val="en-US" w:eastAsia="zh-CN"/>
              </w:rPr>
              <w:t>8</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31-</w:t>
            </w:r>
            <w:r>
              <w:rPr>
                <w:rFonts w:hint="eastAsia" w:ascii="Times New Roman" w:hAnsi="Times New Roman" w:eastAsia="宋体" w:cs="Times New Roman"/>
                <w:lang w:eastAsia="zh-CN"/>
              </w:rPr>
              <w:t>202</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8</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30</w:t>
            </w:r>
            <w:r>
              <w:rPr>
                <w:rFonts w:hint="eastAsia" w:ascii="Times New Roman" w:hAnsi="Times New Roman" w:eastAsia="宋体" w:cs="Times New Roman"/>
                <w:lang w:eastAsia="zh-CN"/>
              </w:rPr>
              <w:t>日</w:t>
            </w:r>
            <w:r>
              <w:rPr>
                <w:rFonts w:hint="eastAsia" w:ascii="Times New Roman" w:hAnsi="Times New Roman" w:eastAsia="宋体" w:cs="Times New Roman"/>
                <w:lang w:val="en-US" w:eastAsia="zh-CN"/>
              </w:rPr>
              <w:t>德惠凤凰都小区</w:t>
            </w:r>
            <w:r>
              <w:rPr>
                <w:rFonts w:hint="eastAsia" w:ascii="Times New Roman" w:hAnsi="Times New Roman" w:eastAsia="宋体" w:cs="Times New Roman"/>
                <w:lang w:eastAsia="zh-CN"/>
              </w:rPr>
              <w:t>签订合同，包括需方名称、消防服务内容及要求、物资需求、质量与技术要求、运输、费用结算、付款方式等要求，有2022年8月2</w:t>
            </w:r>
            <w:r>
              <w:rPr>
                <w:rFonts w:hint="eastAsia" w:ascii="Times New Roman" w:hAnsi="Times New Roman" w:eastAsia="宋体" w:cs="Times New Roman"/>
                <w:lang w:val="en-US" w:eastAsia="zh-CN"/>
              </w:rPr>
              <w:t>0</w:t>
            </w:r>
            <w:r>
              <w:rPr>
                <w:rFonts w:hint="eastAsia" w:ascii="Times New Roman" w:hAnsi="Times New Roman" w:eastAsia="宋体" w:cs="Times New Roman"/>
                <w:lang w:eastAsia="zh-CN"/>
              </w:rPr>
              <w:t>日合同评审记录表，从价格、交期保证、技术服务要求满足、物资供应满足要求进行评审，评审人</w:t>
            </w:r>
            <w:r>
              <w:rPr>
                <w:rFonts w:hint="eastAsia" w:ascii="Times New Roman" w:hAnsi="Times New Roman" w:eastAsia="宋体" w:cs="Times New Roman"/>
                <w:lang w:val="en-US" w:eastAsia="zh-CN"/>
              </w:rPr>
              <w:t>王邦启、</w:t>
            </w:r>
            <w:r>
              <w:rPr>
                <w:rFonts w:hint="eastAsia" w:ascii="Times New Roman" w:hAnsi="Times New Roman" w:eastAsia="宋体" w:cs="Times New Roman"/>
                <w:lang w:eastAsia="zh-CN"/>
              </w:rPr>
              <w:t>曹立广、曹梅、</w:t>
            </w:r>
            <w:r>
              <w:rPr>
                <w:rFonts w:hint="eastAsia" w:ascii="Times New Roman" w:hAnsi="Times New Roman" w:eastAsia="宋体" w:cs="Times New Roman"/>
                <w:lang w:val="en-US" w:eastAsia="zh-CN"/>
              </w:rPr>
              <w:t>郑如勇</w:t>
            </w:r>
            <w:r>
              <w:rPr>
                <w:rFonts w:hint="eastAsia" w:ascii="Times New Roman" w:hAnsi="Times New Roman" w:eastAsia="宋体" w:cs="Times New Roman"/>
                <w:lang w:eastAsia="zh-CN"/>
              </w:rPr>
              <w:t>，结论可以签订该合同，经总经理批准同意。</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3）查</w:t>
            </w:r>
            <w:r>
              <w:rPr>
                <w:rFonts w:hint="eastAsia" w:ascii="Times New Roman" w:hAnsi="Times New Roman" w:eastAsia="宋体" w:cs="Times New Roman"/>
                <w:lang w:val="en-US" w:eastAsia="zh-CN"/>
              </w:rPr>
              <w:t>有</w:t>
            </w:r>
            <w:r>
              <w:rPr>
                <w:rFonts w:hint="eastAsia" w:ascii="Times New Roman" w:hAnsi="Times New Roman" w:eastAsia="宋体" w:cs="Times New Roman"/>
                <w:lang w:eastAsia="zh-CN"/>
              </w:rPr>
              <w:t>2022.</w:t>
            </w:r>
            <w:r>
              <w:rPr>
                <w:rFonts w:hint="eastAsia" w:ascii="Times New Roman" w:hAnsi="Times New Roman" w:eastAsia="宋体" w:cs="Times New Roman"/>
                <w:lang w:val="en-US" w:eastAsia="zh-CN"/>
              </w:rPr>
              <w:t>4</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202</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31</w:t>
            </w:r>
            <w:r>
              <w:rPr>
                <w:rFonts w:hint="eastAsia" w:ascii="Times New Roman" w:hAnsi="Times New Roman" w:eastAsia="宋体" w:cs="Times New Roman"/>
                <w:lang w:eastAsia="zh-CN"/>
              </w:rPr>
              <w:t>日 青岛市</w:t>
            </w:r>
            <w:r>
              <w:rPr>
                <w:rFonts w:hint="eastAsia" w:ascii="Times New Roman" w:hAnsi="Times New Roman" w:eastAsia="宋体" w:cs="Times New Roman"/>
                <w:lang w:val="en-US" w:eastAsia="zh-CN"/>
              </w:rPr>
              <w:t>颐瑞凯莱酒店</w:t>
            </w:r>
            <w:r>
              <w:rPr>
                <w:rFonts w:hint="eastAsia" w:ascii="Times New Roman" w:hAnsi="Times New Roman" w:eastAsia="宋体" w:cs="Times New Roman"/>
                <w:lang w:eastAsia="zh-CN"/>
              </w:rPr>
              <w:t>签订合同，包括需方名称、消防服务内容及要求、物资需求、质量与技术要求、运输、费用结算、付款方式等要求，有2022年</w:t>
            </w:r>
            <w:r>
              <w:rPr>
                <w:rFonts w:hint="eastAsia" w:ascii="Times New Roman" w:hAnsi="Times New Roman" w:eastAsia="宋体" w:cs="Times New Roman"/>
                <w:lang w:val="en-US" w:eastAsia="zh-CN"/>
              </w:rPr>
              <w:t>4</w:t>
            </w:r>
            <w:r>
              <w:rPr>
                <w:rFonts w:hint="eastAsia" w:ascii="Times New Roman" w:hAnsi="Times New Roman" w:eastAsia="宋体" w:cs="Times New Roman"/>
                <w:lang w:eastAsia="zh-CN"/>
              </w:rPr>
              <w:t>月</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日合同评审记录表，从价格、交期保证、技术服务要求满足、物资供应满足要求进行评审，评审人</w:t>
            </w:r>
            <w:r>
              <w:rPr>
                <w:rFonts w:hint="eastAsia" w:ascii="Times New Roman" w:hAnsi="Times New Roman" w:eastAsia="宋体" w:cs="Times New Roman"/>
                <w:lang w:val="en-US" w:eastAsia="zh-CN"/>
              </w:rPr>
              <w:t>王邦启、</w:t>
            </w:r>
            <w:r>
              <w:rPr>
                <w:rFonts w:hint="eastAsia" w:ascii="Times New Roman" w:hAnsi="Times New Roman" w:eastAsia="宋体" w:cs="Times New Roman"/>
                <w:lang w:eastAsia="zh-CN"/>
              </w:rPr>
              <w:t>曹立广、曹梅、</w:t>
            </w:r>
            <w:r>
              <w:rPr>
                <w:rFonts w:hint="eastAsia" w:ascii="Times New Roman" w:hAnsi="Times New Roman" w:eastAsia="宋体" w:cs="Times New Roman"/>
                <w:lang w:val="en-US" w:eastAsia="zh-CN"/>
              </w:rPr>
              <w:t>郑如勇</w:t>
            </w:r>
            <w:r>
              <w:rPr>
                <w:rFonts w:hint="eastAsia" w:ascii="Times New Roman" w:hAnsi="Times New Roman" w:eastAsia="宋体" w:cs="Times New Roman"/>
                <w:lang w:eastAsia="zh-CN"/>
              </w:rPr>
              <w:t>，结论可以签订该合同，经总经理批准同意。</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与负责人交流及追查目前尚未发生合同更改的情况，询问对更改情况的控制明确清楚。</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产品要求的评审符合标准要求。</w:t>
            </w:r>
          </w:p>
        </w:tc>
        <w:tc>
          <w:tcPr>
            <w:tcW w:w="1490" w:type="dxa"/>
            <w:shd w:val="clear" w:color="auto" w:fill="auto"/>
            <w:vAlign w:val="center"/>
          </w:tcPr>
          <w:p>
            <w:pPr>
              <w:spacing w:line="280" w:lineRule="exact"/>
              <w:ind w:firstLine="420" w:firstLineChars="200"/>
              <w:rPr>
                <w:rFonts w:cs="宋体" w:asciiTheme="minorEastAsia" w:hAnsiTheme="minorEastAsia" w:eastAsiaTheme="minorEastAsia"/>
                <w:sz w:val="24"/>
                <w:szCs w:val="24"/>
              </w:rPr>
            </w:pPr>
            <w:r>
              <w:rPr>
                <w:rFonts w:hint="eastAsia" w:cs="宋体" w:asciiTheme="minorEastAsia" w:hAnsiTheme="minorEastAsia" w:eastAsiaTheme="minorEastAsia"/>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9" w:type="dxa"/>
            <w:shd w:val="clear" w:color="auto" w:fill="auto"/>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外部提供过程、产品和服务的控制</w:t>
            </w:r>
          </w:p>
        </w:tc>
        <w:tc>
          <w:tcPr>
            <w:tcW w:w="1211" w:type="dxa"/>
            <w:shd w:val="clear" w:color="auto" w:fill="auto"/>
            <w:vAlign w:val="center"/>
          </w:tcPr>
          <w:p>
            <w:pPr>
              <w:rPr>
                <w:rFonts w:asciiTheme="minorEastAsia" w:hAnsiTheme="minorEastAsia" w:eastAsiaTheme="minorEastAsia" w:cstheme="minorEastAsia"/>
                <w:szCs w:val="21"/>
              </w:rPr>
            </w:pPr>
            <w:r>
              <w:rPr>
                <w:rFonts w:hint="eastAsia" w:ascii="宋体" w:hAnsi="宋体" w:cs="宋体"/>
                <w:bCs/>
                <w:szCs w:val="21"/>
              </w:rPr>
              <w:t>Q8.4</w:t>
            </w:r>
          </w:p>
        </w:tc>
        <w:tc>
          <w:tcPr>
            <w:tcW w:w="10104" w:type="dxa"/>
            <w:shd w:val="clear" w:color="auto" w:fill="auto"/>
            <w:vAlign w:val="center"/>
          </w:tcPr>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综合部执行《合格供方及相关方控制程序》、《采购控制程序》，确保外部提供的过程、消防技术服务符合要求。</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公司根据外部供方按照要求提供过程、消防技术服务的能力，确定并实施对外部供方的评价、选择以及再评价的准则。</w:t>
            </w:r>
          </w:p>
          <w:p>
            <w:pPr>
              <w:spacing w:line="360" w:lineRule="auto"/>
              <w:ind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 xml:space="preserve">   提供《合格供方名单》，供</w:t>
            </w:r>
            <w:r>
              <w:rPr>
                <w:rFonts w:hint="eastAsia" w:ascii="Times New Roman" w:hAnsi="Times New Roman" w:eastAsia="宋体" w:cs="Times New Roman"/>
                <w:lang w:val="en-US" w:eastAsia="zh-CN"/>
              </w:rPr>
              <w:t>方8</w:t>
            </w:r>
            <w:r>
              <w:rPr>
                <w:rFonts w:hint="eastAsia" w:ascii="Times New Roman" w:hAnsi="Times New Roman" w:eastAsia="宋体" w:cs="Times New Roman"/>
                <w:lang w:eastAsia="zh-CN"/>
              </w:rPr>
              <w:t>家：供方名称、地址、供应物资、联系人/电话，</w:t>
            </w:r>
            <w:r>
              <w:rPr>
                <w:rFonts w:hint="eastAsia" w:ascii="Times New Roman" w:hAnsi="Times New Roman" w:eastAsia="宋体" w:cs="Times New Roman"/>
                <w:lang w:val="en-US" w:eastAsia="zh-CN"/>
              </w:rPr>
              <w:t>2022年1月18日  批准王邦启</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抽山东汉谷电器有限公司、上海金一泵业有限公司、海湾安全技术有限公司、致顺消防制造有限公司，均</w:t>
            </w:r>
            <w:r>
              <w:rPr>
                <w:rFonts w:hint="eastAsia" w:ascii="Times New Roman" w:hAnsi="Times New Roman" w:eastAsia="宋体" w:cs="Times New Roman"/>
                <w:lang w:eastAsia="zh-CN"/>
              </w:rPr>
              <w:t>提供供方调查评定表，对供方评价和再评价内容有背景材料、产品质量情况、设备能力及技术水平、供期、售后服务；记录每项评价记录，由王总批准列入合格供方，时间：2022年</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月</w:t>
            </w:r>
            <w:r>
              <w:rPr>
                <w:rFonts w:hint="eastAsia" w:ascii="Times New Roman" w:hAnsi="Times New Roman" w:eastAsia="宋体" w:cs="Times New Roman"/>
                <w:lang w:val="en-US" w:eastAsia="zh-CN"/>
              </w:rPr>
              <w:t>18</w:t>
            </w:r>
            <w:r>
              <w:rPr>
                <w:rFonts w:hint="eastAsia" w:ascii="Times New Roman" w:hAnsi="Times New Roman" w:eastAsia="宋体" w:cs="Times New Roman"/>
                <w:lang w:eastAsia="zh-CN"/>
              </w:rPr>
              <w:t>日</w:t>
            </w:r>
          </w:p>
          <w:p>
            <w:pPr>
              <w:spacing w:line="360" w:lineRule="auto"/>
              <w:ind w:firstLine="420" w:firstLineChars="20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提供上述四家采购合同，双方公司盖章生效；</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抽 物资采购申请单</w:t>
            </w:r>
            <w:r>
              <w:rPr>
                <w:rFonts w:hint="eastAsia" w:ascii="Times New Roman" w:hAnsi="Times New Roman" w:eastAsia="宋体" w:cs="Times New Roman"/>
                <w:lang w:val="en-US" w:eastAsia="zh-CN"/>
              </w:rPr>
              <w:t>2022年7月8日、11月8</w:t>
            </w:r>
            <w:r>
              <w:rPr>
                <w:rFonts w:hint="eastAsia" w:ascii="Times New Roman" w:hAnsi="Times New Roman" w:eastAsia="宋体" w:cs="Times New Roman"/>
                <w:lang w:eastAsia="zh-CN"/>
              </w:rPr>
              <w:t>， 明确物资名称、型号或规格、数量、</w:t>
            </w:r>
            <w:r>
              <w:rPr>
                <w:rFonts w:hint="eastAsia" w:ascii="Times New Roman" w:hAnsi="Times New Roman" w:eastAsia="宋体" w:cs="Times New Roman"/>
                <w:lang w:val="en-US" w:eastAsia="zh-CN"/>
              </w:rPr>
              <w:t>到货日期</w:t>
            </w:r>
            <w:r>
              <w:rPr>
                <w:rFonts w:hint="eastAsia" w:ascii="Times New Roman" w:hAnsi="Times New Roman" w:eastAsia="宋体" w:cs="Times New Roman"/>
                <w:lang w:eastAsia="zh-CN"/>
              </w:rPr>
              <w:t>；批准：王邦启</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有采购应急控制器</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集中集控单面疏散标志灯、双面信息标志灯到货</w:t>
            </w:r>
            <w:r>
              <w:rPr>
                <w:rFonts w:hint="eastAsia" w:ascii="Times New Roman" w:hAnsi="Times New Roman" w:eastAsia="宋体" w:cs="Times New Roman"/>
                <w:lang w:eastAsia="zh-CN"/>
              </w:rPr>
              <w:t>，到货日期2022年</w:t>
            </w:r>
            <w:r>
              <w:rPr>
                <w:rFonts w:hint="eastAsia" w:ascii="Times New Roman" w:hAnsi="Times New Roman" w:eastAsia="宋体" w:cs="Times New Roman"/>
                <w:lang w:val="en-US" w:eastAsia="zh-CN"/>
              </w:rPr>
              <w:t>11</w:t>
            </w:r>
            <w:r>
              <w:rPr>
                <w:rFonts w:hint="eastAsia" w:ascii="Times New Roman" w:hAnsi="Times New Roman" w:eastAsia="宋体" w:cs="Times New Roman"/>
                <w:lang w:eastAsia="zh-CN"/>
              </w:rPr>
              <w:t>月</w:t>
            </w:r>
            <w:r>
              <w:rPr>
                <w:rFonts w:hint="eastAsia" w:ascii="Times New Roman" w:hAnsi="Times New Roman" w:eastAsia="宋体" w:cs="Times New Roman"/>
                <w:lang w:val="en-US" w:eastAsia="zh-CN"/>
              </w:rPr>
              <w:t>20</w:t>
            </w:r>
            <w:r>
              <w:rPr>
                <w:rFonts w:hint="eastAsia" w:ascii="Times New Roman" w:hAnsi="Times New Roman" w:eastAsia="宋体" w:cs="Times New Roman"/>
                <w:lang w:eastAsia="zh-CN"/>
              </w:rPr>
              <w:t>日</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有</w:t>
            </w:r>
            <w:r>
              <w:rPr>
                <w:rFonts w:hint="eastAsia" w:ascii="Times New Roman" w:hAnsi="Times New Roman" w:eastAsia="宋体" w:cs="Times New Roman"/>
                <w:lang w:val="en-US" w:eastAsia="zh-CN"/>
              </w:rPr>
              <w:t>采购消防栓泵、配套控制柜、稳压泵、气压罐到货，</w:t>
            </w:r>
            <w:r>
              <w:rPr>
                <w:rFonts w:hint="eastAsia" w:ascii="Times New Roman" w:hAnsi="Times New Roman" w:eastAsia="宋体" w:cs="Times New Roman"/>
                <w:lang w:eastAsia="zh-CN"/>
              </w:rPr>
              <w:t>到货日期2022年</w:t>
            </w:r>
            <w:r>
              <w:rPr>
                <w:rFonts w:hint="eastAsia" w:ascii="Times New Roman" w:hAnsi="Times New Roman" w:eastAsia="宋体" w:cs="Times New Roman"/>
                <w:lang w:val="en-US" w:eastAsia="zh-CN"/>
              </w:rPr>
              <w:t>7</w:t>
            </w:r>
            <w:r>
              <w:rPr>
                <w:rFonts w:hint="eastAsia" w:ascii="Times New Roman" w:hAnsi="Times New Roman" w:eastAsia="宋体" w:cs="Times New Roman"/>
                <w:lang w:eastAsia="zh-CN"/>
              </w:rPr>
              <w:t>月</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2日</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有</w:t>
            </w:r>
            <w:r>
              <w:rPr>
                <w:rFonts w:hint="eastAsia" w:ascii="Times New Roman" w:hAnsi="Times New Roman" w:eastAsia="宋体" w:cs="Times New Roman"/>
                <w:lang w:val="en-US" w:eastAsia="zh-CN"/>
              </w:rPr>
              <w:t>采购消防栓按钮、火灾声光警报器、手动火灾报警按钮到货，</w:t>
            </w:r>
            <w:r>
              <w:rPr>
                <w:rFonts w:hint="eastAsia" w:ascii="Times New Roman" w:hAnsi="Times New Roman" w:eastAsia="宋体" w:cs="Times New Roman"/>
                <w:lang w:eastAsia="zh-CN"/>
              </w:rPr>
              <w:t>到货日期2022年</w:t>
            </w:r>
            <w:r>
              <w:rPr>
                <w:rFonts w:hint="eastAsia" w:ascii="Times New Roman" w:hAnsi="Times New Roman" w:eastAsia="宋体" w:cs="Times New Roman"/>
                <w:lang w:val="en-US" w:eastAsia="zh-CN"/>
              </w:rPr>
              <w:t>8</w:t>
            </w:r>
            <w:r>
              <w:rPr>
                <w:rFonts w:hint="eastAsia" w:ascii="Times New Roman" w:hAnsi="Times New Roman" w:eastAsia="宋体" w:cs="Times New Roman"/>
                <w:lang w:eastAsia="zh-CN"/>
              </w:rPr>
              <w:t>月2</w:t>
            </w:r>
            <w:r>
              <w:rPr>
                <w:rFonts w:hint="eastAsia" w:ascii="Times New Roman" w:hAnsi="Times New Roman" w:eastAsia="宋体" w:cs="Times New Roman"/>
                <w:lang w:val="en-US" w:eastAsia="zh-CN"/>
              </w:rPr>
              <w:t>0</w:t>
            </w:r>
            <w:r>
              <w:rPr>
                <w:rFonts w:hint="eastAsia" w:ascii="Times New Roman" w:hAnsi="Times New Roman" w:eastAsia="宋体" w:cs="Times New Roman"/>
                <w:lang w:eastAsia="zh-CN"/>
              </w:rPr>
              <w:t>日</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采购物资到货后通知专业技术人员进行采购产品检验，确保外部提供产品和服务满足要求。</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外部提供过程、产品和服务的控制符合要求。</w:t>
            </w:r>
          </w:p>
        </w:tc>
        <w:tc>
          <w:tcPr>
            <w:tcW w:w="1490" w:type="dxa"/>
            <w:shd w:val="clear" w:color="auto" w:fill="auto"/>
            <w:vAlign w:val="center"/>
          </w:tcPr>
          <w:p>
            <w:pPr>
              <w:spacing w:line="280" w:lineRule="exact"/>
              <w:ind w:firstLine="420" w:firstLineChars="200"/>
              <w:rPr>
                <w:rFonts w:cs="宋体" w:asciiTheme="minorEastAsia" w:hAnsiTheme="minorEastAsia" w:eastAsiaTheme="minorEastAsia"/>
                <w:sz w:val="24"/>
                <w:szCs w:val="24"/>
              </w:rPr>
            </w:pPr>
            <w:r>
              <w:rPr>
                <w:rFonts w:hint="eastAsia" w:cs="宋体" w:asciiTheme="minorEastAsia" w:hAnsiTheme="minorEastAsia" w:eastAsiaTheme="minorEastAsia"/>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9" w:type="dxa"/>
            <w:shd w:val="clear" w:color="auto" w:fill="auto"/>
            <w:vAlign w:val="center"/>
          </w:tcPr>
          <w:p>
            <w:pPr>
              <w:adjustRightInd w:val="0"/>
              <w:snapToGrid w:val="0"/>
              <w:spacing w:line="240" w:lineRule="exact"/>
              <w:ind w:right="105" w:rightChars="50"/>
              <w:jc w:val="left"/>
              <w:textAlignment w:val="baseline"/>
              <w:rPr>
                <w:rFonts w:ascii="宋体" w:hAnsi="宋体" w:cs="Arial"/>
                <w:szCs w:val="21"/>
              </w:rPr>
            </w:pPr>
            <w:r>
              <w:rPr>
                <w:rFonts w:hint="eastAsia" w:ascii="宋体" w:hAnsi="宋体" w:cs="Arial"/>
                <w:szCs w:val="21"/>
              </w:rPr>
              <w:t>顾客或外部供方的财产</w:t>
            </w:r>
          </w:p>
          <w:p>
            <w:pPr>
              <w:rPr>
                <w:rFonts w:asciiTheme="minorEastAsia" w:hAnsiTheme="minorEastAsia" w:eastAsiaTheme="minorEastAsia" w:cstheme="minorEastAsia"/>
                <w:szCs w:val="21"/>
              </w:rPr>
            </w:pPr>
          </w:p>
        </w:tc>
        <w:tc>
          <w:tcPr>
            <w:tcW w:w="1211" w:type="dxa"/>
            <w:shd w:val="clear" w:color="auto" w:fill="auto"/>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Q8.5.3</w:t>
            </w:r>
          </w:p>
        </w:tc>
        <w:tc>
          <w:tcPr>
            <w:tcW w:w="10104" w:type="dxa"/>
            <w:shd w:val="clear" w:color="auto" w:fill="auto"/>
            <w:vAlign w:val="center"/>
          </w:tcPr>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公司建立并执行顾客财产控制程序；公司爱护在组织控制下或公司使用的顾客或外部供方的财产。</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对公司使用的或构成消防技术服务一部分的顾客和外部供方财产，进行识别、验证、保护和防护。</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若顾客或外部供方的财产发生丢失、损坏或发现不适用情况，公司应向顾客或外部供方报告，并保留所发生情况的成文信息。</w:t>
            </w:r>
          </w:p>
        </w:tc>
        <w:tc>
          <w:tcPr>
            <w:tcW w:w="1490" w:type="dxa"/>
            <w:shd w:val="clear" w:color="auto" w:fill="auto"/>
            <w:vAlign w:val="center"/>
          </w:tcPr>
          <w:p>
            <w:pPr>
              <w:spacing w:line="280" w:lineRule="exact"/>
              <w:ind w:firstLine="420" w:firstLineChars="200"/>
              <w:rPr>
                <w:rFonts w:cs="宋体" w:asciiTheme="minorEastAsia" w:hAnsiTheme="minorEastAsia" w:eastAsiaTheme="minorEastAsia"/>
                <w:sz w:val="24"/>
                <w:szCs w:val="24"/>
              </w:rPr>
            </w:pPr>
            <w:r>
              <w:rPr>
                <w:rFonts w:hint="eastAsia" w:cs="宋体" w:asciiTheme="minorEastAsia" w:hAnsiTheme="minorEastAsia" w:eastAsiaTheme="minorEastAsia"/>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9" w:type="dxa"/>
            <w:shd w:val="clear" w:color="auto" w:fill="auto"/>
          </w:tcPr>
          <w:p>
            <w:pPr>
              <w:spacing w:line="280" w:lineRule="exact"/>
              <w:jc w:val="left"/>
              <w:rPr>
                <w:rFonts w:cs="宋体" w:asciiTheme="minorEastAsia" w:hAnsiTheme="minorEastAsia" w:eastAsiaTheme="minorEastAsia"/>
                <w:szCs w:val="21"/>
              </w:rPr>
            </w:pPr>
            <w:r>
              <w:rPr>
                <w:rFonts w:cs="宋体" w:asciiTheme="minorEastAsia" w:hAnsiTheme="minorEastAsia" w:eastAsiaTheme="minorEastAsia"/>
                <w:szCs w:val="21"/>
              </w:rPr>
              <w:t>交付后活动</w:t>
            </w:r>
          </w:p>
        </w:tc>
        <w:tc>
          <w:tcPr>
            <w:tcW w:w="1211" w:type="dxa"/>
            <w:shd w:val="clear" w:color="auto" w:fill="auto"/>
          </w:tcPr>
          <w:p>
            <w:pPr>
              <w:spacing w:line="280" w:lineRule="exact"/>
              <w:jc w:val="left"/>
              <w:rPr>
                <w:rFonts w:cs="宋体" w:asciiTheme="minorEastAsia" w:hAnsiTheme="minorEastAsia" w:eastAsiaTheme="minorEastAsia"/>
                <w:szCs w:val="21"/>
              </w:rPr>
            </w:pPr>
            <w:r>
              <w:rPr>
                <w:rFonts w:cs="宋体" w:asciiTheme="minorEastAsia" w:hAnsiTheme="minorEastAsia" w:eastAsiaTheme="minorEastAsia"/>
                <w:szCs w:val="21"/>
              </w:rPr>
              <w:t>Q8.5.5</w:t>
            </w:r>
          </w:p>
        </w:tc>
        <w:tc>
          <w:tcPr>
            <w:tcW w:w="10104" w:type="dxa"/>
            <w:shd w:val="clear" w:color="auto" w:fill="auto"/>
          </w:tcPr>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与部门负责人沟通了解到组织主要通过与客户签订合同的形式对交付后的活动进行规定，合同通常包括：法律法规要求，交付后不合格的处理，顾客的要求等。公司执行合同约束与消防技术服务相关的交付后活动的要求，严格执行法律法规要求，充分考虑与消防技术服务相关的潜在不良的后果，消防技术服务的性质、使用和预期寿命；满足顾客要求，重视和收集顾客反馈。</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基本满足要求。</w:t>
            </w:r>
          </w:p>
        </w:tc>
        <w:tc>
          <w:tcPr>
            <w:tcW w:w="1490" w:type="dxa"/>
            <w:shd w:val="clear" w:color="auto" w:fill="auto"/>
            <w:vAlign w:val="center"/>
          </w:tcPr>
          <w:p>
            <w:pPr>
              <w:spacing w:line="280" w:lineRule="exact"/>
              <w:ind w:firstLine="420" w:firstLineChars="200"/>
              <w:rPr>
                <w:rFonts w:cs="宋体" w:asciiTheme="minorEastAsia" w:hAnsiTheme="minorEastAsia" w:eastAsiaTheme="minorEastAsia"/>
                <w:sz w:val="24"/>
                <w:szCs w:val="24"/>
              </w:rPr>
            </w:pPr>
            <w:r>
              <w:rPr>
                <w:rFonts w:hint="eastAsia" w:cs="宋体" w:asciiTheme="minorEastAsia" w:hAnsiTheme="minorEastAsia" w:eastAsiaTheme="minorEastAsia"/>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7" w:hRule="atLeast"/>
        </w:trPr>
        <w:tc>
          <w:tcPr>
            <w:tcW w:w="1809" w:type="dxa"/>
            <w:shd w:val="clear" w:color="auto" w:fill="auto"/>
            <w:vAlign w:val="center"/>
          </w:tcPr>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运行策划和控制</w:t>
            </w:r>
          </w:p>
          <w:p>
            <w:pPr>
              <w:spacing w:line="280" w:lineRule="exact"/>
              <w:ind w:firstLine="420" w:firstLineChars="200"/>
              <w:jc w:val="left"/>
              <w:rPr>
                <w:rFonts w:cs="宋体" w:asciiTheme="minorEastAsia" w:hAnsiTheme="minorEastAsia" w:eastAsiaTheme="minorEastAsia"/>
                <w:szCs w:val="21"/>
              </w:rPr>
            </w:pPr>
          </w:p>
          <w:p>
            <w:pPr>
              <w:spacing w:line="280" w:lineRule="exact"/>
              <w:ind w:firstLine="420" w:firstLineChars="200"/>
              <w:jc w:val="left"/>
              <w:rPr>
                <w:rFonts w:hint="eastAsia" w:ascii="楷体" w:hAnsi="楷体" w:eastAsia="楷体" w:cs="楷体"/>
                <w:color w:val="4F81BD" w:themeColor="accent1"/>
                <w:sz w:val="24"/>
                <w:szCs w:val="24"/>
                <w14:textFill>
                  <w14:solidFill>
                    <w14:schemeClr w14:val="accent1"/>
                  </w14:solidFill>
                </w14:textFill>
              </w:rPr>
            </w:pPr>
            <w:r>
              <w:rPr>
                <w:rFonts w:hint="eastAsia" w:cs="宋体" w:asciiTheme="minorEastAsia" w:hAnsiTheme="minorEastAsia" w:eastAsiaTheme="minorEastAsia"/>
                <w:szCs w:val="21"/>
              </w:rPr>
              <w:t>财务支出</w:t>
            </w:r>
          </w:p>
        </w:tc>
        <w:tc>
          <w:tcPr>
            <w:tcW w:w="1211" w:type="dxa"/>
            <w:shd w:val="clear" w:color="auto" w:fill="auto"/>
            <w:vAlign w:val="center"/>
          </w:tcPr>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O 8.1</w:t>
            </w:r>
            <w:r>
              <w:rPr>
                <w:rFonts w:cs="宋体" w:asciiTheme="minorEastAsia" w:hAnsiTheme="minorEastAsia" w:eastAsiaTheme="minorEastAsia"/>
                <w:szCs w:val="21"/>
              </w:rPr>
              <w:t xml:space="preserve"> </w:t>
            </w:r>
          </w:p>
          <w:p>
            <w:pPr>
              <w:spacing w:line="280" w:lineRule="exact"/>
              <w:ind w:firstLine="480" w:firstLineChars="200"/>
              <w:jc w:val="left"/>
              <w:rPr>
                <w:rFonts w:hint="eastAsia" w:ascii="楷体" w:hAnsi="楷体" w:eastAsia="楷体" w:cs="楷体"/>
                <w:color w:val="4F81BD" w:themeColor="accent1"/>
                <w:sz w:val="24"/>
                <w:szCs w:val="24"/>
                <w14:textFill>
                  <w14:solidFill>
                    <w14:schemeClr w14:val="accent1"/>
                  </w14:solidFill>
                </w14:textFill>
              </w:rPr>
            </w:pPr>
          </w:p>
        </w:tc>
        <w:tc>
          <w:tcPr>
            <w:tcW w:w="10104" w:type="dxa"/>
            <w:shd w:val="clear" w:color="auto" w:fill="auto"/>
            <w:vAlign w:val="center"/>
          </w:tcPr>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公司执行《环境和职业健康安全运行控制程序》、《消防作业指导书》等</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综合部组织安全知识、消防知识培训，员工具备基本的职业健康安全防护意识，关键重要岗位人员持证上岗，要求全员标准、规范作业，控制高处作业并加强防护，高处工作配戴安全带、安全帽。</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抽查2022年11月尹家军、曹梅、程振投保记录，提供青岛市社会保险参保证明，社保编号3703406283</w:t>
            </w:r>
            <w:r>
              <w:rPr>
                <w:rFonts w:hint="eastAsia" w:ascii="Times New Roman" w:hAnsi="Times New Roman" w:eastAsia="宋体" w:cs="Times New Roman"/>
                <w:lang w:eastAsia="zh-CN"/>
              </w:rPr>
              <w:t xml:space="preserve">  </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部门运行控制基本符合要求。</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工作区域内电脑、电器有漏电保护装置，专业电工经常对电路、电源进行检查，没有露电现象发生，工作人员使用前确认状态无异常时正常使用；发生故障／异常时联系电工人员来处理，公司人员不得随意操作以防触电。</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要求全体人员上下班开车注意路况，禁止酒后驾驶、超速驾驶，车辆必须定期年检。控制工作时间，劳逸结合，按期体检、预防职业病发生。</w:t>
            </w:r>
          </w:p>
          <w:p>
            <w:pPr>
              <w:spacing w:line="360" w:lineRule="auto"/>
              <w:ind w:firstLine="420" w:firstLineChars="200"/>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为满足职业健康安全体系的运行，公司投入了安全资金，主要是购买消防设施、劳保防护用品费及培训等，有财务劳保用品及消防设施维护财务投入记录。</w:t>
            </w:r>
            <w:r>
              <w:rPr>
                <w:rFonts w:hint="eastAsia" w:ascii="Times New Roman" w:hAnsi="Times New Roman" w:eastAsia="宋体" w:cs="Times New Roman"/>
                <w:lang w:val="en-US" w:eastAsia="zh-CN"/>
              </w:rPr>
              <w:t xml:space="preserve"> 购买防护服用品投入2775元，有发票。</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现场巡视办公区域，抽查２部灭火器，状态有效正常。</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 xml:space="preserve">新冠肺炎疫情期间，为员工发医用防护口罩，办公区配备有医用消毒剂消毒。   </w:t>
            </w:r>
          </w:p>
          <w:p>
            <w:pPr>
              <w:spacing w:line="360" w:lineRule="auto"/>
              <w:ind w:firstLine="420" w:firstLineChars="200"/>
              <w:rPr>
                <w:rFonts w:hint="eastAsia" w:ascii="Times New Roman" w:hAnsi="Times New Roman" w:eastAsia="宋体" w:cs="Times New Roman"/>
                <w:lang w:val="en-US" w:eastAsia="zh-CN"/>
              </w:rPr>
            </w:pPr>
          </w:p>
        </w:tc>
        <w:tc>
          <w:tcPr>
            <w:tcW w:w="1490" w:type="dxa"/>
            <w:shd w:val="clear" w:color="auto" w:fill="auto"/>
            <w:vAlign w:val="top"/>
          </w:tcPr>
          <w:p>
            <w:pPr>
              <w:spacing w:line="360" w:lineRule="auto"/>
              <w:rPr>
                <w:rFonts w:hint="eastAsia" w:ascii="楷体" w:hAnsi="楷体" w:eastAsia="楷体" w:cs="Times New Roman"/>
                <w:color w:val="4F81BD" w:themeColor="accent1"/>
                <w:kern w:val="2"/>
                <w:sz w:val="24"/>
                <w:szCs w:val="24"/>
                <w:lang w:val="en-US" w:eastAsia="zh-CN" w:bidi="ar-SA"/>
                <w14:textFill>
                  <w14:solidFill>
                    <w14:schemeClr w14:val="accent1"/>
                  </w14:solidFill>
                </w14:textFill>
              </w:rPr>
            </w:pPr>
            <w:r>
              <w:rPr>
                <w:rFonts w:hint="eastAsia" w:cs="宋体" w:asciiTheme="minorEastAsia" w:hAnsiTheme="minorEastAsia" w:eastAsiaTheme="minorEastAsia"/>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7" w:hRule="atLeast"/>
        </w:trPr>
        <w:tc>
          <w:tcPr>
            <w:tcW w:w="1809" w:type="dxa"/>
            <w:shd w:val="clear" w:color="auto" w:fill="auto"/>
            <w:vAlign w:val="center"/>
          </w:tcPr>
          <w:p>
            <w:pPr>
              <w:spacing w:line="280" w:lineRule="exact"/>
              <w:jc w:val="left"/>
              <w:rPr>
                <w:rFonts w:hint="eastAsia" w:ascii="楷体" w:hAnsi="楷体" w:eastAsia="楷体" w:cs="楷体"/>
                <w:color w:val="4F81BD" w:themeColor="accent1"/>
                <w:sz w:val="24"/>
                <w:szCs w:val="24"/>
                <w14:textFill>
                  <w14:solidFill>
                    <w14:schemeClr w14:val="accent1"/>
                  </w14:solidFill>
                </w14:textFill>
              </w:rPr>
            </w:pPr>
            <w:r>
              <w:rPr>
                <w:rFonts w:hint="eastAsia" w:cs="宋体" w:asciiTheme="minorEastAsia" w:hAnsiTheme="minorEastAsia" w:eastAsiaTheme="minorEastAsia"/>
                <w:szCs w:val="21"/>
              </w:rPr>
              <w:t>应急准备和响应</w:t>
            </w:r>
          </w:p>
        </w:tc>
        <w:tc>
          <w:tcPr>
            <w:tcW w:w="1211" w:type="dxa"/>
            <w:shd w:val="clear" w:color="auto" w:fill="auto"/>
            <w:vAlign w:val="top"/>
          </w:tcPr>
          <w:p>
            <w:pPr>
              <w:spacing w:line="280" w:lineRule="exact"/>
              <w:ind w:firstLine="420" w:firstLineChars="200"/>
              <w:jc w:val="left"/>
              <w:rPr>
                <w:rFonts w:cs="宋体" w:asciiTheme="minorEastAsia" w:hAnsiTheme="minorEastAsia" w:eastAsiaTheme="minorEastAsia"/>
                <w:szCs w:val="21"/>
              </w:rPr>
            </w:pPr>
          </w:p>
          <w:p>
            <w:pPr>
              <w:spacing w:line="280" w:lineRule="exact"/>
              <w:ind w:firstLine="420" w:firstLineChars="200"/>
              <w:jc w:val="left"/>
              <w:rPr>
                <w:rFonts w:cs="宋体" w:asciiTheme="minorEastAsia" w:hAnsiTheme="minorEastAsia" w:eastAsiaTheme="minorEastAsia"/>
                <w:szCs w:val="21"/>
              </w:rPr>
            </w:pPr>
          </w:p>
          <w:p>
            <w:pPr>
              <w:spacing w:line="280" w:lineRule="exact"/>
              <w:ind w:firstLine="420" w:firstLineChars="200"/>
              <w:jc w:val="left"/>
              <w:rPr>
                <w:rFonts w:cs="宋体" w:asciiTheme="minorEastAsia" w:hAnsiTheme="minorEastAsia" w:eastAsiaTheme="minorEastAsia"/>
                <w:szCs w:val="21"/>
              </w:rPr>
            </w:pPr>
          </w:p>
          <w:p>
            <w:pPr>
              <w:spacing w:line="280" w:lineRule="exact"/>
              <w:ind w:firstLine="420" w:firstLineChars="200"/>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O 8.2 </w:t>
            </w:r>
          </w:p>
          <w:p>
            <w:pPr>
              <w:spacing w:line="280" w:lineRule="exact"/>
              <w:ind w:firstLine="420" w:firstLineChars="200"/>
              <w:jc w:val="left"/>
              <w:rPr>
                <w:rFonts w:cs="宋体" w:asciiTheme="minorEastAsia" w:hAnsiTheme="minorEastAsia" w:eastAsiaTheme="minorEastAsia"/>
                <w:szCs w:val="21"/>
              </w:rPr>
            </w:pPr>
          </w:p>
          <w:p>
            <w:pPr>
              <w:spacing w:line="280" w:lineRule="exact"/>
              <w:ind w:firstLine="480" w:firstLineChars="200"/>
              <w:jc w:val="left"/>
              <w:rPr>
                <w:rFonts w:hint="eastAsia" w:ascii="楷体" w:hAnsi="楷体" w:eastAsia="楷体" w:cs="楷体"/>
                <w:color w:val="4F81BD" w:themeColor="accent1"/>
                <w:sz w:val="24"/>
                <w:szCs w:val="24"/>
                <w14:textFill>
                  <w14:solidFill>
                    <w14:schemeClr w14:val="accent1"/>
                  </w14:solidFill>
                </w14:textFill>
              </w:rPr>
            </w:pPr>
          </w:p>
        </w:tc>
        <w:tc>
          <w:tcPr>
            <w:tcW w:w="10104" w:type="dxa"/>
            <w:shd w:val="clear" w:color="auto" w:fill="auto"/>
            <w:vAlign w:val="top"/>
          </w:tcPr>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公司执行《应急准备和响应控制程序》，紧急情况有：火灾、触电、高处坠落、机械伤害、物体打击，提供并执行应急预案，明确应急处置要求。</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配备消防器材：抽查２部灭火器，均正常完好；</w:t>
            </w:r>
          </w:p>
          <w:p>
            <w:pPr>
              <w:spacing w:line="360" w:lineRule="auto"/>
              <w:ind w:firstLine="420" w:firstLineChars="200"/>
              <w:rPr>
                <w:rFonts w:hint="default" w:ascii="Times New Roman" w:hAnsi="Times New Roman" w:eastAsia="宋体" w:cs="Times New Roman"/>
                <w:lang w:val="en-US" w:eastAsia="zh-CN"/>
              </w:rPr>
            </w:pPr>
            <w:bookmarkStart w:id="1" w:name="_GoBack"/>
            <w:r>
              <w:rPr>
                <w:rFonts w:hint="eastAsia" w:ascii="Times New Roman" w:hAnsi="Times New Roman" w:eastAsia="宋体" w:cs="Times New Roman"/>
                <w:lang w:eastAsia="zh-CN"/>
              </w:rPr>
              <w:t>2022.</w:t>
            </w:r>
            <w:r>
              <w:rPr>
                <w:rFonts w:hint="eastAsia" w:ascii="Times New Roman" w:hAnsi="Times New Roman" w:eastAsia="宋体" w:cs="Times New Roman"/>
                <w:lang w:val="en-US" w:eastAsia="zh-CN"/>
              </w:rPr>
              <w:t>10</w:t>
            </w:r>
            <w:r>
              <w:rPr>
                <w:rFonts w:hint="eastAsia" w:ascii="Times New Roman" w:hAnsi="Times New Roman" w:eastAsia="宋体" w:cs="Times New Roman"/>
                <w:lang w:eastAsia="zh-CN"/>
              </w:rPr>
              <w:t>.1</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日参加了公司组织的触电演练</w:t>
            </w:r>
            <w:bookmarkEnd w:id="1"/>
            <w:r>
              <w:rPr>
                <w:rFonts w:hint="eastAsia" w:ascii="Times New Roman" w:hAnsi="Times New Roman" w:eastAsia="宋体" w:cs="Times New Roman"/>
                <w:lang w:val="en-US" w:eastAsia="zh-CN"/>
              </w:rPr>
              <w:t>,提供应急演练记录 有名称、参加人员、内容及要求、过程记录、演练总结及整改意见记录，记录人曹梅，批准王邦启。</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2022年</w:t>
            </w:r>
            <w:r>
              <w:rPr>
                <w:rFonts w:hint="eastAsia" w:ascii="Times New Roman" w:hAnsi="Times New Roman" w:eastAsia="宋体" w:cs="Times New Roman"/>
                <w:lang w:val="en-US" w:eastAsia="zh-CN"/>
              </w:rPr>
              <w:t>10</w:t>
            </w:r>
            <w:r>
              <w:rPr>
                <w:rFonts w:hint="eastAsia" w:ascii="Times New Roman" w:hAnsi="Times New Roman" w:eastAsia="宋体" w:cs="Times New Roman"/>
                <w:lang w:eastAsia="zh-CN"/>
              </w:rPr>
              <w:t>月</w:t>
            </w:r>
            <w:r>
              <w:rPr>
                <w:rFonts w:hint="eastAsia" w:ascii="Times New Roman" w:hAnsi="Times New Roman" w:eastAsia="宋体" w:cs="Times New Roman"/>
                <w:lang w:val="en-US" w:eastAsia="zh-CN"/>
              </w:rPr>
              <w:t>20</w:t>
            </w:r>
            <w:r>
              <w:rPr>
                <w:rFonts w:hint="eastAsia" w:ascii="Times New Roman" w:hAnsi="Times New Roman" w:eastAsia="宋体" w:cs="Times New Roman"/>
                <w:lang w:eastAsia="zh-CN"/>
              </w:rPr>
              <w:t xml:space="preserve">日进行机械伤害应急演练，提供演练记录：参加人员、内容及要求、演练过程记录，事后处理记录要求，记录人：曹梅 </w:t>
            </w:r>
            <w:r>
              <w:rPr>
                <w:rFonts w:hint="eastAsia" w:ascii="Times New Roman" w:hAnsi="Times New Roman" w:eastAsia="宋体" w:cs="Times New Roman"/>
                <w:lang w:val="en-US" w:eastAsia="zh-CN"/>
              </w:rPr>
              <w:t>，批准王邦启</w:t>
            </w:r>
            <w:r>
              <w:rPr>
                <w:rFonts w:hint="eastAsia" w:ascii="Times New Roman" w:hAnsi="Times New Roman" w:eastAsia="宋体" w:cs="Times New Roman"/>
                <w:lang w:eastAsia="zh-CN"/>
              </w:rPr>
              <w:t xml:space="preserve">    日期：2022</w:t>
            </w:r>
            <w:r>
              <w:rPr>
                <w:rFonts w:hint="eastAsia" w:ascii="Times New Roman" w:hAnsi="Times New Roman" w:eastAsia="宋体" w:cs="Times New Roman"/>
                <w:lang w:val="en-US" w:eastAsia="zh-CN"/>
              </w:rPr>
              <w:t>年10</w:t>
            </w:r>
            <w:r>
              <w:rPr>
                <w:rFonts w:hint="eastAsia" w:ascii="Times New Roman" w:hAnsi="Times New Roman" w:eastAsia="宋体" w:cs="Times New Roman"/>
                <w:lang w:eastAsia="zh-CN"/>
              </w:rPr>
              <w:t>月2</w:t>
            </w:r>
            <w:r>
              <w:rPr>
                <w:rFonts w:hint="eastAsia" w:ascii="Times New Roman" w:hAnsi="Times New Roman" w:eastAsia="宋体" w:cs="Times New Roman"/>
                <w:lang w:val="en-US" w:eastAsia="zh-CN"/>
              </w:rPr>
              <w:t>0</w:t>
            </w:r>
            <w:r>
              <w:rPr>
                <w:rFonts w:hint="eastAsia" w:ascii="Times New Roman" w:hAnsi="Times New Roman" w:eastAsia="宋体" w:cs="Times New Roman"/>
                <w:lang w:eastAsia="zh-CN"/>
              </w:rPr>
              <w:t>日。</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2022.9.</w:t>
            </w:r>
            <w:r>
              <w:rPr>
                <w:rFonts w:hint="eastAsia" w:ascii="Times New Roman" w:hAnsi="Times New Roman" w:eastAsia="宋体" w:cs="Times New Roman"/>
                <w:lang w:val="en-US" w:eastAsia="zh-CN"/>
              </w:rPr>
              <w:t>22</w:t>
            </w:r>
            <w:r>
              <w:rPr>
                <w:rFonts w:hint="eastAsia" w:ascii="Times New Roman" w:hAnsi="Times New Roman" w:eastAsia="宋体" w:cs="Times New Roman"/>
                <w:lang w:eastAsia="zh-CN"/>
              </w:rPr>
              <w:t>日进行火灾应急演练，提供演练记录：参加人员、内容及要求、演练过程记录，有总结：通过本次演习，使现场的工作人员能够明确地认识到各自的职责，熟悉了应急预案的各环节和步骤，保证了火势在最短的时间里到控制，人员及时撤离，说明此应急预案是切实可行的，记录人：曹梅，</w:t>
            </w:r>
            <w:r>
              <w:rPr>
                <w:rFonts w:hint="eastAsia" w:ascii="Times New Roman" w:hAnsi="Times New Roman" w:eastAsia="宋体" w:cs="Times New Roman"/>
                <w:lang w:val="en-US" w:eastAsia="zh-CN"/>
              </w:rPr>
              <w:t xml:space="preserve">批准王邦启 </w:t>
            </w:r>
            <w:r>
              <w:rPr>
                <w:rFonts w:hint="eastAsia" w:ascii="Times New Roman" w:hAnsi="Times New Roman" w:eastAsia="宋体" w:cs="Times New Roman"/>
                <w:lang w:eastAsia="zh-CN"/>
              </w:rPr>
              <w:t xml:space="preserve"> 日期：2022年9月2</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日</w:t>
            </w:r>
          </w:p>
          <w:p>
            <w:pPr>
              <w:spacing w:line="360" w:lineRule="auto"/>
              <w:ind w:firstLine="420" w:firstLineChars="200"/>
              <w:rPr>
                <w:rFonts w:hint="eastAsia" w:ascii="楷体" w:hAnsi="楷体" w:eastAsia="楷体" w:cs="楷体"/>
                <w:color w:val="4F81BD" w:themeColor="accent1"/>
                <w:kern w:val="2"/>
                <w:sz w:val="24"/>
                <w:szCs w:val="24"/>
                <w:lang w:val="en-US" w:eastAsia="zh-CN" w:bidi="ar-SA"/>
                <w14:textFill>
                  <w14:solidFill>
                    <w14:schemeClr w14:val="accent1"/>
                  </w14:solidFill>
                </w14:textFill>
              </w:rPr>
            </w:pPr>
            <w:r>
              <w:rPr>
                <w:rFonts w:hint="eastAsia" w:ascii="Times New Roman" w:hAnsi="Times New Roman" w:eastAsia="宋体" w:cs="Times New Roman"/>
                <w:lang w:eastAsia="zh-CN"/>
              </w:rPr>
              <w:t>应急准备和响应符合要求</w:t>
            </w:r>
          </w:p>
        </w:tc>
        <w:tc>
          <w:tcPr>
            <w:tcW w:w="1490" w:type="dxa"/>
            <w:shd w:val="clear" w:color="auto" w:fill="auto"/>
            <w:vAlign w:val="top"/>
          </w:tcPr>
          <w:p>
            <w:pPr>
              <w:spacing w:line="360" w:lineRule="auto"/>
              <w:rPr>
                <w:rFonts w:hint="eastAsia" w:ascii="楷体" w:hAnsi="楷体" w:eastAsia="楷体" w:cs="Times New Roman"/>
                <w:color w:val="4F81BD" w:themeColor="accent1"/>
                <w:kern w:val="2"/>
                <w:sz w:val="24"/>
                <w:szCs w:val="24"/>
                <w:lang w:val="en-US" w:eastAsia="zh-CN" w:bidi="ar-SA"/>
                <w14:textFill>
                  <w14:solidFill>
                    <w14:schemeClr w14:val="accent1"/>
                  </w14:solidFill>
                </w14:textFill>
              </w:rPr>
            </w:pPr>
            <w:r>
              <w:rPr>
                <w:rFonts w:hint="eastAsia" w:cs="宋体" w:asciiTheme="minorEastAsia" w:hAnsiTheme="minorEastAsia" w:eastAsiaTheme="minorEastAsia"/>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7" w:hRule="atLeast"/>
        </w:trPr>
        <w:tc>
          <w:tcPr>
            <w:tcW w:w="1809" w:type="dxa"/>
            <w:shd w:val="clear" w:color="auto" w:fill="auto"/>
            <w:vAlign w:val="center"/>
          </w:tcPr>
          <w:p>
            <w:pPr>
              <w:spacing w:line="360" w:lineRule="auto"/>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监视、测量、分析和评价</w:t>
            </w:r>
          </w:p>
        </w:tc>
        <w:tc>
          <w:tcPr>
            <w:tcW w:w="1211" w:type="dxa"/>
            <w:shd w:val="clear" w:color="auto" w:fill="auto"/>
            <w:vAlign w:val="center"/>
          </w:tcPr>
          <w:p>
            <w:pPr>
              <w:spacing w:line="360" w:lineRule="auto"/>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O</w:t>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lang w:eastAsia="zh-CN"/>
              </w:rPr>
              <w:t>9.1.1</w:t>
            </w:r>
          </w:p>
        </w:tc>
        <w:tc>
          <w:tcPr>
            <w:tcW w:w="10104" w:type="dxa"/>
            <w:shd w:val="clear" w:color="auto" w:fill="auto"/>
            <w:vAlign w:val="center"/>
          </w:tcPr>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公司执行《环境和职业健康安全监测控制程序》，综合部通过月度巡查考核对各部门进行监控。</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查 “2022年各职能部门安全指标每月完成情况统计表”，每月由曹梅对质量、职业健康安全目标完成情况进行了检测，查2022年</w:t>
            </w:r>
            <w:r>
              <w:rPr>
                <w:rFonts w:hint="eastAsia" w:ascii="Times New Roman" w:hAnsi="Times New Roman" w:eastAsia="宋体" w:cs="Times New Roman"/>
                <w:lang w:val="en-US" w:eastAsia="zh-CN"/>
              </w:rPr>
              <w:t>3月、6月、11月</w:t>
            </w:r>
            <w:r>
              <w:rPr>
                <w:rFonts w:hint="eastAsia" w:ascii="Times New Roman" w:hAnsi="Times New Roman" w:eastAsia="宋体" w:cs="Times New Roman"/>
                <w:lang w:eastAsia="zh-CN"/>
              </w:rPr>
              <w:t>检查结果公司及各部门目标能完成。</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2、查“消防检查记录表”，每月进行检查，检查项目包括：水枪、水带、栓门、阀门和其他配件、是否有水、消防通道是否通畅等，抽查有2022年</w:t>
            </w:r>
            <w:r>
              <w:rPr>
                <w:rFonts w:hint="eastAsia" w:ascii="Times New Roman" w:hAnsi="Times New Roman" w:eastAsia="宋体" w:cs="Times New Roman"/>
                <w:lang w:val="en-US" w:eastAsia="zh-CN"/>
              </w:rPr>
              <w:t>3月28</w:t>
            </w:r>
            <w:r>
              <w:rPr>
                <w:rFonts w:hint="eastAsia" w:ascii="Times New Roman" w:hAnsi="Times New Roman" w:eastAsia="宋体" w:cs="Times New Roman"/>
                <w:lang w:eastAsia="zh-CN"/>
              </w:rPr>
              <w:t>日、</w:t>
            </w:r>
            <w:r>
              <w:rPr>
                <w:rFonts w:hint="eastAsia" w:ascii="Times New Roman" w:hAnsi="Times New Roman" w:eastAsia="宋体" w:cs="Times New Roman"/>
                <w:lang w:val="en-US" w:eastAsia="zh-CN"/>
              </w:rPr>
              <w:t>8月31日、10月31日</w:t>
            </w:r>
            <w:r>
              <w:rPr>
                <w:rFonts w:hint="eastAsia" w:ascii="Times New Roman" w:hAnsi="Times New Roman" w:eastAsia="宋体" w:cs="Times New Roman"/>
                <w:lang w:eastAsia="zh-CN"/>
              </w:rPr>
              <w:t>检查结果正常，检查人签名。</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3、交流确认，公司有安全检测设备：绝缘电阻测量仪、接地电阻测量仪、漏电电流检测仪、压力表、数字温湿度计、数字微压计、数字声级计、可燃气体检测仪、数字万用表，都已校准合格。</w:t>
            </w:r>
          </w:p>
          <w:p>
            <w:pPr>
              <w:spacing w:line="360" w:lineRule="auto"/>
              <w:ind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4、现场与企业综合部主任曹梅交流了解到，日常工作关注员工身体状况，当员工身体不适请假时，及时跟踪了解其健康状况。有职业病前兆后，及时安排员工休息、调岗或改善工作环境，公司从事消防技术服务活动，员工不涉及职业病。</w:t>
            </w:r>
          </w:p>
        </w:tc>
        <w:tc>
          <w:tcPr>
            <w:tcW w:w="1490" w:type="dxa"/>
            <w:shd w:val="clear" w:color="auto" w:fill="auto"/>
            <w:vAlign w:val="top"/>
          </w:tcPr>
          <w:p>
            <w:pPr>
              <w:spacing w:line="360" w:lineRule="auto"/>
              <w:rPr>
                <w:rFonts w:hint="eastAsia" w:ascii="楷体" w:hAnsi="楷体" w:eastAsia="楷体" w:cs="Times New Roman"/>
                <w:color w:val="4F81BD" w:themeColor="accent1"/>
                <w:kern w:val="2"/>
                <w:sz w:val="24"/>
                <w:szCs w:val="24"/>
                <w:lang w:val="en-US" w:eastAsia="zh-CN" w:bidi="ar-SA"/>
                <w14:textFill>
                  <w14:solidFill>
                    <w14:schemeClr w14:val="accent1"/>
                  </w14:solidFill>
                </w14:textFill>
              </w:rPr>
            </w:pPr>
            <w:r>
              <w:rPr>
                <w:rFonts w:hint="eastAsia" w:cs="宋体" w:asciiTheme="minorEastAsia" w:hAnsiTheme="minorEastAsia" w:eastAsiaTheme="minorEastAsia"/>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7" w:hRule="atLeast"/>
        </w:trPr>
        <w:tc>
          <w:tcPr>
            <w:tcW w:w="1809" w:type="dxa"/>
            <w:shd w:val="clear" w:color="auto" w:fill="auto"/>
            <w:vAlign w:val="center"/>
          </w:tcPr>
          <w:p>
            <w:pPr>
              <w:spacing w:line="360" w:lineRule="auto"/>
              <w:ind w:right="-105"/>
              <w:jc w:val="left"/>
              <w:rPr>
                <w:rFonts w:ascii="宋体" w:hAnsi="宋体" w:eastAsia="宋体" w:cs="Times New Roman"/>
                <w:szCs w:val="21"/>
                <w:lang w:val="en-US" w:eastAsia="zh-CN"/>
              </w:rPr>
            </w:pPr>
            <w:r>
              <w:rPr>
                <w:rFonts w:hint="eastAsia" w:ascii="宋体" w:hAnsi="宋体" w:eastAsia="宋体" w:cs="Times New Roman"/>
                <w:szCs w:val="21"/>
              </w:rPr>
              <w:t>合规性评价</w:t>
            </w:r>
          </w:p>
        </w:tc>
        <w:tc>
          <w:tcPr>
            <w:tcW w:w="1211" w:type="dxa"/>
            <w:shd w:val="clear" w:color="auto" w:fill="auto"/>
            <w:vAlign w:val="center"/>
          </w:tcPr>
          <w:p>
            <w:pPr>
              <w:spacing w:line="360" w:lineRule="auto"/>
              <w:ind w:right="-105"/>
              <w:jc w:val="left"/>
              <w:rPr>
                <w:rFonts w:ascii="宋体" w:hAnsi="宋体" w:eastAsia="宋体" w:cs="Times New Roman"/>
                <w:szCs w:val="21"/>
                <w:lang w:val="en-US" w:eastAsia="zh-CN"/>
              </w:rPr>
            </w:pPr>
            <w:r>
              <w:rPr>
                <w:rFonts w:hint="eastAsia" w:ascii="宋体" w:hAnsi="宋体" w:eastAsia="宋体" w:cs="Times New Roman"/>
                <w:szCs w:val="21"/>
              </w:rPr>
              <w:t>O</w:t>
            </w:r>
            <w:r>
              <w:rPr>
                <w:rFonts w:hint="eastAsia" w:ascii="宋体" w:hAnsi="宋体" w:eastAsia="宋体" w:cs="Times New Roman"/>
                <w:szCs w:val="21"/>
                <w:lang w:val="en-US" w:eastAsia="zh-CN"/>
              </w:rPr>
              <w:t xml:space="preserve"> </w:t>
            </w:r>
            <w:r>
              <w:rPr>
                <w:rFonts w:hint="eastAsia" w:ascii="宋体" w:hAnsi="宋体" w:eastAsia="宋体" w:cs="Times New Roman"/>
                <w:szCs w:val="21"/>
              </w:rPr>
              <w:t>9.1.2</w:t>
            </w:r>
          </w:p>
        </w:tc>
        <w:tc>
          <w:tcPr>
            <w:tcW w:w="10104" w:type="dxa"/>
            <w:shd w:val="clear" w:color="auto" w:fill="auto"/>
            <w:vAlign w:val="center"/>
          </w:tcPr>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公司执行《合规性评价控制程序》</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查</w:t>
            </w:r>
            <w:r>
              <w:rPr>
                <w:rFonts w:hint="eastAsia" w:ascii="Times New Roman" w:hAnsi="Times New Roman" w:eastAsia="宋体" w:cs="Times New Roman"/>
                <w:lang w:val="en-US" w:eastAsia="zh-CN"/>
              </w:rPr>
              <w:t xml:space="preserve"> 有</w:t>
            </w:r>
            <w:r>
              <w:rPr>
                <w:rFonts w:hint="eastAsia" w:ascii="Times New Roman" w:hAnsi="Times New Roman" w:eastAsia="宋体" w:cs="Times New Roman"/>
                <w:lang w:eastAsia="zh-CN"/>
              </w:rPr>
              <w:t>“职业健康安全相关法律法规合规性评价表”、“职业健康安全合规性评价报告”</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根据公司的实际情况，对职业健康安全类主要的适用对应条款，进行了合规性一一评价，评价结果：符合法规要求；</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合规性评价报告结论：公司各部门能够有效遵循法律法规进行作业，未发生过重大安全事故，未有其它单位和个人投诉，无职业健康安全事件发生。编制：曹梅，审批：王邦启，日期：2022.</w:t>
            </w:r>
            <w:r>
              <w:rPr>
                <w:rFonts w:hint="eastAsia" w:ascii="Times New Roman" w:hAnsi="Times New Roman" w:eastAsia="宋体" w:cs="Times New Roman"/>
                <w:lang w:val="en-US" w:eastAsia="zh-CN"/>
              </w:rPr>
              <w:t>9</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28</w:t>
            </w:r>
            <w:r>
              <w:rPr>
                <w:rFonts w:hint="eastAsia" w:ascii="Times New Roman" w:hAnsi="Times New Roman" w:eastAsia="宋体" w:cs="Times New Roman"/>
                <w:lang w:eastAsia="zh-CN"/>
              </w:rPr>
              <w:t>日。</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适用法律法规在公司得到了较好的贯彻，没有出现违反标准和法律法规的规定。</w:t>
            </w:r>
          </w:p>
          <w:p>
            <w:pPr>
              <w:spacing w:line="360" w:lineRule="auto"/>
              <w:ind w:firstLine="420" w:firstLineChars="200"/>
              <w:rPr>
                <w:rFonts w:hint="eastAsia" w:ascii="Times New Roman" w:hAnsi="Times New Roman" w:eastAsia="宋体" w:cs="Times New Roman"/>
                <w:lang w:val="en-US" w:eastAsia="zh-CN"/>
              </w:rPr>
            </w:pPr>
          </w:p>
        </w:tc>
        <w:tc>
          <w:tcPr>
            <w:tcW w:w="1490" w:type="dxa"/>
            <w:shd w:val="clear" w:color="auto" w:fill="auto"/>
            <w:vAlign w:val="top"/>
          </w:tcPr>
          <w:p>
            <w:pPr>
              <w:spacing w:line="360" w:lineRule="auto"/>
              <w:jc w:val="center"/>
              <w:rPr>
                <w:rFonts w:hint="eastAsia" w:ascii="楷体" w:hAnsi="楷体" w:eastAsia="楷体" w:cs="Times New Roman"/>
                <w:kern w:val="2"/>
                <w:sz w:val="24"/>
                <w:szCs w:val="24"/>
                <w:lang w:val="en-US" w:eastAsia="zh-CN" w:bidi="ar-SA"/>
              </w:rPr>
            </w:pPr>
            <w:r>
              <w:rPr>
                <w:rFonts w:hint="eastAsia" w:cs="宋体" w:asciiTheme="minorEastAsia" w:hAnsiTheme="minorEastAsia" w:eastAsiaTheme="minorEastAsia"/>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1809" w:type="dxa"/>
            <w:shd w:val="clear" w:color="auto" w:fill="auto"/>
            <w:vAlign w:val="center"/>
          </w:tcPr>
          <w:p>
            <w:pPr>
              <w:spacing w:line="360" w:lineRule="auto"/>
              <w:ind w:right="-105"/>
              <w:jc w:val="left"/>
              <w:rPr>
                <w:rFonts w:ascii="宋体" w:hAnsi="宋体"/>
                <w:szCs w:val="21"/>
              </w:rPr>
            </w:pPr>
            <w:r>
              <w:rPr>
                <w:rFonts w:ascii="宋体" w:hAnsi="宋体"/>
                <w:szCs w:val="21"/>
              </w:rPr>
              <w:t>顾客满意</w:t>
            </w:r>
          </w:p>
        </w:tc>
        <w:tc>
          <w:tcPr>
            <w:tcW w:w="1211" w:type="dxa"/>
            <w:shd w:val="clear" w:color="auto" w:fill="auto"/>
          </w:tcPr>
          <w:p>
            <w:pPr>
              <w:spacing w:line="360" w:lineRule="auto"/>
              <w:ind w:right="-105" w:firstLine="420"/>
              <w:jc w:val="left"/>
              <w:rPr>
                <w:rFonts w:ascii="宋体" w:hAnsi="宋体"/>
                <w:szCs w:val="21"/>
              </w:rPr>
            </w:pPr>
          </w:p>
          <w:p>
            <w:pPr>
              <w:spacing w:line="360" w:lineRule="auto"/>
              <w:ind w:right="-105"/>
              <w:jc w:val="left"/>
              <w:rPr>
                <w:rFonts w:ascii="宋体" w:hAnsi="宋体"/>
                <w:szCs w:val="21"/>
              </w:rPr>
            </w:pPr>
          </w:p>
          <w:p>
            <w:pPr>
              <w:spacing w:line="360" w:lineRule="auto"/>
              <w:ind w:right="-105"/>
              <w:jc w:val="left"/>
              <w:rPr>
                <w:rFonts w:ascii="宋体" w:hAnsi="宋体"/>
                <w:szCs w:val="21"/>
              </w:rPr>
            </w:pPr>
            <w:r>
              <w:rPr>
                <w:rFonts w:ascii="宋体" w:hAnsi="宋体"/>
                <w:szCs w:val="21"/>
              </w:rPr>
              <w:t>Q 9.1.2</w:t>
            </w:r>
          </w:p>
        </w:tc>
        <w:tc>
          <w:tcPr>
            <w:tcW w:w="10104" w:type="dxa"/>
            <w:shd w:val="clear" w:color="auto" w:fill="auto"/>
          </w:tcPr>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综合部负责收集有关顾客对公司消防技术服务满意和/或不满意的信息，下发顾客满意度调查表；</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提供《客</w:t>
            </w:r>
            <w:r>
              <w:rPr>
                <w:rFonts w:hint="eastAsia" w:ascii="Times New Roman" w:hAnsi="Times New Roman" w:eastAsia="宋体" w:cs="Times New Roman"/>
                <w:lang w:val="en-US" w:eastAsia="zh-CN"/>
              </w:rPr>
              <w:t>户</w:t>
            </w:r>
            <w:r>
              <w:rPr>
                <w:rFonts w:hint="eastAsia" w:ascii="Times New Roman" w:hAnsi="Times New Roman" w:eastAsia="宋体" w:cs="Times New Roman"/>
                <w:lang w:eastAsia="zh-CN"/>
              </w:rPr>
              <w:t>满意度调查表》，调查包含：交付及时性、服务及时性、问题解决有效性，满意程度分为</w:t>
            </w:r>
            <w:r>
              <w:rPr>
                <w:rFonts w:hint="eastAsia" w:ascii="Times New Roman" w:hAnsi="Times New Roman" w:eastAsia="宋体" w:cs="Times New Roman"/>
                <w:lang w:val="en-US" w:eastAsia="zh-CN"/>
              </w:rPr>
              <w:t>很</w:t>
            </w:r>
            <w:r>
              <w:rPr>
                <w:rFonts w:hint="eastAsia" w:ascii="Times New Roman" w:hAnsi="Times New Roman" w:eastAsia="宋体" w:cs="Times New Roman"/>
                <w:lang w:eastAsia="zh-CN"/>
              </w:rPr>
              <w:t>满意、满意、</w:t>
            </w:r>
            <w:r>
              <w:rPr>
                <w:rFonts w:hint="eastAsia" w:ascii="Times New Roman" w:hAnsi="Times New Roman" w:eastAsia="宋体" w:cs="Times New Roman"/>
                <w:lang w:val="en-US" w:eastAsia="zh-CN"/>
              </w:rPr>
              <w:t>基本</w:t>
            </w:r>
            <w:r>
              <w:rPr>
                <w:rFonts w:hint="eastAsia" w:ascii="Times New Roman" w:hAnsi="Times New Roman" w:eastAsia="宋体" w:cs="Times New Roman"/>
                <w:lang w:eastAsia="zh-CN"/>
              </w:rPr>
              <w:t>满意、不满意。</w:t>
            </w:r>
          </w:p>
          <w:p>
            <w:pPr>
              <w:spacing w:line="360" w:lineRule="auto"/>
              <w:ind w:firstLine="420" w:firstLineChars="200"/>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2022年</w:t>
            </w:r>
            <w:r>
              <w:rPr>
                <w:rFonts w:hint="eastAsia" w:ascii="Times New Roman" w:hAnsi="Times New Roman" w:eastAsia="宋体" w:cs="Times New Roman"/>
                <w:lang w:val="en-US" w:eastAsia="zh-CN"/>
              </w:rPr>
              <w:t>9</w:t>
            </w:r>
            <w:r>
              <w:rPr>
                <w:rFonts w:hint="eastAsia" w:ascii="Times New Roman" w:hAnsi="Times New Roman" w:eastAsia="宋体" w:cs="Times New Roman"/>
                <w:lang w:eastAsia="zh-CN"/>
              </w:rPr>
              <w:t>月份，公司进行了顾客满意度调查，共发放调查表4份，收回4份，调查信息回收率100%，调查项次共12项，很满意</w:t>
            </w:r>
            <w:r>
              <w:rPr>
                <w:rFonts w:hint="eastAsia" w:ascii="Times New Roman" w:hAnsi="Times New Roman" w:eastAsia="宋体" w:cs="Times New Roman"/>
                <w:lang w:val="en-US" w:eastAsia="zh-CN"/>
              </w:rPr>
              <w:t>10</w:t>
            </w:r>
            <w:r>
              <w:rPr>
                <w:rFonts w:hint="eastAsia" w:ascii="Times New Roman" w:hAnsi="Times New Roman" w:eastAsia="宋体" w:cs="Times New Roman"/>
                <w:lang w:eastAsia="zh-CN"/>
              </w:rPr>
              <w:t>项，满意</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项，其他为0项，满意度测算9</w:t>
            </w:r>
            <w:r>
              <w:rPr>
                <w:rFonts w:hint="eastAsia" w:ascii="Times New Roman" w:hAnsi="Times New Roman" w:eastAsia="宋体" w:cs="Times New Roman"/>
                <w:lang w:val="en-US" w:eastAsia="zh-CN"/>
              </w:rPr>
              <w:t>7</w:t>
            </w:r>
            <w:r>
              <w:rPr>
                <w:rFonts w:hint="eastAsia" w:ascii="Times New Roman" w:hAnsi="Times New Roman" w:eastAsia="宋体" w:cs="Times New Roman"/>
                <w:lang w:eastAsia="zh-CN"/>
              </w:rPr>
              <w:t>％，达到公司制定的大于90分的顾客满意度，</w:t>
            </w:r>
            <w:r>
              <w:rPr>
                <w:rFonts w:hint="eastAsia" w:ascii="Times New Roman" w:hAnsi="Times New Roman" w:eastAsia="宋体" w:cs="Times New Roman"/>
                <w:lang w:val="en-US" w:eastAsia="zh-CN"/>
              </w:rPr>
              <w:t>2022年9月26日形成顾客满意度调查情况汇总。</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经交流及现场检查体系运行至今未发生投诉情况。</w:t>
            </w:r>
          </w:p>
        </w:tc>
        <w:tc>
          <w:tcPr>
            <w:tcW w:w="1490" w:type="dxa"/>
            <w:shd w:val="clear" w:color="auto" w:fill="auto"/>
            <w:vAlign w:val="center"/>
          </w:tcPr>
          <w:p>
            <w:pPr>
              <w:spacing w:line="280" w:lineRule="exact"/>
              <w:ind w:firstLine="420" w:firstLineChars="200"/>
              <w:rPr>
                <w:rFonts w:cs="宋体" w:asciiTheme="minorEastAsia" w:hAnsiTheme="minorEastAsia" w:eastAsiaTheme="minorEastAsia"/>
                <w:sz w:val="24"/>
                <w:szCs w:val="24"/>
              </w:rPr>
            </w:pPr>
            <w:r>
              <w:rPr>
                <w:rFonts w:hint="eastAsia" w:cs="宋体" w:asciiTheme="minorEastAsia" w:hAnsiTheme="minorEastAsia" w:eastAsiaTheme="minorEastAsia"/>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2" w:hRule="atLeast"/>
        </w:trPr>
        <w:tc>
          <w:tcPr>
            <w:tcW w:w="1809" w:type="dxa"/>
            <w:shd w:val="clear" w:color="auto" w:fill="auto"/>
          </w:tcPr>
          <w:p>
            <w:pPr>
              <w:spacing w:line="280" w:lineRule="exact"/>
              <w:ind w:firstLine="420" w:firstLineChars="200"/>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内部审核</w:t>
            </w:r>
          </w:p>
          <w:p>
            <w:pPr>
              <w:spacing w:line="280" w:lineRule="exact"/>
              <w:ind w:firstLine="420" w:firstLineChars="200"/>
              <w:jc w:val="left"/>
              <w:rPr>
                <w:rFonts w:cs="宋体" w:asciiTheme="minorEastAsia" w:hAnsiTheme="minorEastAsia" w:eastAsiaTheme="minorEastAsia"/>
                <w:szCs w:val="21"/>
              </w:rPr>
            </w:pPr>
          </w:p>
          <w:p>
            <w:pPr>
              <w:spacing w:line="280" w:lineRule="exact"/>
              <w:ind w:firstLine="420" w:firstLineChars="200"/>
              <w:jc w:val="left"/>
              <w:rPr>
                <w:rFonts w:cs="宋体" w:asciiTheme="minorEastAsia" w:hAnsiTheme="minorEastAsia" w:eastAsiaTheme="minorEastAsia"/>
                <w:szCs w:val="21"/>
              </w:rPr>
            </w:pPr>
          </w:p>
        </w:tc>
        <w:tc>
          <w:tcPr>
            <w:tcW w:w="1211" w:type="dxa"/>
            <w:shd w:val="clear" w:color="auto" w:fill="auto"/>
          </w:tcPr>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p>
          <w:p>
            <w:pPr>
              <w:spacing w:line="28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QO</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9.2</w:t>
            </w:r>
          </w:p>
          <w:p>
            <w:pPr>
              <w:spacing w:line="280" w:lineRule="exact"/>
              <w:ind w:firstLine="420" w:firstLineChars="200"/>
              <w:jc w:val="left"/>
              <w:rPr>
                <w:rFonts w:cs="宋体" w:asciiTheme="minorEastAsia" w:hAnsiTheme="minorEastAsia" w:eastAsiaTheme="minorEastAsia"/>
                <w:szCs w:val="21"/>
              </w:rPr>
            </w:pPr>
          </w:p>
        </w:tc>
        <w:tc>
          <w:tcPr>
            <w:tcW w:w="10104" w:type="dxa"/>
            <w:shd w:val="clear" w:color="auto" w:fill="auto"/>
            <w:vAlign w:val="center"/>
          </w:tcPr>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公司执行《内部审核控制程序》，按标准规定对内部审核的策划、实施、人员安排与资质、内部审核的记录、不符合项的分析与验证，以及审核的结论等开展内部审核。</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由综合部组织内部审核，一般每年至少进行一次内部审核，抽查内部审核情况：</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提供2022年度内审计划，</w:t>
            </w:r>
            <w:r>
              <w:rPr>
                <w:rFonts w:hint="eastAsia" w:ascii="Times New Roman" w:hAnsi="Times New Roman" w:eastAsia="宋体" w:cs="Times New Roman"/>
                <w:lang w:val="en-US" w:eastAsia="zh-CN"/>
              </w:rPr>
              <w:t>9</w:t>
            </w:r>
            <w:r>
              <w:rPr>
                <w:rFonts w:hint="eastAsia" w:ascii="Times New Roman" w:hAnsi="Times New Roman" w:eastAsia="宋体" w:cs="Times New Roman"/>
                <w:lang w:eastAsia="zh-CN"/>
              </w:rPr>
              <w:t>月</w:t>
            </w:r>
            <w:r>
              <w:rPr>
                <w:rFonts w:hint="eastAsia" w:ascii="Times New Roman" w:hAnsi="Times New Roman" w:eastAsia="宋体" w:cs="Times New Roman"/>
                <w:lang w:val="en-US" w:eastAsia="zh-CN"/>
              </w:rPr>
              <w:t>下</w:t>
            </w:r>
            <w:r>
              <w:rPr>
                <w:rFonts w:hint="eastAsia" w:ascii="Times New Roman" w:hAnsi="Times New Roman" w:eastAsia="宋体" w:cs="Times New Roman"/>
                <w:lang w:eastAsia="zh-CN"/>
              </w:rPr>
              <w:t>旬进行内审， 批准：王邦启  2022.</w:t>
            </w:r>
            <w:r>
              <w:rPr>
                <w:rFonts w:hint="eastAsia" w:ascii="Times New Roman" w:hAnsi="Times New Roman" w:eastAsia="宋体" w:cs="Times New Roman"/>
                <w:lang w:val="en-US" w:eastAsia="zh-CN"/>
              </w:rPr>
              <w:t>9</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23</w:t>
            </w:r>
            <w:r>
              <w:rPr>
                <w:rFonts w:hint="eastAsia" w:ascii="Times New Roman" w:hAnsi="Times New Roman" w:eastAsia="宋体" w:cs="Times New Roman"/>
                <w:lang w:eastAsia="zh-CN"/>
              </w:rPr>
              <w:t>；</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查2022年内部审核计划，其内容已包括了审核目的、依据、范围、审核组，安排，内审日期：2022年</w:t>
            </w:r>
            <w:r>
              <w:rPr>
                <w:rFonts w:hint="eastAsia" w:ascii="Times New Roman" w:hAnsi="Times New Roman" w:eastAsia="宋体" w:cs="Times New Roman"/>
                <w:lang w:val="en-US" w:eastAsia="zh-CN"/>
              </w:rPr>
              <w:t>9</w:t>
            </w:r>
            <w:r>
              <w:rPr>
                <w:rFonts w:hint="eastAsia" w:ascii="Times New Roman" w:hAnsi="Times New Roman" w:eastAsia="宋体" w:cs="Times New Roman"/>
                <w:lang w:eastAsia="zh-CN"/>
              </w:rPr>
              <w:t>月</w:t>
            </w:r>
            <w:r>
              <w:rPr>
                <w:rFonts w:hint="eastAsia" w:ascii="Times New Roman" w:hAnsi="Times New Roman" w:eastAsia="宋体" w:cs="Times New Roman"/>
                <w:lang w:val="en-US" w:eastAsia="zh-CN"/>
              </w:rPr>
              <w:t>29</w:t>
            </w:r>
            <w:r>
              <w:rPr>
                <w:rFonts w:hint="eastAsia" w:ascii="Times New Roman" w:hAnsi="Times New Roman" w:eastAsia="宋体" w:cs="Times New Roman"/>
                <w:lang w:eastAsia="zh-CN"/>
              </w:rPr>
              <w:t>日~</w:t>
            </w:r>
            <w:r>
              <w:rPr>
                <w:rFonts w:hint="eastAsia" w:ascii="Times New Roman" w:hAnsi="Times New Roman" w:eastAsia="宋体" w:cs="Times New Roman"/>
                <w:lang w:val="en-US" w:eastAsia="zh-CN"/>
              </w:rPr>
              <w:t>30</w:t>
            </w:r>
            <w:r>
              <w:rPr>
                <w:rFonts w:hint="eastAsia" w:ascii="Times New Roman" w:hAnsi="Times New Roman" w:eastAsia="宋体" w:cs="Times New Roman"/>
                <w:lang w:eastAsia="zh-CN"/>
              </w:rPr>
              <w:t>日，编制：曹梅   批准：王邦启 2022年</w:t>
            </w:r>
            <w:r>
              <w:rPr>
                <w:rFonts w:hint="eastAsia" w:ascii="Times New Roman" w:hAnsi="Times New Roman" w:eastAsia="宋体" w:cs="Times New Roman"/>
                <w:lang w:val="en-US" w:eastAsia="zh-CN"/>
              </w:rPr>
              <w:t>9</w:t>
            </w:r>
            <w:r>
              <w:rPr>
                <w:rFonts w:hint="eastAsia" w:ascii="Times New Roman" w:hAnsi="Times New Roman" w:eastAsia="宋体" w:cs="Times New Roman"/>
                <w:lang w:eastAsia="zh-CN"/>
              </w:rPr>
              <w:t>月</w:t>
            </w:r>
            <w:r>
              <w:rPr>
                <w:rFonts w:hint="eastAsia" w:ascii="Times New Roman" w:hAnsi="Times New Roman" w:eastAsia="宋体" w:cs="Times New Roman"/>
                <w:lang w:val="en-US" w:eastAsia="zh-CN"/>
              </w:rPr>
              <w:t>23</w:t>
            </w:r>
            <w:r>
              <w:rPr>
                <w:rFonts w:hint="eastAsia" w:ascii="Times New Roman" w:hAnsi="Times New Roman" w:eastAsia="宋体" w:cs="Times New Roman"/>
                <w:lang w:eastAsia="zh-CN"/>
              </w:rPr>
              <w:t>日</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内部审核实施：组长：王邦启 A   组员：曹梅 B  审核按计划进行，有首末次会议签到和会议记录。</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审核计划已考虑到互查的公正性，无审核员审核本部门情况，计划内容涉及各部门，条款覆盖整个标准。</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提供了《内审检查表》，其中包括总经理/管理者代表、综合部、维修保养部的审核记录，条款与策划一致，记录真实、完整。</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本次内审发现1个一般不符合项，明确不符合标准条款和负责部门，开具不合格项报告：综合部1项</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O</w:t>
            </w:r>
            <w:r>
              <w:rPr>
                <w:rFonts w:hint="eastAsia" w:ascii="Times New Roman" w:hAnsi="Times New Roman" w:eastAsia="宋体" w:cs="Times New Roman"/>
                <w:lang w:eastAsia="zh-CN"/>
              </w:rPr>
              <w:t xml:space="preserve"> 8.</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，部门确认不合格，并进行原因分析和整改，有记录并对整改效果进行验证，</w:t>
            </w:r>
            <w:r>
              <w:rPr>
                <w:rFonts w:hint="eastAsia" w:ascii="Times New Roman" w:hAnsi="Times New Roman" w:eastAsia="宋体" w:cs="Times New Roman"/>
                <w:lang w:val="en-US" w:eastAsia="zh-CN"/>
              </w:rPr>
              <w:t>2022年10月6日</w:t>
            </w:r>
            <w:r>
              <w:rPr>
                <w:rFonts w:hint="eastAsia" w:ascii="Times New Roman" w:hAnsi="Times New Roman" w:eastAsia="宋体" w:cs="Times New Roman"/>
                <w:lang w:eastAsia="zh-CN"/>
              </w:rPr>
              <w:t>已关闭。</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提供《内部审核报告》，对现场审核进行了综述，对质量和职业健康安全管理体系进行了符合性的综合评价，结论为：公司管理体系已运行一年，框架已基本成熟，管理体系在审核范围内运行时间里基本符合审核准则并得到实施，基本能遵循适用的法律法规，有效的预防职业健康安全事故的发生，杜绝重大质量、职业健康安全事故的发生。质量、职业健康安全管理体系基本符合标准要求，适宜本公司目前的发展。</w:t>
            </w:r>
          </w:p>
          <w:p>
            <w:pPr>
              <w:spacing w:line="360" w:lineRule="auto"/>
              <w:ind w:firstLine="420" w:firstLineChars="200"/>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报告审批 王邦启    日期：2022.</w:t>
            </w:r>
            <w:r>
              <w:rPr>
                <w:rFonts w:hint="eastAsia" w:ascii="Times New Roman" w:hAnsi="Times New Roman" w:eastAsia="宋体" w:cs="Times New Roman"/>
                <w:lang w:val="en-US" w:eastAsia="zh-CN"/>
              </w:rPr>
              <w:t>9</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30</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公司内部审核基本有效。</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5408" behindDoc="0" locked="0" layoutInCell="1" allowOverlap="1">
                  <wp:simplePos x="0" y="0"/>
                  <wp:positionH relativeFrom="column">
                    <wp:posOffset>2994660</wp:posOffset>
                  </wp:positionH>
                  <wp:positionV relativeFrom="paragraph">
                    <wp:posOffset>125730</wp:posOffset>
                  </wp:positionV>
                  <wp:extent cx="2928620" cy="2840990"/>
                  <wp:effectExtent l="0" t="0" r="5080" b="16510"/>
                  <wp:wrapNone/>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2"/>
                          <a:stretch>
                            <a:fillRect/>
                          </a:stretch>
                        </pic:blipFill>
                        <pic:spPr>
                          <a:xfrm>
                            <a:off x="0" y="0"/>
                            <a:ext cx="2928620" cy="2840990"/>
                          </a:xfrm>
                          <a:prstGeom prst="rect">
                            <a:avLst/>
                          </a:prstGeom>
                          <a:noFill/>
                          <a:ln>
                            <a:noFill/>
                          </a:ln>
                        </pic:spPr>
                      </pic:pic>
                    </a:graphicData>
                  </a:graphic>
                </wp:anchor>
              </w:drawing>
            </w:r>
            <w:r>
              <w:rPr>
                <w:rFonts w:hint="eastAsia" w:ascii="Times New Roman" w:hAnsi="Times New Roman" w:eastAsia="宋体" w:cs="Times New Roman"/>
                <w:lang w:eastAsia="zh-CN"/>
              </w:rPr>
              <w:drawing>
                <wp:anchor distT="0" distB="0" distL="114300" distR="114300" simplePos="0" relativeHeight="251664384" behindDoc="0" locked="0" layoutInCell="1" allowOverlap="1">
                  <wp:simplePos x="0" y="0"/>
                  <wp:positionH relativeFrom="column">
                    <wp:posOffset>170180</wp:posOffset>
                  </wp:positionH>
                  <wp:positionV relativeFrom="paragraph">
                    <wp:posOffset>80645</wp:posOffset>
                  </wp:positionV>
                  <wp:extent cx="2790190" cy="2907665"/>
                  <wp:effectExtent l="0" t="0" r="10160" b="6985"/>
                  <wp:wrapNone/>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2790190" cy="2907665"/>
                          </a:xfrm>
                          <a:prstGeom prst="rect">
                            <a:avLst/>
                          </a:prstGeom>
                          <a:noFill/>
                          <a:ln>
                            <a:noFill/>
                          </a:ln>
                        </pic:spPr>
                      </pic:pic>
                    </a:graphicData>
                  </a:graphic>
                </wp:anchor>
              </w:drawing>
            </w: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p>
            <w:pPr>
              <w:spacing w:line="360" w:lineRule="auto"/>
              <w:ind w:firstLine="420" w:firstLineChars="200"/>
              <w:rPr>
                <w:rFonts w:hint="eastAsia" w:ascii="Times New Roman" w:hAnsi="Times New Roman" w:eastAsia="宋体" w:cs="Times New Roman"/>
                <w:lang w:eastAsia="zh-CN"/>
              </w:rPr>
            </w:pPr>
          </w:p>
        </w:tc>
        <w:tc>
          <w:tcPr>
            <w:tcW w:w="1490" w:type="dxa"/>
            <w:shd w:val="clear" w:color="auto" w:fill="auto"/>
            <w:vAlign w:val="center"/>
          </w:tcPr>
          <w:p>
            <w:pPr>
              <w:spacing w:line="280" w:lineRule="exact"/>
              <w:ind w:firstLine="420" w:firstLineChars="200"/>
              <w:rPr>
                <w:rFonts w:cs="宋体" w:asciiTheme="minorEastAsia" w:hAnsiTheme="minorEastAsia" w:eastAsiaTheme="minorEastAsia"/>
                <w:sz w:val="24"/>
                <w:szCs w:val="24"/>
              </w:rPr>
            </w:pPr>
            <w:r>
              <w:rPr>
                <w:rFonts w:hint="eastAsia" w:cs="宋体" w:asciiTheme="minorEastAsia" w:hAnsiTheme="minorEastAsia" w:eastAsiaTheme="minorEastAsia"/>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1" w:hRule="atLeast"/>
        </w:trPr>
        <w:tc>
          <w:tcPr>
            <w:tcW w:w="1809" w:type="dxa"/>
            <w:shd w:val="clear" w:color="auto" w:fill="auto"/>
          </w:tcPr>
          <w:p>
            <w:pPr>
              <w:spacing w:line="280" w:lineRule="exact"/>
              <w:jc w:val="left"/>
              <w:rPr>
                <w:rFonts w:ascii="宋体" w:hAnsi="宋体" w:cs="Arial"/>
                <w:szCs w:val="21"/>
              </w:rPr>
            </w:pPr>
            <w:r>
              <w:rPr>
                <w:rFonts w:hint="eastAsia" w:ascii="宋体" w:hAnsi="宋体" w:cs="Arial"/>
                <w:szCs w:val="21"/>
              </w:rPr>
              <w:t>不合格/事件、纠正措施</w:t>
            </w:r>
          </w:p>
          <w:p>
            <w:pPr>
              <w:spacing w:line="280" w:lineRule="exact"/>
              <w:ind w:firstLine="420" w:firstLineChars="200"/>
              <w:jc w:val="left"/>
              <w:rPr>
                <w:rFonts w:ascii="宋体" w:hAnsi="宋体" w:cs="Arial"/>
                <w:szCs w:val="21"/>
              </w:rPr>
            </w:pPr>
          </w:p>
        </w:tc>
        <w:tc>
          <w:tcPr>
            <w:tcW w:w="1211" w:type="dxa"/>
            <w:shd w:val="clear" w:color="auto" w:fill="auto"/>
          </w:tcPr>
          <w:p>
            <w:pPr>
              <w:spacing w:line="280" w:lineRule="exact"/>
              <w:jc w:val="left"/>
              <w:rPr>
                <w:rFonts w:ascii="宋体" w:hAnsi="宋体" w:cs="Arial"/>
                <w:szCs w:val="21"/>
              </w:rPr>
            </w:pPr>
            <w:r>
              <w:rPr>
                <w:rFonts w:hint="eastAsia" w:ascii="宋体" w:hAnsi="宋体" w:cs="Arial"/>
                <w:szCs w:val="21"/>
              </w:rPr>
              <w:t>QQ</w:t>
            </w:r>
            <w:r>
              <w:rPr>
                <w:rFonts w:ascii="宋体" w:hAnsi="宋体" w:cs="Arial"/>
                <w:szCs w:val="21"/>
              </w:rPr>
              <w:t xml:space="preserve"> </w:t>
            </w:r>
            <w:r>
              <w:rPr>
                <w:rFonts w:hint="eastAsia" w:ascii="宋体" w:hAnsi="宋体" w:cs="Arial"/>
                <w:szCs w:val="21"/>
              </w:rPr>
              <w:t>10.2</w:t>
            </w:r>
          </w:p>
          <w:p>
            <w:pPr>
              <w:spacing w:line="280" w:lineRule="exact"/>
              <w:ind w:firstLine="420" w:firstLineChars="200"/>
              <w:jc w:val="left"/>
              <w:rPr>
                <w:rFonts w:ascii="宋体" w:hAnsi="宋体" w:cs="Arial"/>
                <w:szCs w:val="21"/>
              </w:rPr>
            </w:pPr>
          </w:p>
        </w:tc>
        <w:tc>
          <w:tcPr>
            <w:tcW w:w="10104" w:type="dxa"/>
            <w:shd w:val="clear" w:color="auto" w:fill="auto"/>
            <w:vAlign w:val="center"/>
          </w:tcPr>
          <w:p>
            <w:pPr>
              <w:spacing w:line="360" w:lineRule="auto"/>
              <w:ind w:firstLine="420" w:firstLineChars="200"/>
              <w:rPr>
                <w:rFonts w:ascii="宋体" w:hAnsi="宋体" w:cs="Arial"/>
                <w:szCs w:val="21"/>
              </w:rPr>
            </w:pPr>
            <w:r>
              <w:rPr>
                <w:rFonts w:hint="eastAsia"/>
                <w:lang w:eastAsia="zh-CN"/>
              </w:rPr>
              <w:t>公司</w:t>
            </w:r>
            <w:r>
              <w:rPr>
                <w:rFonts w:hint="eastAsia"/>
              </w:rPr>
              <w:t>执行《事件、不符合调查处理控制程序》、《纠正和预防措施控制程序》，明确</w:t>
            </w:r>
            <w:r>
              <w:rPr>
                <w:rFonts w:hint="eastAsia" w:ascii="宋体" w:hAnsi="宋体" w:cs="Arial"/>
                <w:szCs w:val="21"/>
              </w:rPr>
              <w:t>采取纠正措施的时机、对不合格或潜在不合格的原因进行分析、采取相应的对策措施等，所制定的纠正措施、预防措施程序中规定的要求满足标准要求。</w:t>
            </w:r>
          </w:p>
          <w:p>
            <w:pPr>
              <w:spacing w:line="360" w:lineRule="auto"/>
              <w:ind w:firstLine="420" w:firstLineChars="200"/>
              <w:rPr>
                <w:rFonts w:hint="eastAsia" w:ascii="宋体" w:hAnsi="宋体" w:cs="Arial"/>
                <w:szCs w:val="21"/>
              </w:rPr>
            </w:pPr>
            <w:r>
              <w:rPr>
                <w:rFonts w:hint="eastAsia" w:ascii="宋体" w:hAnsi="宋体" w:cs="Arial"/>
                <w:szCs w:val="21"/>
                <w:lang w:eastAsia="zh-CN"/>
              </w:rPr>
              <w:t>负责人明确</w:t>
            </w:r>
            <w:r>
              <w:rPr>
                <w:rFonts w:hint="eastAsia" w:ascii="宋体" w:hAnsi="宋体" w:cs="Arial"/>
                <w:szCs w:val="21"/>
              </w:rPr>
              <w:t xml:space="preserve">在运行过程中对发现的不合格会采取纠正、纠正措施以防止不合格或不符合再次发生，同时也会举一反三，采取预防措施以防止发生不合格或不符合。 </w:t>
            </w:r>
          </w:p>
          <w:p>
            <w:pPr>
              <w:spacing w:line="360" w:lineRule="auto"/>
              <w:ind w:firstLine="420" w:firstLineChars="200"/>
              <w:rPr>
                <w:rFonts w:ascii="宋体" w:hAnsi="宋体" w:cs="Arial"/>
                <w:szCs w:val="21"/>
              </w:rPr>
            </w:pPr>
            <w:r>
              <w:rPr>
                <w:rFonts w:hint="eastAsia" w:ascii="宋体" w:hAnsi="宋体" w:cs="Arial"/>
                <w:szCs w:val="21"/>
              </w:rPr>
              <w:t>公司内审时发现的1项不符合项进行了原因分析、纠正措施和验证，详见审核9.2条款记录。</w:t>
            </w:r>
          </w:p>
          <w:p>
            <w:pPr>
              <w:spacing w:line="360" w:lineRule="auto"/>
              <w:ind w:firstLine="420" w:firstLineChars="200"/>
              <w:rPr>
                <w:rFonts w:ascii="宋体" w:hAnsi="宋体" w:cs="Arial"/>
                <w:szCs w:val="21"/>
              </w:rPr>
            </w:pPr>
            <w:r>
              <w:rPr>
                <w:rFonts w:hint="eastAsia" w:ascii="宋体" w:hAnsi="宋体" w:cs="Arial"/>
                <w:szCs w:val="21"/>
              </w:rPr>
              <w:t>公司未发生投诉不合格的情况。</w:t>
            </w:r>
          </w:p>
          <w:p>
            <w:pPr>
              <w:spacing w:line="280" w:lineRule="exact"/>
              <w:ind w:firstLine="420" w:firstLineChars="200"/>
              <w:jc w:val="left"/>
              <w:rPr>
                <w:rFonts w:ascii="宋体" w:hAnsi="宋体" w:cs="Arial"/>
                <w:szCs w:val="21"/>
              </w:rPr>
            </w:pPr>
            <w:r>
              <w:rPr>
                <w:rFonts w:hint="eastAsia" w:ascii="宋体" w:hAnsi="宋体" w:cs="Arial"/>
                <w:szCs w:val="21"/>
              </w:rPr>
              <w:t>不合格/事件、纠正措施</w:t>
            </w:r>
            <w:r>
              <w:rPr>
                <w:rFonts w:hint="eastAsia" w:ascii="宋体" w:hAnsi="宋体" w:cs="Arial"/>
                <w:szCs w:val="21"/>
              </w:rPr>
              <w:t>基本符合要求。</w:t>
            </w:r>
          </w:p>
        </w:tc>
        <w:tc>
          <w:tcPr>
            <w:tcW w:w="1490" w:type="dxa"/>
            <w:shd w:val="clear" w:color="auto" w:fill="auto"/>
            <w:vAlign w:val="center"/>
          </w:tcPr>
          <w:p>
            <w:pPr>
              <w:ind w:left="357"/>
              <w:rPr>
                <w:rFonts w:cs="宋体" w:asciiTheme="minorEastAsia" w:hAnsiTheme="minorEastAsia" w:eastAsiaTheme="minorEastAsia"/>
                <w:szCs w:val="21"/>
              </w:rPr>
            </w:pPr>
            <w:r>
              <w:rPr>
                <w:rFonts w:hint="eastAsia" w:cs="宋体" w:asciiTheme="minorEastAsia" w:hAnsiTheme="minorEastAsia" w:eastAsiaTheme="minorEastAsia"/>
                <w:szCs w:val="21"/>
              </w:rPr>
              <w:t>OK</w:t>
            </w:r>
          </w:p>
        </w:tc>
      </w:tr>
    </w:tbl>
    <w:p>
      <w:pPr>
        <w:rPr>
          <w:rFonts w:ascii="楷体" w:hAnsi="楷体" w:eastAsia="楷体"/>
        </w:rPr>
      </w:pPr>
    </w:p>
    <w:p>
      <w:pPr>
        <w:pStyle w:val="8"/>
        <w:rPr>
          <w:rFonts w:ascii="楷体" w:hAnsi="楷体" w:eastAsia="楷体"/>
        </w:rPr>
      </w:pPr>
      <w:r>
        <w:rPr>
          <w:rFonts w:hint="eastAsia" w:ascii="楷体" w:hAnsi="楷体" w:eastAsia="楷体"/>
        </w:rPr>
        <w:t>说明：不符合标注N</w:t>
      </w:r>
    </w:p>
    <w:p>
      <w:pPr>
        <w:pStyle w:val="8"/>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仿宋简体">
    <w:altName w:val="宋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8"/>
              <w:jc w:val="center"/>
            </w:pPr>
            <w:r>
              <w:rPr>
                <w:b/>
                <w:sz w:val="24"/>
                <w:szCs w:val="24"/>
              </w:rPr>
              <w:fldChar w:fldCharType="begin"/>
            </w:r>
            <w:r>
              <w:rPr>
                <w:b/>
              </w:rPr>
              <w:instrText xml:space="preserve">PAGE</w:instrText>
            </w:r>
            <w:r>
              <w:rPr>
                <w:b/>
                <w:sz w:val="24"/>
                <w:szCs w:val="24"/>
              </w:rPr>
              <w:fldChar w:fldCharType="separate"/>
            </w:r>
            <w:r>
              <w:rPr>
                <w:b/>
              </w:rPr>
              <w:t>3</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8</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7"/>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7"/>
        <w:rFonts w:hint="default"/>
      </w:rPr>
      <w:t>北京国标联合认证有限公司</w:t>
    </w:r>
    <w:r>
      <w:rPr>
        <w:rStyle w:val="17"/>
        <w:rFonts w:hint="default"/>
      </w:rPr>
      <w:tab/>
    </w:r>
    <w:r>
      <w:rPr>
        <w:rStyle w:val="17"/>
        <w:rFonts w:hint="default"/>
      </w:rPr>
      <w:tab/>
    </w:r>
    <w:r>
      <w:rPr>
        <w:rStyle w:val="17"/>
        <w:rFonts w:hint="default"/>
      </w:rPr>
      <w:tab/>
    </w:r>
  </w:p>
  <w:p>
    <w:pPr>
      <w:pStyle w:val="9"/>
      <w:pBdr>
        <w:bottom w:val="none" w:color="auto" w:sz="0" w:space="1"/>
      </w:pBdr>
      <w:spacing w:line="320" w:lineRule="exact"/>
      <w:jc w:val="left"/>
    </w:pPr>
    <w:r>
      <mc:AlternateContent>
        <mc:Choice Requires="wps">
          <w:drawing>
            <wp:anchor distT="0" distB="0" distL="114300" distR="114300" simplePos="0" relativeHeight="251660288" behindDoc="0" locked="0" layoutInCell="1" allowOverlap="1">
              <wp:simplePos x="0" y="0"/>
              <wp:positionH relativeFrom="column">
                <wp:posOffset>7045325</wp:posOffset>
              </wp:positionH>
              <wp:positionV relativeFrom="paragraph">
                <wp:posOffset>27940</wp:posOffset>
              </wp:positionV>
              <wp:extent cx="2184400" cy="256540"/>
              <wp:effectExtent l="0" t="0" r="0" b="0"/>
              <wp:wrapNone/>
              <wp:docPr id="2" name="文本框 1"/>
              <wp:cNvGraphicFramePr/>
              <a:graphic xmlns:a="http://schemas.openxmlformats.org/drawingml/2006/main">
                <a:graphicData uri="http://schemas.microsoft.com/office/word/2010/wordprocessingShape">
                  <wps:wsp>
                    <wps:cNvSpPr txBox="1"/>
                    <wps:spPr>
                      <a:xfrm>
                        <a:off x="0" y="0"/>
                        <a:ext cx="2184400" cy="256540"/>
                      </a:xfrm>
                      <a:prstGeom prst="rect">
                        <a:avLst/>
                      </a:prstGeom>
                      <a:solidFill>
                        <a:srgbClr val="FFFFFF"/>
                      </a:solidFill>
                      <a:ln w="9525">
                        <a:noFill/>
                      </a:ln>
                    </wps:spPr>
                    <wps:txb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I-12管理体系审核记录表(05版)</w:t>
                          </w:r>
                        </w:p>
                      </w:txbxContent>
                    </wps:txbx>
                    <wps:bodyPr upright="1"/>
                  </wps:wsp>
                </a:graphicData>
              </a:graphic>
            </wp:anchor>
          </w:drawing>
        </mc:Choice>
        <mc:Fallback>
          <w:pict>
            <v:shape id="文本框 1" o:spid="_x0000_s1026" o:spt="202" type="#_x0000_t202" style="position:absolute;left:0pt;margin-left:554.75pt;margin-top:2.2pt;height:20.2pt;width:172pt;z-index:251660288;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hBqrl1gAAAAoBAAAPAAAAAAAAAAEAIAAAACIAAABkcnMvZG93&#10;bnJldi54bWxQSwECFAAUAAAACACHTuJAK8WDsMkBAACAAwAADgAAAAAAAAABACAAAAAlAQAAZHJz&#10;L2Uyb0RvYy54bWxQSwUGAAAAAAYABgBZAQAAYAUAAAAA&#10;">
              <v:fill on="t" focussize="0,0"/>
              <v:stroke on="f"/>
              <v:imagedata o:title=""/>
              <o:lock v:ext="edit" aspectratio="f"/>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I-12管理体系审核记录表(05版)</w:t>
                    </w:r>
                  </w:p>
                </w:txbxContent>
              </v:textbox>
            </v:shape>
          </w:pict>
        </mc:Fallback>
      </mc:AlternateContent>
    </w:r>
    <w:r>
      <w:rPr>
        <w:rStyle w:val="17"/>
        <w:rFonts w:hint="default"/>
        <w:w w:val="90"/>
      </w:rPr>
      <w:t>Beijing International Standard united Certification Co.,Ltd.</w:t>
    </w:r>
  </w:p>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756624"/>
    <w:multiLevelType w:val="singleLevel"/>
    <w:tmpl w:val="17756624"/>
    <w:lvl w:ilvl="0" w:tentative="0">
      <w:start w:val="1"/>
      <w:numFmt w:val="decimal"/>
      <w:lvlText w:val="%1)"/>
      <w:lvlJc w:val="left"/>
      <w:pPr>
        <w:tabs>
          <w:tab w:val="left" w:pos="840"/>
        </w:tabs>
        <w:ind w:left="126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VjOWY5MmIxZGI2NTJmOGI5Yzg2MzEwNzA4OWE1NDUifQ=="/>
  </w:docVars>
  <w:rsids>
    <w:rsidRoot w:val="009973B4"/>
    <w:rsid w:val="00002CC1"/>
    <w:rsid w:val="000237F6"/>
    <w:rsid w:val="0003373A"/>
    <w:rsid w:val="000400E2"/>
    <w:rsid w:val="00062E46"/>
    <w:rsid w:val="00071522"/>
    <w:rsid w:val="00073A25"/>
    <w:rsid w:val="000A4138"/>
    <w:rsid w:val="000E6B21"/>
    <w:rsid w:val="00161E82"/>
    <w:rsid w:val="001673C3"/>
    <w:rsid w:val="00182530"/>
    <w:rsid w:val="0019695B"/>
    <w:rsid w:val="001A2D7F"/>
    <w:rsid w:val="001C7DD2"/>
    <w:rsid w:val="002939AD"/>
    <w:rsid w:val="00314AF6"/>
    <w:rsid w:val="00336F0A"/>
    <w:rsid w:val="00337922"/>
    <w:rsid w:val="00340867"/>
    <w:rsid w:val="00342D61"/>
    <w:rsid w:val="00356FA2"/>
    <w:rsid w:val="00380837"/>
    <w:rsid w:val="003A198A"/>
    <w:rsid w:val="003B21C4"/>
    <w:rsid w:val="003B2496"/>
    <w:rsid w:val="003B4966"/>
    <w:rsid w:val="003C474C"/>
    <w:rsid w:val="003E0939"/>
    <w:rsid w:val="00410914"/>
    <w:rsid w:val="00417D46"/>
    <w:rsid w:val="00420FA5"/>
    <w:rsid w:val="00423D3B"/>
    <w:rsid w:val="00474F25"/>
    <w:rsid w:val="00477478"/>
    <w:rsid w:val="0048201E"/>
    <w:rsid w:val="004C4488"/>
    <w:rsid w:val="004D6C67"/>
    <w:rsid w:val="005223A0"/>
    <w:rsid w:val="00536930"/>
    <w:rsid w:val="00542D8A"/>
    <w:rsid w:val="00564E53"/>
    <w:rsid w:val="0056561D"/>
    <w:rsid w:val="005C0D02"/>
    <w:rsid w:val="005D5659"/>
    <w:rsid w:val="00600C20"/>
    <w:rsid w:val="006122AD"/>
    <w:rsid w:val="00644FE2"/>
    <w:rsid w:val="00663A89"/>
    <w:rsid w:val="00664069"/>
    <w:rsid w:val="00670B28"/>
    <w:rsid w:val="006713F9"/>
    <w:rsid w:val="0067640C"/>
    <w:rsid w:val="006A55E2"/>
    <w:rsid w:val="006E678B"/>
    <w:rsid w:val="006E7B1D"/>
    <w:rsid w:val="006F277F"/>
    <w:rsid w:val="00721894"/>
    <w:rsid w:val="00744C1A"/>
    <w:rsid w:val="00747832"/>
    <w:rsid w:val="00751C5D"/>
    <w:rsid w:val="007757F3"/>
    <w:rsid w:val="0079152F"/>
    <w:rsid w:val="007C1B48"/>
    <w:rsid w:val="007E3B15"/>
    <w:rsid w:val="007E52E7"/>
    <w:rsid w:val="007E6AEB"/>
    <w:rsid w:val="007F0B9E"/>
    <w:rsid w:val="00830F77"/>
    <w:rsid w:val="00834771"/>
    <w:rsid w:val="00897010"/>
    <w:rsid w:val="008973EE"/>
    <w:rsid w:val="008E05C2"/>
    <w:rsid w:val="008E71AB"/>
    <w:rsid w:val="00971600"/>
    <w:rsid w:val="009973B4"/>
    <w:rsid w:val="009C28C1"/>
    <w:rsid w:val="009F7EED"/>
    <w:rsid w:val="00A10A43"/>
    <w:rsid w:val="00A22A49"/>
    <w:rsid w:val="00A55742"/>
    <w:rsid w:val="00A75E2F"/>
    <w:rsid w:val="00A80636"/>
    <w:rsid w:val="00A80EDD"/>
    <w:rsid w:val="00A80EFB"/>
    <w:rsid w:val="00AF0AAB"/>
    <w:rsid w:val="00B21204"/>
    <w:rsid w:val="00B32F8D"/>
    <w:rsid w:val="00B76C5B"/>
    <w:rsid w:val="00B93520"/>
    <w:rsid w:val="00BD6C12"/>
    <w:rsid w:val="00BF597E"/>
    <w:rsid w:val="00C51A36"/>
    <w:rsid w:val="00C55228"/>
    <w:rsid w:val="00C63768"/>
    <w:rsid w:val="00C76B5B"/>
    <w:rsid w:val="00C82624"/>
    <w:rsid w:val="00CD635E"/>
    <w:rsid w:val="00CE315A"/>
    <w:rsid w:val="00D06F59"/>
    <w:rsid w:val="00D64EFB"/>
    <w:rsid w:val="00D8388C"/>
    <w:rsid w:val="00E6224C"/>
    <w:rsid w:val="00EB0164"/>
    <w:rsid w:val="00EB6E73"/>
    <w:rsid w:val="00EC4C9E"/>
    <w:rsid w:val="00ED0F62"/>
    <w:rsid w:val="00ED2C1D"/>
    <w:rsid w:val="00F22105"/>
    <w:rsid w:val="00F8015C"/>
    <w:rsid w:val="00FB0D45"/>
    <w:rsid w:val="00FE60B0"/>
    <w:rsid w:val="01260C71"/>
    <w:rsid w:val="01337057"/>
    <w:rsid w:val="014B08FF"/>
    <w:rsid w:val="017240DE"/>
    <w:rsid w:val="018F6A3E"/>
    <w:rsid w:val="01E27364"/>
    <w:rsid w:val="01F44B9C"/>
    <w:rsid w:val="024F3EBF"/>
    <w:rsid w:val="025025B0"/>
    <w:rsid w:val="0279794E"/>
    <w:rsid w:val="028D337C"/>
    <w:rsid w:val="02AE7397"/>
    <w:rsid w:val="02C75A20"/>
    <w:rsid w:val="032F5195"/>
    <w:rsid w:val="034E2125"/>
    <w:rsid w:val="03922815"/>
    <w:rsid w:val="03A0688A"/>
    <w:rsid w:val="03A32F8E"/>
    <w:rsid w:val="03AC3D8E"/>
    <w:rsid w:val="03CE483E"/>
    <w:rsid w:val="03CF54E8"/>
    <w:rsid w:val="0405614C"/>
    <w:rsid w:val="04883DB3"/>
    <w:rsid w:val="048B17AA"/>
    <w:rsid w:val="048B7990"/>
    <w:rsid w:val="04981EC9"/>
    <w:rsid w:val="04B834B4"/>
    <w:rsid w:val="04F25D7B"/>
    <w:rsid w:val="050D3D1E"/>
    <w:rsid w:val="053973EC"/>
    <w:rsid w:val="056577F0"/>
    <w:rsid w:val="05705C5F"/>
    <w:rsid w:val="057753FF"/>
    <w:rsid w:val="05A05014"/>
    <w:rsid w:val="05EB00C3"/>
    <w:rsid w:val="05F6270F"/>
    <w:rsid w:val="0605101B"/>
    <w:rsid w:val="061B4460"/>
    <w:rsid w:val="064B6BAB"/>
    <w:rsid w:val="067B702D"/>
    <w:rsid w:val="068C159B"/>
    <w:rsid w:val="06994A8D"/>
    <w:rsid w:val="06A873F1"/>
    <w:rsid w:val="06AA7E97"/>
    <w:rsid w:val="06CB464C"/>
    <w:rsid w:val="06D0014C"/>
    <w:rsid w:val="06D33870"/>
    <w:rsid w:val="06EC4BBF"/>
    <w:rsid w:val="06ED612A"/>
    <w:rsid w:val="07232B97"/>
    <w:rsid w:val="073F2C9D"/>
    <w:rsid w:val="076E5DAB"/>
    <w:rsid w:val="07DE427B"/>
    <w:rsid w:val="081B16CA"/>
    <w:rsid w:val="083D3ED5"/>
    <w:rsid w:val="08767210"/>
    <w:rsid w:val="08851DD7"/>
    <w:rsid w:val="08C22483"/>
    <w:rsid w:val="08DE65E3"/>
    <w:rsid w:val="08ED1EE8"/>
    <w:rsid w:val="09005957"/>
    <w:rsid w:val="09300B06"/>
    <w:rsid w:val="093C74AB"/>
    <w:rsid w:val="094521C7"/>
    <w:rsid w:val="096333C5"/>
    <w:rsid w:val="09933EF9"/>
    <w:rsid w:val="09AA0CA5"/>
    <w:rsid w:val="09BA2C2C"/>
    <w:rsid w:val="09FA6045"/>
    <w:rsid w:val="0A0F142E"/>
    <w:rsid w:val="0A1C56C1"/>
    <w:rsid w:val="0A2B3DFA"/>
    <w:rsid w:val="0A904067"/>
    <w:rsid w:val="0ACA0AE6"/>
    <w:rsid w:val="0ACA6ED2"/>
    <w:rsid w:val="0ACD3AD5"/>
    <w:rsid w:val="0AEF4D8D"/>
    <w:rsid w:val="0AF81AF7"/>
    <w:rsid w:val="0B0F7EA8"/>
    <w:rsid w:val="0B404CDA"/>
    <w:rsid w:val="0B496A23"/>
    <w:rsid w:val="0B515EEB"/>
    <w:rsid w:val="0B5A5FA2"/>
    <w:rsid w:val="0BDA3327"/>
    <w:rsid w:val="0BE64DFF"/>
    <w:rsid w:val="0C0D512F"/>
    <w:rsid w:val="0C214D94"/>
    <w:rsid w:val="0C355F4E"/>
    <w:rsid w:val="0C4A1EDF"/>
    <w:rsid w:val="0C4B4D60"/>
    <w:rsid w:val="0C5423F7"/>
    <w:rsid w:val="0C8009B8"/>
    <w:rsid w:val="0C9C771B"/>
    <w:rsid w:val="0CC102DA"/>
    <w:rsid w:val="0CE73BD2"/>
    <w:rsid w:val="0CFD1647"/>
    <w:rsid w:val="0D10137A"/>
    <w:rsid w:val="0D181113"/>
    <w:rsid w:val="0D1E4D9B"/>
    <w:rsid w:val="0D4D1326"/>
    <w:rsid w:val="0D585B80"/>
    <w:rsid w:val="0D6A2C36"/>
    <w:rsid w:val="0DB276FC"/>
    <w:rsid w:val="0DB35CC0"/>
    <w:rsid w:val="0DD87484"/>
    <w:rsid w:val="0E004B66"/>
    <w:rsid w:val="0E3F4DF2"/>
    <w:rsid w:val="0E49595F"/>
    <w:rsid w:val="0E4D3F08"/>
    <w:rsid w:val="0E8C2C83"/>
    <w:rsid w:val="0E910299"/>
    <w:rsid w:val="0EB8524B"/>
    <w:rsid w:val="0ED624B8"/>
    <w:rsid w:val="0EE24046"/>
    <w:rsid w:val="0EEF7110"/>
    <w:rsid w:val="0F86648B"/>
    <w:rsid w:val="0F9C35C1"/>
    <w:rsid w:val="0FB00EB7"/>
    <w:rsid w:val="0FBC7598"/>
    <w:rsid w:val="0FC24997"/>
    <w:rsid w:val="0FE8572C"/>
    <w:rsid w:val="0FF458C0"/>
    <w:rsid w:val="0FFA42BF"/>
    <w:rsid w:val="10005CC0"/>
    <w:rsid w:val="100B6D7F"/>
    <w:rsid w:val="100D075A"/>
    <w:rsid w:val="105F05EB"/>
    <w:rsid w:val="106A3497"/>
    <w:rsid w:val="106E29B8"/>
    <w:rsid w:val="108219C2"/>
    <w:rsid w:val="10831E63"/>
    <w:rsid w:val="10991918"/>
    <w:rsid w:val="10A120FB"/>
    <w:rsid w:val="10AB5B5F"/>
    <w:rsid w:val="10C112A0"/>
    <w:rsid w:val="10C11C69"/>
    <w:rsid w:val="10DD2E35"/>
    <w:rsid w:val="10E349DC"/>
    <w:rsid w:val="113754D6"/>
    <w:rsid w:val="11536201"/>
    <w:rsid w:val="115D3DB9"/>
    <w:rsid w:val="11AD1797"/>
    <w:rsid w:val="11BD2BE2"/>
    <w:rsid w:val="11BE2038"/>
    <w:rsid w:val="11D706B9"/>
    <w:rsid w:val="11DA2701"/>
    <w:rsid w:val="11DC0AC4"/>
    <w:rsid w:val="11E2439D"/>
    <w:rsid w:val="120225CC"/>
    <w:rsid w:val="12563B2D"/>
    <w:rsid w:val="12591A01"/>
    <w:rsid w:val="126F74F6"/>
    <w:rsid w:val="12957C2C"/>
    <w:rsid w:val="129673E0"/>
    <w:rsid w:val="12A2571D"/>
    <w:rsid w:val="12A42EA7"/>
    <w:rsid w:val="12A506D3"/>
    <w:rsid w:val="12D32FAA"/>
    <w:rsid w:val="13051255"/>
    <w:rsid w:val="13296CDD"/>
    <w:rsid w:val="134E7573"/>
    <w:rsid w:val="13890C2B"/>
    <w:rsid w:val="13A420AC"/>
    <w:rsid w:val="13C11723"/>
    <w:rsid w:val="13C62F5D"/>
    <w:rsid w:val="13C82F98"/>
    <w:rsid w:val="13EB79B2"/>
    <w:rsid w:val="143B213D"/>
    <w:rsid w:val="144A6643"/>
    <w:rsid w:val="145B46D3"/>
    <w:rsid w:val="146971C3"/>
    <w:rsid w:val="14B051F1"/>
    <w:rsid w:val="14C400FD"/>
    <w:rsid w:val="14DC7D94"/>
    <w:rsid w:val="14E73FB9"/>
    <w:rsid w:val="14F1297E"/>
    <w:rsid w:val="14F26225"/>
    <w:rsid w:val="15023387"/>
    <w:rsid w:val="15051B66"/>
    <w:rsid w:val="151414F9"/>
    <w:rsid w:val="15167847"/>
    <w:rsid w:val="154204FE"/>
    <w:rsid w:val="154C7AB0"/>
    <w:rsid w:val="155F4281"/>
    <w:rsid w:val="156D6C93"/>
    <w:rsid w:val="15A03899"/>
    <w:rsid w:val="15AA7E92"/>
    <w:rsid w:val="15BC540D"/>
    <w:rsid w:val="15C97A8A"/>
    <w:rsid w:val="15D171CD"/>
    <w:rsid w:val="15EC279E"/>
    <w:rsid w:val="16210B83"/>
    <w:rsid w:val="1647748F"/>
    <w:rsid w:val="164A7926"/>
    <w:rsid w:val="16583F2B"/>
    <w:rsid w:val="168104E1"/>
    <w:rsid w:val="169D3E09"/>
    <w:rsid w:val="16AB3CAD"/>
    <w:rsid w:val="16E341B9"/>
    <w:rsid w:val="16F10A78"/>
    <w:rsid w:val="16F24232"/>
    <w:rsid w:val="17226BDD"/>
    <w:rsid w:val="17446813"/>
    <w:rsid w:val="177551EA"/>
    <w:rsid w:val="178F67D1"/>
    <w:rsid w:val="179B1D36"/>
    <w:rsid w:val="17C079EC"/>
    <w:rsid w:val="17F76BA3"/>
    <w:rsid w:val="182A66F0"/>
    <w:rsid w:val="183D0A45"/>
    <w:rsid w:val="186A6524"/>
    <w:rsid w:val="186F767B"/>
    <w:rsid w:val="187F0353"/>
    <w:rsid w:val="188852B3"/>
    <w:rsid w:val="18BB70D9"/>
    <w:rsid w:val="18D51F3C"/>
    <w:rsid w:val="18DD40DB"/>
    <w:rsid w:val="18DF60A5"/>
    <w:rsid w:val="18E725C6"/>
    <w:rsid w:val="18FB3FC3"/>
    <w:rsid w:val="19444428"/>
    <w:rsid w:val="19553BF7"/>
    <w:rsid w:val="197008AF"/>
    <w:rsid w:val="19746F33"/>
    <w:rsid w:val="197E61C1"/>
    <w:rsid w:val="199565C0"/>
    <w:rsid w:val="19D74BC7"/>
    <w:rsid w:val="19E73463"/>
    <w:rsid w:val="19FD49DB"/>
    <w:rsid w:val="1A022A53"/>
    <w:rsid w:val="1A041A8F"/>
    <w:rsid w:val="1A1973A7"/>
    <w:rsid w:val="1A546A4C"/>
    <w:rsid w:val="1A6B42F2"/>
    <w:rsid w:val="1A6C3FF9"/>
    <w:rsid w:val="1AAF33A8"/>
    <w:rsid w:val="1AB42370"/>
    <w:rsid w:val="1ACF1254"/>
    <w:rsid w:val="1AED5B63"/>
    <w:rsid w:val="1AF42899"/>
    <w:rsid w:val="1AF55754"/>
    <w:rsid w:val="1B2C42D2"/>
    <w:rsid w:val="1B3D1CE2"/>
    <w:rsid w:val="1B462375"/>
    <w:rsid w:val="1B5E3B97"/>
    <w:rsid w:val="1BA874BE"/>
    <w:rsid w:val="1BB47A4E"/>
    <w:rsid w:val="1BF23C14"/>
    <w:rsid w:val="1C392A3A"/>
    <w:rsid w:val="1C67088B"/>
    <w:rsid w:val="1C9A2A0F"/>
    <w:rsid w:val="1CB1322F"/>
    <w:rsid w:val="1CEA1447"/>
    <w:rsid w:val="1D0C4F8F"/>
    <w:rsid w:val="1D4D4A00"/>
    <w:rsid w:val="1D6C4715"/>
    <w:rsid w:val="1D921938"/>
    <w:rsid w:val="1DC4038A"/>
    <w:rsid w:val="1DF36090"/>
    <w:rsid w:val="1DFE25B1"/>
    <w:rsid w:val="1E1B0A9F"/>
    <w:rsid w:val="1E511FFA"/>
    <w:rsid w:val="1E6255AD"/>
    <w:rsid w:val="1E667237"/>
    <w:rsid w:val="1E6F1067"/>
    <w:rsid w:val="1E752FA2"/>
    <w:rsid w:val="1EB853CE"/>
    <w:rsid w:val="1EF77273"/>
    <w:rsid w:val="1F1B65D5"/>
    <w:rsid w:val="1F2C36C6"/>
    <w:rsid w:val="1F35289F"/>
    <w:rsid w:val="1F466B8E"/>
    <w:rsid w:val="1F4E73A5"/>
    <w:rsid w:val="1F557905"/>
    <w:rsid w:val="1F8E0A45"/>
    <w:rsid w:val="1F9835FA"/>
    <w:rsid w:val="1F9B75CA"/>
    <w:rsid w:val="1F9C30D2"/>
    <w:rsid w:val="1FAB395F"/>
    <w:rsid w:val="1FB8538A"/>
    <w:rsid w:val="1FF16224"/>
    <w:rsid w:val="201572E0"/>
    <w:rsid w:val="20210D51"/>
    <w:rsid w:val="20272451"/>
    <w:rsid w:val="203255D2"/>
    <w:rsid w:val="20403C64"/>
    <w:rsid w:val="204131A1"/>
    <w:rsid w:val="205905F2"/>
    <w:rsid w:val="205B3801"/>
    <w:rsid w:val="206F5F60"/>
    <w:rsid w:val="207644C2"/>
    <w:rsid w:val="20843964"/>
    <w:rsid w:val="20A856C1"/>
    <w:rsid w:val="213202E9"/>
    <w:rsid w:val="216B497A"/>
    <w:rsid w:val="2192753A"/>
    <w:rsid w:val="219F4623"/>
    <w:rsid w:val="21A07B88"/>
    <w:rsid w:val="21D24208"/>
    <w:rsid w:val="21D94C8D"/>
    <w:rsid w:val="221744F4"/>
    <w:rsid w:val="226B2F60"/>
    <w:rsid w:val="22813299"/>
    <w:rsid w:val="229D0DFF"/>
    <w:rsid w:val="2331574F"/>
    <w:rsid w:val="23461CA8"/>
    <w:rsid w:val="2353193E"/>
    <w:rsid w:val="238A1BAA"/>
    <w:rsid w:val="23900E62"/>
    <w:rsid w:val="23BC2967"/>
    <w:rsid w:val="23BF3886"/>
    <w:rsid w:val="241A6B34"/>
    <w:rsid w:val="24285E2F"/>
    <w:rsid w:val="242A7B69"/>
    <w:rsid w:val="244153B6"/>
    <w:rsid w:val="24482D50"/>
    <w:rsid w:val="247622DE"/>
    <w:rsid w:val="2480482A"/>
    <w:rsid w:val="24A05D8E"/>
    <w:rsid w:val="24B16707"/>
    <w:rsid w:val="24FC7C66"/>
    <w:rsid w:val="24FE5B05"/>
    <w:rsid w:val="2519537A"/>
    <w:rsid w:val="252217F3"/>
    <w:rsid w:val="25244294"/>
    <w:rsid w:val="25322016"/>
    <w:rsid w:val="255D0A7D"/>
    <w:rsid w:val="258041F6"/>
    <w:rsid w:val="258609CC"/>
    <w:rsid w:val="25C1698F"/>
    <w:rsid w:val="25E37354"/>
    <w:rsid w:val="261A3EFA"/>
    <w:rsid w:val="261B55F8"/>
    <w:rsid w:val="261D5675"/>
    <w:rsid w:val="262B573C"/>
    <w:rsid w:val="26532A92"/>
    <w:rsid w:val="26655880"/>
    <w:rsid w:val="269C7CAD"/>
    <w:rsid w:val="270A69E3"/>
    <w:rsid w:val="2717195C"/>
    <w:rsid w:val="271B4DE1"/>
    <w:rsid w:val="272228DE"/>
    <w:rsid w:val="272735B8"/>
    <w:rsid w:val="27443F4D"/>
    <w:rsid w:val="274B78E8"/>
    <w:rsid w:val="27602485"/>
    <w:rsid w:val="277A2798"/>
    <w:rsid w:val="277F6362"/>
    <w:rsid w:val="278C389C"/>
    <w:rsid w:val="27A027E6"/>
    <w:rsid w:val="27BD1CA7"/>
    <w:rsid w:val="27CF15FE"/>
    <w:rsid w:val="27D42EE9"/>
    <w:rsid w:val="27E10A81"/>
    <w:rsid w:val="27FE6486"/>
    <w:rsid w:val="280B3F2E"/>
    <w:rsid w:val="281E2746"/>
    <w:rsid w:val="28341F0D"/>
    <w:rsid w:val="2892323E"/>
    <w:rsid w:val="289361DE"/>
    <w:rsid w:val="28BA7F95"/>
    <w:rsid w:val="290B0718"/>
    <w:rsid w:val="291C5E47"/>
    <w:rsid w:val="296D2D47"/>
    <w:rsid w:val="29CB46C2"/>
    <w:rsid w:val="29F77BA5"/>
    <w:rsid w:val="2A0268E9"/>
    <w:rsid w:val="2A3A6E77"/>
    <w:rsid w:val="2A465F84"/>
    <w:rsid w:val="2A85024C"/>
    <w:rsid w:val="2A994305"/>
    <w:rsid w:val="2AB15E11"/>
    <w:rsid w:val="2B0D2F04"/>
    <w:rsid w:val="2B1C4F36"/>
    <w:rsid w:val="2B1D2572"/>
    <w:rsid w:val="2B1E304D"/>
    <w:rsid w:val="2B206A2D"/>
    <w:rsid w:val="2B404411"/>
    <w:rsid w:val="2B4C1179"/>
    <w:rsid w:val="2B4C11C4"/>
    <w:rsid w:val="2BCE4483"/>
    <w:rsid w:val="2BD60481"/>
    <w:rsid w:val="2BEA3FA7"/>
    <w:rsid w:val="2BEE0681"/>
    <w:rsid w:val="2BFD6B16"/>
    <w:rsid w:val="2C047AA5"/>
    <w:rsid w:val="2C060B08"/>
    <w:rsid w:val="2C1D0F66"/>
    <w:rsid w:val="2C2E44D4"/>
    <w:rsid w:val="2C7B6C71"/>
    <w:rsid w:val="2C8D064F"/>
    <w:rsid w:val="2CD71115"/>
    <w:rsid w:val="2CDE06F5"/>
    <w:rsid w:val="2CE35272"/>
    <w:rsid w:val="2D2828D0"/>
    <w:rsid w:val="2D357F0D"/>
    <w:rsid w:val="2D381522"/>
    <w:rsid w:val="2D47273F"/>
    <w:rsid w:val="2D4E604F"/>
    <w:rsid w:val="2D5B10D4"/>
    <w:rsid w:val="2D5C2AB0"/>
    <w:rsid w:val="2D7A20E6"/>
    <w:rsid w:val="2DA336ED"/>
    <w:rsid w:val="2DC57805"/>
    <w:rsid w:val="2DDF08DF"/>
    <w:rsid w:val="2DFE0923"/>
    <w:rsid w:val="2DFF79D8"/>
    <w:rsid w:val="2E076B58"/>
    <w:rsid w:val="2E1B7727"/>
    <w:rsid w:val="2E367C56"/>
    <w:rsid w:val="2E3D144C"/>
    <w:rsid w:val="2E440885"/>
    <w:rsid w:val="2E5E618D"/>
    <w:rsid w:val="2E8E614B"/>
    <w:rsid w:val="2EB16166"/>
    <w:rsid w:val="2EDE3EE6"/>
    <w:rsid w:val="2EEE512C"/>
    <w:rsid w:val="2EFA331A"/>
    <w:rsid w:val="2F494D9F"/>
    <w:rsid w:val="2F511B05"/>
    <w:rsid w:val="2F521E14"/>
    <w:rsid w:val="2F6B545A"/>
    <w:rsid w:val="2F7C0D1A"/>
    <w:rsid w:val="2F7C571D"/>
    <w:rsid w:val="2FA86B66"/>
    <w:rsid w:val="2FE823A5"/>
    <w:rsid w:val="2FEA1C57"/>
    <w:rsid w:val="300172B8"/>
    <w:rsid w:val="303B4C3F"/>
    <w:rsid w:val="30945277"/>
    <w:rsid w:val="30C71DD4"/>
    <w:rsid w:val="30DC7CB1"/>
    <w:rsid w:val="30ED30CC"/>
    <w:rsid w:val="30F96802"/>
    <w:rsid w:val="31064141"/>
    <w:rsid w:val="310D1C85"/>
    <w:rsid w:val="31651B7E"/>
    <w:rsid w:val="31943A79"/>
    <w:rsid w:val="31A87524"/>
    <w:rsid w:val="31B477DB"/>
    <w:rsid w:val="31B67BE2"/>
    <w:rsid w:val="31CA71DD"/>
    <w:rsid w:val="320B180B"/>
    <w:rsid w:val="322F37A1"/>
    <w:rsid w:val="32464A4D"/>
    <w:rsid w:val="324E5138"/>
    <w:rsid w:val="32DF3313"/>
    <w:rsid w:val="331E21CE"/>
    <w:rsid w:val="33562A0D"/>
    <w:rsid w:val="335C6818"/>
    <w:rsid w:val="33715F28"/>
    <w:rsid w:val="33C34B3F"/>
    <w:rsid w:val="33CA19D4"/>
    <w:rsid w:val="33EE2C76"/>
    <w:rsid w:val="33F07155"/>
    <w:rsid w:val="340866F0"/>
    <w:rsid w:val="340C6245"/>
    <w:rsid w:val="343C4522"/>
    <w:rsid w:val="344478BD"/>
    <w:rsid w:val="347A0336"/>
    <w:rsid w:val="34F64937"/>
    <w:rsid w:val="34F92D63"/>
    <w:rsid w:val="351D0ACF"/>
    <w:rsid w:val="35527F1F"/>
    <w:rsid w:val="355E1E36"/>
    <w:rsid w:val="357914C0"/>
    <w:rsid w:val="35B4280C"/>
    <w:rsid w:val="35BF145F"/>
    <w:rsid w:val="35D721CD"/>
    <w:rsid w:val="35FE41C7"/>
    <w:rsid w:val="360447E4"/>
    <w:rsid w:val="36174333"/>
    <w:rsid w:val="364A3F09"/>
    <w:rsid w:val="365755A6"/>
    <w:rsid w:val="367A501B"/>
    <w:rsid w:val="36BC2C27"/>
    <w:rsid w:val="372D3763"/>
    <w:rsid w:val="3765557D"/>
    <w:rsid w:val="376B460A"/>
    <w:rsid w:val="378A601B"/>
    <w:rsid w:val="37A3423F"/>
    <w:rsid w:val="37A66325"/>
    <w:rsid w:val="37AF435B"/>
    <w:rsid w:val="37B82B0E"/>
    <w:rsid w:val="37D8509F"/>
    <w:rsid w:val="37FE3B6D"/>
    <w:rsid w:val="380178E9"/>
    <w:rsid w:val="381F1BC2"/>
    <w:rsid w:val="38363F4B"/>
    <w:rsid w:val="385775AE"/>
    <w:rsid w:val="386866FF"/>
    <w:rsid w:val="387F79F8"/>
    <w:rsid w:val="38803663"/>
    <w:rsid w:val="389A539F"/>
    <w:rsid w:val="38B37216"/>
    <w:rsid w:val="38BD5C7F"/>
    <w:rsid w:val="38C5580C"/>
    <w:rsid w:val="38EC325F"/>
    <w:rsid w:val="390D69BC"/>
    <w:rsid w:val="390D6C13"/>
    <w:rsid w:val="39243934"/>
    <w:rsid w:val="39286E54"/>
    <w:rsid w:val="399117DD"/>
    <w:rsid w:val="39972637"/>
    <w:rsid w:val="39A602A7"/>
    <w:rsid w:val="39B66794"/>
    <w:rsid w:val="39D7104B"/>
    <w:rsid w:val="3A3E0D9F"/>
    <w:rsid w:val="3A5573DE"/>
    <w:rsid w:val="3AAB1306"/>
    <w:rsid w:val="3ABD0173"/>
    <w:rsid w:val="3ACE23E2"/>
    <w:rsid w:val="3AF73AB8"/>
    <w:rsid w:val="3B227AA7"/>
    <w:rsid w:val="3B4241C0"/>
    <w:rsid w:val="3B5F0280"/>
    <w:rsid w:val="3B7361FC"/>
    <w:rsid w:val="3BC46D08"/>
    <w:rsid w:val="3BE0469D"/>
    <w:rsid w:val="3BEE1D6F"/>
    <w:rsid w:val="3BF1473C"/>
    <w:rsid w:val="3C145EE2"/>
    <w:rsid w:val="3C764C2A"/>
    <w:rsid w:val="3CA475E5"/>
    <w:rsid w:val="3CA717F2"/>
    <w:rsid w:val="3CC56579"/>
    <w:rsid w:val="3CD10CE9"/>
    <w:rsid w:val="3D0E6267"/>
    <w:rsid w:val="3D223110"/>
    <w:rsid w:val="3D301EB1"/>
    <w:rsid w:val="3D3A734A"/>
    <w:rsid w:val="3D421E06"/>
    <w:rsid w:val="3D6D10EC"/>
    <w:rsid w:val="3D986795"/>
    <w:rsid w:val="3DAB460B"/>
    <w:rsid w:val="3DB039E8"/>
    <w:rsid w:val="3DC05AC9"/>
    <w:rsid w:val="3DC64AD4"/>
    <w:rsid w:val="3DDA7DB2"/>
    <w:rsid w:val="3DFC4628"/>
    <w:rsid w:val="3E1C5380"/>
    <w:rsid w:val="3E342793"/>
    <w:rsid w:val="3E3C5235"/>
    <w:rsid w:val="3EA34B57"/>
    <w:rsid w:val="3EBA22C2"/>
    <w:rsid w:val="3EEF1E6E"/>
    <w:rsid w:val="3F052DCF"/>
    <w:rsid w:val="3F220916"/>
    <w:rsid w:val="3F33126F"/>
    <w:rsid w:val="3F584337"/>
    <w:rsid w:val="3F654598"/>
    <w:rsid w:val="3F6B266F"/>
    <w:rsid w:val="3F7D2E9A"/>
    <w:rsid w:val="3FBB6BD3"/>
    <w:rsid w:val="3FBF6165"/>
    <w:rsid w:val="40571F31"/>
    <w:rsid w:val="40760623"/>
    <w:rsid w:val="408B1354"/>
    <w:rsid w:val="408B7234"/>
    <w:rsid w:val="409A38D4"/>
    <w:rsid w:val="40E27AF7"/>
    <w:rsid w:val="40F80D82"/>
    <w:rsid w:val="41342A6B"/>
    <w:rsid w:val="414C7183"/>
    <w:rsid w:val="418D501C"/>
    <w:rsid w:val="41E9167B"/>
    <w:rsid w:val="42416B50"/>
    <w:rsid w:val="425063A9"/>
    <w:rsid w:val="4262379E"/>
    <w:rsid w:val="42726063"/>
    <w:rsid w:val="42756FAE"/>
    <w:rsid w:val="427A1188"/>
    <w:rsid w:val="429531AD"/>
    <w:rsid w:val="42E460CD"/>
    <w:rsid w:val="42EE6D5D"/>
    <w:rsid w:val="430868F8"/>
    <w:rsid w:val="432A5E11"/>
    <w:rsid w:val="433B1167"/>
    <w:rsid w:val="435F500F"/>
    <w:rsid w:val="43650DD1"/>
    <w:rsid w:val="43B02F12"/>
    <w:rsid w:val="43B22E45"/>
    <w:rsid w:val="43C730CD"/>
    <w:rsid w:val="43CF0940"/>
    <w:rsid w:val="4426020A"/>
    <w:rsid w:val="447F3DD7"/>
    <w:rsid w:val="44A567F5"/>
    <w:rsid w:val="44AE67A8"/>
    <w:rsid w:val="44AE6C74"/>
    <w:rsid w:val="44D53D34"/>
    <w:rsid w:val="44FE772F"/>
    <w:rsid w:val="45034D45"/>
    <w:rsid w:val="45123E93"/>
    <w:rsid w:val="453B1EBC"/>
    <w:rsid w:val="45635AEC"/>
    <w:rsid w:val="45B120AE"/>
    <w:rsid w:val="45BA54FA"/>
    <w:rsid w:val="45EC74A5"/>
    <w:rsid w:val="45FA6B69"/>
    <w:rsid w:val="45FB082C"/>
    <w:rsid w:val="46026DAB"/>
    <w:rsid w:val="460414DD"/>
    <w:rsid w:val="461B2575"/>
    <w:rsid w:val="46332B60"/>
    <w:rsid w:val="464C49FB"/>
    <w:rsid w:val="464C7D09"/>
    <w:rsid w:val="4654705C"/>
    <w:rsid w:val="468D2C1F"/>
    <w:rsid w:val="468D3CA5"/>
    <w:rsid w:val="46BD2CD2"/>
    <w:rsid w:val="46C706E1"/>
    <w:rsid w:val="46CE07C2"/>
    <w:rsid w:val="46D3481B"/>
    <w:rsid w:val="46EA7997"/>
    <w:rsid w:val="470243E7"/>
    <w:rsid w:val="471F1498"/>
    <w:rsid w:val="47271944"/>
    <w:rsid w:val="475C4BFE"/>
    <w:rsid w:val="47BB044C"/>
    <w:rsid w:val="480F57AF"/>
    <w:rsid w:val="48262DE5"/>
    <w:rsid w:val="483B416E"/>
    <w:rsid w:val="48790E7B"/>
    <w:rsid w:val="49042FF5"/>
    <w:rsid w:val="49407CA0"/>
    <w:rsid w:val="49453D43"/>
    <w:rsid w:val="49B4660E"/>
    <w:rsid w:val="49C0281D"/>
    <w:rsid w:val="49DA76F9"/>
    <w:rsid w:val="49E449BF"/>
    <w:rsid w:val="49EC77B8"/>
    <w:rsid w:val="49ED5B1C"/>
    <w:rsid w:val="4A8D175A"/>
    <w:rsid w:val="4ABA35F0"/>
    <w:rsid w:val="4AD45EF1"/>
    <w:rsid w:val="4AE04A18"/>
    <w:rsid w:val="4AE253FD"/>
    <w:rsid w:val="4B137364"/>
    <w:rsid w:val="4B337454"/>
    <w:rsid w:val="4B407CC6"/>
    <w:rsid w:val="4B42232B"/>
    <w:rsid w:val="4B8169C4"/>
    <w:rsid w:val="4B825A76"/>
    <w:rsid w:val="4B8B3702"/>
    <w:rsid w:val="4B9B0D7E"/>
    <w:rsid w:val="4BC82845"/>
    <w:rsid w:val="4BC83B65"/>
    <w:rsid w:val="4BCA4D17"/>
    <w:rsid w:val="4C1C049B"/>
    <w:rsid w:val="4C396670"/>
    <w:rsid w:val="4C52210E"/>
    <w:rsid w:val="4C7A7722"/>
    <w:rsid w:val="4C87755A"/>
    <w:rsid w:val="4CA74E41"/>
    <w:rsid w:val="4CA91B51"/>
    <w:rsid w:val="4CB62537"/>
    <w:rsid w:val="4CC254E6"/>
    <w:rsid w:val="4CCE5D62"/>
    <w:rsid w:val="4CD2365B"/>
    <w:rsid w:val="4CD701BC"/>
    <w:rsid w:val="4D161BF4"/>
    <w:rsid w:val="4D352804"/>
    <w:rsid w:val="4D555F59"/>
    <w:rsid w:val="4D791805"/>
    <w:rsid w:val="4D87403A"/>
    <w:rsid w:val="4D8F2F88"/>
    <w:rsid w:val="4DB86BCB"/>
    <w:rsid w:val="4DD85058"/>
    <w:rsid w:val="4E0166A9"/>
    <w:rsid w:val="4E1551DB"/>
    <w:rsid w:val="4E4F7D16"/>
    <w:rsid w:val="4E5264D1"/>
    <w:rsid w:val="4E7774D0"/>
    <w:rsid w:val="4E8716C9"/>
    <w:rsid w:val="4EAB57C4"/>
    <w:rsid w:val="4EF1500A"/>
    <w:rsid w:val="4F1C4721"/>
    <w:rsid w:val="4F450378"/>
    <w:rsid w:val="4F515DB4"/>
    <w:rsid w:val="4F594843"/>
    <w:rsid w:val="4FB639E2"/>
    <w:rsid w:val="4FBC7E6A"/>
    <w:rsid w:val="500C0EDD"/>
    <w:rsid w:val="50356EEC"/>
    <w:rsid w:val="503C3BCC"/>
    <w:rsid w:val="505C4971"/>
    <w:rsid w:val="50795634"/>
    <w:rsid w:val="508C4A05"/>
    <w:rsid w:val="509C1B04"/>
    <w:rsid w:val="50AA608E"/>
    <w:rsid w:val="50AB0EB9"/>
    <w:rsid w:val="50C11611"/>
    <w:rsid w:val="50C41CF1"/>
    <w:rsid w:val="50D046AC"/>
    <w:rsid w:val="51217DA6"/>
    <w:rsid w:val="51294703"/>
    <w:rsid w:val="51425A27"/>
    <w:rsid w:val="51483713"/>
    <w:rsid w:val="51563511"/>
    <w:rsid w:val="5158757E"/>
    <w:rsid w:val="51764AF1"/>
    <w:rsid w:val="519B00B4"/>
    <w:rsid w:val="51D71DD6"/>
    <w:rsid w:val="51FA127E"/>
    <w:rsid w:val="521A5D1E"/>
    <w:rsid w:val="523624DE"/>
    <w:rsid w:val="52655AB9"/>
    <w:rsid w:val="52A23F56"/>
    <w:rsid w:val="52BA5471"/>
    <w:rsid w:val="52D871F4"/>
    <w:rsid w:val="52F263D6"/>
    <w:rsid w:val="53024EB7"/>
    <w:rsid w:val="53261795"/>
    <w:rsid w:val="53496B95"/>
    <w:rsid w:val="53953BE7"/>
    <w:rsid w:val="539674CE"/>
    <w:rsid w:val="53D662C7"/>
    <w:rsid w:val="53F51637"/>
    <w:rsid w:val="540A70AB"/>
    <w:rsid w:val="54124FEF"/>
    <w:rsid w:val="541C4B67"/>
    <w:rsid w:val="542E16B3"/>
    <w:rsid w:val="545033D7"/>
    <w:rsid w:val="54B442D0"/>
    <w:rsid w:val="550348EE"/>
    <w:rsid w:val="551B39E5"/>
    <w:rsid w:val="552A2893"/>
    <w:rsid w:val="556B045B"/>
    <w:rsid w:val="55782BE6"/>
    <w:rsid w:val="557D4E77"/>
    <w:rsid w:val="55C375DD"/>
    <w:rsid w:val="56156439"/>
    <w:rsid w:val="56615F73"/>
    <w:rsid w:val="56643532"/>
    <w:rsid w:val="56717635"/>
    <w:rsid w:val="568B5A7B"/>
    <w:rsid w:val="569D77AB"/>
    <w:rsid w:val="57032072"/>
    <w:rsid w:val="570A6E63"/>
    <w:rsid w:val="5737338F"/>
    <w:rsid w:val="573B0118"/>
    <w:rsid w:val="573D2268"/>
    <w:rsid w:val="57411925"/>
    <w:rsid w:val="57441E32"/>
    <w:rsid w:val="57535542"/>
    <w:rsid w:val="575B3098"/>
    <w:rsid w:val="57881AAF"/>
    <w:rsid w:val="57CF18FE"/>
    <w:rsid w:val="57F55B90"/>
    <w:rsid w:val="580F191D"/>
    <w:rsid w:val="58276F84"/>
    <w:rsid w:val="58584813"/>
    <w:rsid w:val="589279DA"/>
    <w:rsid w:val="58A9755A"/>
    <w:rsid w:val="58B24473"/>
    <w:rsid w:val="58B728A2"/>
    <w:rsid w:val="58B868EB"/>
    <w:rsid w:val="590D059A"/>
    <w:rsid w:val="592802C2"/>
    <w:rsid w:val="5978735A"/>
    <w:rsid w:val="59E42114"/>
    <w:rsid w:val="59E710C8"/>
    <w:rsid w:val="5A1C59A1"/>
    <w:rsid w:val="5A407674"/>
    <w:rsid w:val="5A432974"/>
    <w:rsid w:val="5A5359CF"/>
    <w:rsid w:val="5A6A20C5"/>
    <w:rsid w:val="5AD64AF2"/>
    <w:rsid w:val="5B544EB3"/>
    <w:rsid w:val="5B6A33DD"/>
    <w:rsid w:val="5BF04FFA"/>
    <w:rsid w:val="5C4026C9"/>
    <w:rsid w:val="5C4D2649"/>
    <w:rsid w:val="5C4F4FAB"/>
    <w:rsid w:val="5C690E31"/>
    <w:rsid w:val="5C8D6CFF"/>
    <w:rsid w:val="5C966EB6"/>
    <w:rsid w:val="5CB9068F"/>
    <w:rsid w:val="5CE648D9"/>
    <w:rsid w:val="5CFE60C6"/>
    <w:rsid w:val="5D013462"/>
    <w:rsid w:val="5D3351AF"/>
    <w:rsid w:val="5D443C29"/>
    <w:rsid w:val="5D56152B"/>
    <w:rsid w:val="5D604E0E"/>
    <w:rsid w:val="5D656BAA"/>
    <w:rsid w:val="5D6672E4"/>
    <w:rsid w:val="5D6B7BC6"/>
    <w:rsid w:val="5D6C21B2"/>
    <w:rsid w:val="5D994B6C"/>
    <w:rsid w:val="5DBF6011"/>
    <w:rsid w:val="5DC13CCC"/>
    <w:rsid w:val="5DC35118"/>
    <w:rsid w:val="5DC55564"/>
    <w:rsid w:val="5DDA5570"/>
    <w:rsid w:val="5DE86882"/>
    <w:rsid w:val="5DF4160A"/>
    <w:rsid w:val="5E0D6E91"/>
    <w:rsid w:val="5E137929"/>
    <w:rsid w:val="5E264AF8"/>
    <w:rsid w:val="5E3B413F"/>
    <w:rsid w:val="5E5C6C5D"/>
    <w:rsid w:val="5E971B73"/>
    <w:rsid w:val="5EA12B9A"/>
    <w:rsid w:val="5EB61B43"/>
    <w:rsid w:val="5EBA7075"/>
    <w:rsid w:val="5EBF5DC8"/>
    <w:rsid w:val="5F010AB5"/>
    <w:rsid w:val="5F02275D"/>
    <w:rsid w:val="5F14059B"/>
    <w:rsid w:val="5F291E1B"/>
    <w:rsid w:val="5F2C159E"/>
    <w:rsid w:val="5F551AC0"/>
    <w:rsid w:val="5F616E2A"/>
    <w:rsid w:val="5FCB425A"/>
    <w:rsid w:val="5FD1200D"/>
    <w:rsid w:val="5FE015B4"/>
    <w:rsid w:val="5FF95336"/>
    <w:rsid w:val="5FFC08B7"/>
    <w:rsid w:val="600B21CC"/>
    <w:rsid w:val="60151FF5"/>
    <w:rsid w:val="6018182B"/>
    <w:rsid w:val="601E0F43"/>
    <w:rsid w:val="60596F8D"/>
    <w:rsid w:val="6070742B"/>
    <w:rsid w:val="608075E1"/>
    <w:rsid w:val="608A2A31"/>
    <w:rsid w:val="608B1BC4"/>
    <w:rsid w:val="60940AF0"/>
    <w:rsid w:val="60ED2FD7"/>
    <w:rsid w:val="61326FB1"/>
    <w:rsid w:val="61384C31"/>
    <w:rsid w:val="61706BC5"/>
    <w:rsid w:val="61B2747F"/>
    <w:rsid w:val="61DC2B4E"/>
    <w:rsid w:val="61E77A7E"/>
    <w:rsid w:val="622A4138"/>
    <w:rsid w:val="623604FA"/>
    <w:rsid w:val="62385483"/>
    <w:rsid w:val="62385A6C"/>
    <w:rsid w:val="624E5AC5"/>
    <w:rsid w:val="62694BD9"/>
    <w:rsid w:val="62876D77"/>
    <w:rsid w:val="62CA4AF4"/>
    <w:rsid w:val="62E4371E"/>
    <w:rsid w:val="62EB733F"/>
    <w:rsid w:val="630006A9"/>
    <w:rsid w:val="63115743"/>
    <w:rsid w:val="632045D1"/>
    <w:rsid w:val="6342544F"/>
    <w:rsid w:val="635C2B0C"/>
    <w:rsid w:val="635F0977"/>
    <w:rsid w:val="63720424"/>
    <w:rsid w:val="63A31ABC"/>
    <w:rsid w:val="63AF148C"/>
    <w:rsid w:val="63B15515"/>
    <w:rsid w:val="63BB22A2"/>
    <w:rsid w:val="63C65078"/>
    <w:rsid w:val="63EA156F"/>
    <w:rsid w:val="63EA6D88"/>
    <w:rsid w:val="63ED0C43"/>
    <w:rsid w:val="63FA510E"/>
    <w:rsid w:val="64621F9C"/>
    <w:rsid w:val="64A537DD"/>
    <w:rsid w:val="64B259E8"/>
    <w:rsid w:val="64B96E85"/>
    <w:rsid w:val="64BB6795"/>
    <w:rsid w:val="64D069A0"/>
    <w:rsid w:val="64EF587C"/>
    <w:rsid w:val="64F27E75"/>
    <w:rsid w:val="65067C78"/>
    <w:rsid w:val="65662197"/>
    <w:rsid w:val="657B0383"/>
    <w:rsid w:val="65821F26"/>
    <w:rsid w:val="658C79F9"/>
    <w:rsid w:val="65A33DF6"/>
    <w:rsid w:val="65BE04E1"/>
    <w:rsid w:val="65C21C5B"/>
    <w:rsid w:val="65CF7529"/>
    <w:rsid w:val="65F322FD"/>
    <w:rsid w:val="65F429F0"/>
    <w:rsid w:val="66537DCB"/>
    <w:rsid w:val="665A6FDB"/>
    <w:rsid w:val="667D4F5C"/>
    <w:rsid w:val="66B368AE"/>
    <w:rsid w:val="66B532F3"/>
    <w:rsid w:val="66C13F7A"/>
    <w:rsid w:val="66C2760F"/>
    <w:rsid w:val="66C93ED0"/>
    <w:rsid w:val="66C95402"/>
    <w:rsid w:val="66F21F9C"/>
    <w:rsid w:val="67000C8D"/>
    <w:rsid w:val="67317098"/>
    <w:rsid w:val="675A3B6C"/>
    <w:rsid w:val="676C5320"/>
    <w:rsid w:val="67906832"/>
    <w:rsid w:val="67AF7DB6"/>
    <w:rsid w:val="680564C6"/>
    <w:rsid w:val="680D4A39"/>
    <w:rsid w:val="681B3F7A"/>
    <w:rsid w:val="68233428"/>
    <w:rsid w:val="68AC1809"/>
    <w:rsid w:val="68B54AF7"/>
    <w:rsid w:val="68CA009F"/>
    <w:rsid w:val="68E37476"/>
    <w:rsid w:val="695B5920"/>
    <w:rsid w:val="697B34D1"/>
    <w:rsid w:val="699D0A15"/>
    <w:rsid w:val="69B35A0D"/>
    <w:rsid w:val="69C0193E"/>
    <w:rsid w:val="69CC607C"/>
    <w:rsid w:val="69EA1163"/>
    <w:rsid w:val="69F65CB5"/>
    <w:rsid w:val="69F96768"/>
    <w:rsid w:val="6A287F98"/>
    <w:rsid w:val="6A582B2D"/>
    <w:rsid w:val="6AB40496"/>
    <w:rsid w:val="6ABD1D5E"/>
    <w:rsid w:val="6AF33939"/>
    <w:rsid w:val="6B1A64B3"/>
    <w:rsid w:val="6B1E592E"/>
    <w:rsid w:val="6B7457A6"/>
    <w:rsid w:val="6B795D62"/>
    <w:rsid w:val="6BC747F5"/>
    <w:rsid w:val="6BD35CE4"/>
    <w:rsid w:val="6C0C1E82"/>
    <w:rsid w:val="6C172D01"/>
    <w:rsid w:val="6C3014BE"/>
    <w:rsid w:val="6C5D414F"/>
    <w:rsid w:val="6C761A36"/>
    <w:rsid w:val="6CA324B4"/>
    <w:rsid w:val="6CC025BB"/>
    <w:rsid w:val="6CDE17FD"/>
    <w:rsid w:val="6CE64481"/>
    <w:rsid w:val="6D1D2C91"/>
    <w:rsid w:val="6D232D3C"/>
    <w:rsid w:val="6D2F5D1E"/>
    <w:rsid w:val="6D5926FD"/>
    <w:rsid w:val="6D765805"/>
    <w:rsid w:val="6D792112"/>
    <w:rsid w:val="6E1B116C"/>
    <w:rsid w:val="6E641038"/>
    <w:rsid w:val="6E6B4DAF"/>
    <w:rsid w:val="6EBD0EA6"/>
    <w:rsid w:val="6ED173D2"/>
    <w:rsid w:val="6EE93BE3"/>
    <w:rsid w:val="6F435405"/>
    <w:rsid w:val="6F4810D8"/>
    <w:rsid w:val="6F6D2BAA"/>
    <w:rsid w:val="6F9A4A47"/>
    <w:rsid w:val="6FDE571C"/>
    <w:rsid w:val="701710D0"/>
    <w:rsid w:val="70795456"/>
    <w:rsid w:val="709946EC"/>
    <w:rsid w:val="713C2699"/>
    <w:rsid w:val="71B96608"/>
    <w:rsid w:val="72056C3D"/>
    <w:rsid w:val="720A25D0"/>
    <w:rsid w:val="72111C2A"/>
    <w:rsid w:val="724265FE"/>
    <w:rsid w:val="72702455"/>
    <w:rsid w:val="728B4E16"/>
    <w:rsid w:val="728F2E47"/>
    <w:rsid w:val="72973011"/>
    <w:rsid w:val="7298621E"/>
    <w:rsid w:val="72B73CFC"/>
    <w:rsid w:val="72E42D1B"/>
    <w:rsid w:val="72E635D7"/>
    <w:rsid w:val="731E10A5"/>
    <w:rsid w:val="734F0911"/>
    <w:rsid w:val="736054C4"/>
    <w:rsid w:val="736C572D"/>
    <w:rsid w:val="736E1E85"/>
    <w:rsid w:val="73A422EB"/>
    <w:rsid w:val="73F81666"/>
    <w:rsid w:val="74103E55"/>
    <w:rsid w:val="7447647B"/>
    <w:rsid w:val="745B622A"/>
    <w:rsid w:val="74795BDB"/>
    <w:rsid w:val="74970FC3"/>
    <w:rsid w:val="74AA3A17"/>
    <w:rsid w:val="74F21673"/>
    <w:rsid w:val="74F2486B"/>
    <w:rsid w:val="75137480"/>
    <w:rsid w:val="75195704"/>
    <w:rsid w:val="753E2D2E"/>
    <w:rsid w:val="753F3A44"/>
    <w:rsid w:val="755E2465"/>
    <w:rsid w:val="757B55F0"/>
    <w:rsid w:val="75DB13A5"/>
    <w:rsid w:val="75E552E3"/>
    <w:rsid w:val="75E87F75"/>
    <w:rsid w:val="7648538B"/>
    <w:rsid w:val="76577132"/>
    <w:rsid w:val="76BD747C"/>
    <w:rsid w:val="76CD52EB"/>
    <w:rsid w:val="76FE004A"/>
    <w:rsid w:val="77246EBB"/>
    <w:rsid w:val="77462C4C"/>
    <w:rsid w:val="778356EE"/>
    <w:rsid w:val="77A268F6"/>
    <w:rsid w:val="77CC3658"/>
    <w:rsid w:val="77CF4749"/>
    <w:rsid w:val="77D47CF8"/>
    <w:rsid w:val="7800433A"/>
    <w:rsid w:val="780F54C3"/>
    <w:rsid w:val="782C21D0"/>
    <w:rsid w:val="782C6CF7"/>
    <w:rsid w:val="78680ECD"/>
    <w:rsid w:val="787741A9"/>
    <w:rsid w:val="787B025A"/>
    <w:rsid w:val="7880670B"/>
    <w:rsid w:val="78843FBB"/>
    <w:rsid w:val="78911745"/>
    <w:rsid w:val="78EE7F5B"/>
    <w:rsid w:val="78F11CE1"/>
    <w:rsid w:val="78F66955"/>
    <w:rsid w:val="78FC7636"/>
    <w:rsid w:val="79053EDA"/>
    <w:rsid w:val="79097264"/>
    <w:rsid w:val="791440F5"/>
    <w:rsid w:val="79172D80"/>
    <w:rsid w:val="791D3993"/>
    <w:rsid w:val="79202162"/>
    <w:rsid w:val="7924138B"/>
    <w:rsid w:val="79500D88"/>
    <w:rsid w:val="79601E06"/>
    <w:rsid w:val="79691527"/>
    <w:rsid w:val="79826449"/>
    <w:rsid w:val="7986634E"/>
    <w:rsid w:val="79AE27CB"/>
    <w:rsid w:val="79D339B9"/>
    <w:rsid w:val="79F6264C"/>
    <w:rsid w:val="7A200C95"/>
    <w:rsid w:val="7A594332"/>
    <w:rsid w:val="7A7A2F9F"/>
    <w:rsid w:val="7A8564DB"/>
    <w:rsid w:val="7A8A28F0"/>
    <w:rsid w:val="7AA922B8"/>
    <w:rsid w:val="7AC22B97"/>
    <w:rsid w:val="7ACC115A"/>
    <w:rsid w:val="7ADD3CDB"/>
    <w:rsid w:val="7AEB3AC8"/>
    <w:rsid w:val="7AFF7D2D"/>
    <w:rsid w:val="7B1F77A4"/>
    <w:rsid w:val="7B292799"/>
    <w:rsid w:val="7B4312C2"/>
    <w:rsid w:val="7BC2430B"/>
    <w:rsid w:val="7BDA78A7"/>
    <w:rsid w:val="7C090682"/>
    <w:rsid w:val="7C1032C9"/>
    <w:rsid w:val="7C6A6CA8"/>
    <w:rsid w:val="7CF04E00"/>
    <w:rsid w:val="7D1E2547"/>
    <w:rsid w:val="7D41026F"/>
    <w:rsid w:val="7D59343F"/>
    <w:rsid w:val="7D89270F"/>
    <w:rsid w:val="7D9121E7"/>
    <w:rsid w:val="7DAB14FB"/>
    <w:rsid w:val="7DB13731"/>
    <w:rsid w:val="7DDC6234"/>
    <w:rsid w:val="7E0806FB"/>
    <w:rsid w:val="7E0A78B3"/>
    <w:rsid w:val="7E0D76D6"/>
    <w:rsid w:val="7E2912F3"/>
    <w:rsid w:val="7E49359B"/>
    <w:rsid w:val="7E527BC8"/>
    <w:rsid w:val="7E90249F"/>
    <w:rsid w:val="7EFC2E31"/>
    <w:rsid w:val="7F17496E"/>
    <w:rsid w:val="7F5D6825"/>
    <w:rsid w:val="7F6848FF"/>
    <w:rsid w:val="7F9026D0"/>
    <w:rsid w:val="7F984417"/>
    <w:rsid w:val="7FA569BD"/>
    <w:rsid w:val="7FD60385"/>
    <w:rsid w:val="7FDB730C"/>
    <w:rsid w:val="7FE71EA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4"/>
    <w:qFormat/>
    <w:uiPriority w:val="0"/>
    <w:pPr>
      <w:keepNext/>
      <w:keepLines/>
      <w:spacing w:before="260" w:after="260" w:line="416" w:lineRule="auto"/>
      <w:outlineLvl w:val="1"/>
    </w:pPr>
    <w:rPr>
      <w:rFonts w:ascii="Arial" w:hAnsi="Arial" w:eastAsia="黑体"/>
      <w:b/>
      <w:sz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Normal Indent"/>
    <w:basedOn w:val="1"/>
    <w:qFormat/>
    <w:uiPriority w:val="0"/>
    <w:pPr>
      <w:adjustRightInd w:val="0"/>
      <w:spacing w:line="360" w:lineRule="atLeast"/>
      <w:ind w:left="480"/>
      <w:textAlignment w:val="baseline"/>
    </w:pPr>
    <w:rPr>
      <w:kern w:val="0"/>
    </w:rPr>
  </w:style>
  <w:style w:type="paragraph" w:styleId="5">
    <w:name w:val="Body Text"/>
    <w:basedOn w:val="1"/>
    <w:qFormat/>
    <w:uiPriority w:val="1"/>
    <w:pPr>
      <w:ind w:left="137"/>
    </w:pPr>
    <w:rPr>
      <w:rFonts w:ascii="宋体" w:hAnsi="宋体"/>
      <w:sz w:val="20"/>
    </w:rPr>
  </w:style>
  <w:style w:type="paragraph" w:styleId="6">
    <w:name w:val="Body Text Indent"/>
    <w:basedOn w:val="1"/>
    <w:qFormat/>
    <w:uiPriority w:val="0"/>
    <w:pPr>
      <w:ind w:left="420" w:firstLine="744"/>
    </w:pPr>
    <w:rPr>
      <w:rFonts w:ascii="宋体" w:hAnsi="宋体"/>
      <w:szCs w:val="24"/>
    </w:rPr>
  </w:style>
  <w:style w:type="paragraph" w:styleId="7">
    <w:name w:val="Balloon Text"/>
    <w:basedOn w:val="1"/>
    <w:link w:val="16"/>
    <w:semiHidden/>
    <w:unhideWhenUsed/>
    <w:qFormat/>
    <w:uiPriority w:val="99"/>
    <w:rPr>
      <w:sz w:val="18"/>
      <w:szCs w:val="18"/>
    </w:rPr>
  </w:style>
  <w:style w:type="paragraph" w:styleId="8">
    <w:name w:val="footer"/>
    <w:basedOn w:val="1"/>
    <w:link w:val="15"/>
    <w:unhideWhenUsed/>
    <w:qFormat/>
    <w:uiPriority w:val="99"/>
    <w:pPr>
      <w:tabs>
        <w:tab w:val="center" w:pos="4153"/>
        <w:tab w:val="right" w:pos="8306"/>
      </w:tabs>
      <w:snapToGrid w:val="0"/>
      <w:jc w:val="left"/>
    </w:pPr>
    <w:rPr>
      <w:sz w:val="18"/>
      <w:szCs w:val="18"/>
    </w:rPr>
  </w:style>
  <w:style w:type="paragraph" w:styleId="9">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Body Text First Indent 2"/>
    <w:basedOn w:val="6"/>
    <w:unhideWhenUsed/>
    <w:qFormat/>
    <w:uiPriority w:val="99"/>
    <w:pPr>
      <w:tabs>
        <w:tab w:val="left" w:pos="540"/>
      </w:tabs>
      <w:ind w:firstLine="420" w:firstLineChars="200"/>
    </w:p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页眉 Char"/>
    <w:basedOn w:val="13"/>
    <w:link w:val="9"/>
    <w:qFormat/>
    <w:uiPriority w:val="99"/>
    <w:rPr>
      <w:rFonts w:ascii="Times New Roman" w:hAnsi="Times New Roman" w:eastAsia="宋体" w:cs="Times New Roman"/>
      <w:sz w:val="18"/>
      <w:szCs w:val="18"/>
    </w:rPr>
  </w:style>
  <w:style w:type="character" w:customStyle="1" w:styleId="15">
    <w:name w:val="页脚 Char"/>
    <w:basedOn w:val="13"/>
    <w:link w:val="8"/>
    <w:qFormat/>
    <w:uiPriority w:val="99"/>
    <w:rPr>
      <w:rFonts w:ascii="Times New Roman" w:hAnsi="Times New Roman" w:eastAsia="宋体" w:cs="Times New Roman"/>
      <w:sz w:val="18"/>
      <w:szCs w:val="18"/>
    </w:rPr>
  </w:style>
  <w:style w:type="character" w:customStyle="1" w:styleId="16">
    <w:name w:val="批注框文本 Char"/>
    <w:basedOn w:val="13"/>
    <w:link w:val="7"/>
    <w:semiHidden/>
    <w:qFormat/>
    <w:uiPriority w:val="99"/>
    <w:rPr>
      <w:rFonts w:ascii="Times New Roman" w:hAnsi="Times New Roman" w:eastAsia="宋体" w:cs="Times New Roman"/>
      <w:sz w:val="18"/>
      <w:szCs w:val="18"/>
    </w:rPr>
  </w:style>
  <w:style w:type="character" w:customStyle="1" w:styleId="17">
    <w:name w:val="Char Char1"/>
    <w:qFormat/>
    <w:locked/>
    <w:uiPriority w:val="0"/>
    <w:rPr>
      <w:rFonts w:hint="eastAsia" w:ascii="宋体" w:hAnsi="Courier New" w:eastAsia="宋体"/>
      <w:kern w:val="2"/>
      <w:sz w:val="21"/>
      <w:lang w:val="en-US" w:eastAsia="zh-CN" w:bidi="ar-SA"/>
    </w:rPr>
  </w:style>
  <w:style w:type="paragraph" w:styleId="18">
    <w:name w:val="List Paragraph"/>
    <w:basedOn w:val="1"/>
    <w:qFormat/>
    <w:uiPriority w:val="99"/>
    <w:pPr>
      <w:ind w:firstLine="420" w:firstLineChars="200"/>
    </w:pPr>
  </w:style>
  <w:style w:type="paragraph" w:customStyle="1" w:styleId="19">
    <w:name w:val="Header 9pt Table Centered"/>
    <w:basedOn w:val="1"/>
    <w:qFormat/>
    <w:uiPriority w:val="0"/>
    <w:pPr>
      <w:spacing w:before="40" w:after="40"/>
      <w:jc w:val="center"/>
    </w:pPr>
    <w:rPr>
      <w:rFonts w:ascii="Arial" w:hAnsi="Arial" w:cs="Arial"/>
      <w:b/>
      <w:bCs/>
      <w:snapToGrid w:val="0"/>
      <w:kern w:val="0"/>
      <w:sz w:val="18"/>
      <w:szCs w:val="18"/>
      <w:lang w:val="de-DE" w:eastAsia="de-DE"/>
    </w:rPr>
  </w:style>
  <w:style w:type="paragraph" w:customStyle="1" w:styleId="20">
    <w:name w:val="Body 9pt"/>
    <w:basedOn w:val="1"/>
    <w:qFormat/>
    <w:uiPriority w:val="0"/>
    <w:pPr>
      <w:spacing w:before="40" w:after="40"/>
    </w:pPr>
    <w:rPr>
      <w:rFonts w:eastAsia="Times New Roman"/>
      <w:sz w:val="18"/>
      <w:lang w:val="de-DE" w:eastAsia="de-D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7050</Words>
  <Characters>7575</Characters>
  <Lines>50</Lines>
  <Paragraphs>14</Paragraphs>
  <TotalTime>9</TotalTime>
  <ScaleCrop>false</ScaleCrop>
  <LinksUpToDate>false</LinksUpToDate>
  <CharactersWithSpaces>7781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2021-11-21T14:48:00Z</dcterms:created>
  <dc:creator>微软用户</dc:creator>
  <cp:lastModifiedBy>付正</cp:lastModifiedBy>
  <dcterms:modified xsi:type="dcterms:W3CDTF">2022-12-11T13:42:58Z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45C7D02E2C234621A8D05971D43C126B</vt:lpwstr>
  </property>
</Properties>
</file>