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隶书" w:eastAsia="隶书" w:cs="隶书"/>
          <w:sz w:val="36"/>
          <w:szCs w:val="36"/>
        </w:rPr>
      </w:pPr>
      <w:r>
        <w:rPr>
          <w:rFonts w:hint="eastAsia" w:ascii="隶书" w:hAnsi="隶书" w:eastAsia="隶书" w:cs="隶书"/>
          <w:b/>
          <w:bCs/>
          <w:sz w:val="36"/>
          <w:szCs w:val="36"/>
        </w:rPr>
        <w:t>管理体系审核记录表</w:t>
      </w:r>
    </w:p>
    <w:tbl>
      <w:tblPr>
        <w:tblStyle w:val="7"/>
        <w:tblpPr w:leftFromText="180" w:rightFromText="180" w:vertAnchor="text" w:horzAnchor="page" w:tblpX="1011" w:tblpY="4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088"/>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2" w:type="dxa"/>
            <w:vMerge w:val="restart"/>
            <w:vAlign w:val="center"/>
          </w:tcPr>
          <w:p>
            <w:pPr>
              <w:spacing w:before="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过程与活动、</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抽样计划</w:t>
            </w:r>
          </w:p>
        </w:tc>
        <w:tc>
          <w:tcPr>
            <w:tcW w:w="1088" w:type="dxa"/>
            <w:vMerge w:val="restar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tc>
        <w:tc>
          <w:tcPr>
            <w:tcW w:w="10455" w:type="dxa"/>
            <w:vAlign w:val="center"/>
          </w:tcPr>
          <w:p>
            <w:pPr>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受审核部门：</w:t>
            </w:r>
            <w:r>
              <w:rPr>
                <w:rFonts w:hint="eastAsia" w:ascii="宋体" w:hAnsi="宋体" w:eastAsia="宋体" w:cs="宋体"/>
                <w:color w:val="auto"/>
                <w:sz w:val="21"/>
                <w:szCs w:val="21"/>
                <w:highlight w:val="none"/>
                <w:lang w:val="en-US" w:eastAsia="zh-CN"/>
              </w:rPr>
              <w:t>销售部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主管领导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严凡伟            </w:t>
            </w:r>
            <w:r>
              <w:rPr>
                <w:rFonts w:hint="eastAsia" w:ascii="宋体" w:hAnsi="宋体" w:eastAsia="宋体" w:cs="宋体"/>
                <w:color w:val="auto"/>
                <w:sz w:val="21"/>
                <w:szCs w:val="21"/>
                <w:highlight w:val="none"/>
              </w:rPr>
              <w:t>陪同人员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胡利利</w:t>
            </w:r>
          </w:p>
        </w:tc>
        <w:tc>
          <w:tcPr>
            <w:tcW w:w="1134" w:type="dxa"/>
            <w:vMerge w:val="restart"/>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2" w:type="dxa"/>
            <w:vMerge w:val="continue"/>
            <w:vAlign w:val="center"/>
          </w:tcPr>
          <w:p>
            <w:pPr>
              <w:spacing w:line="360" w:lineRule="auto"/>
              <w:rPr>
                <w:rFonts w:hint="eastAsia" w:ascii="宋体" w:hAnsi="宋体" w:eastAsia="宋体" w:cs="宋体"/>
                <w:color w:val="auto"/>
                <w:sz w:val="21"/>
                <w:szCs w:val="21"/>
                <w:highlight w:val="none"/>
              </w:rPr>
            </w:pPr>
          </w:p>
        </w:tc>
        <w:tc>
          <w:tcPr>
            <w:tcW w:w="1088" w:type="dxa"/>
            <w:vMerge w:val="continue"/>
            <w:vAlign w:val="center"/>
          </w:tcPr>
          <w:p>
            <w:pPr>
              <w:spacing w:line="360" w:lineRule="auto"/>
              <w:rPr>
                <w:rFonts w:hint="eastAsia" w:ascii="宋体" w:hAnsi="宋体" w:eastAsia="宋体" w:cs="宋体"/>
                <w:color w:val="auto"/>
                <w:sz w:val="21"/>
                <w:szCs w:val="21"/>
                <w:highlight w:val="none"/>
              </w:rPr>
            </w:pPr>
          </w:p>
        </w:tc>
        <w:tc>
          <w:tcPr>
            <w:tcW w:w="10455" w:type="dxa"/>
            <w:vAlign w:val="center"/>
          </w:tcPr>
          <w:p>
            <w:pPr>
              <w:spacing w:before="12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审核员：</w:t>
            </w:r>
            <w:r>
              <w:rPr>
                <w:rFonts w:hint="eastAsia" w:ascii="宋体" w:hAnsi="宋体" w:eastAsia="宋体" w:cs="宋体"/>
                <w:color w:val="auto"/>
                <w:sz w:val="21"/>
                <w:szCs w:val="21"/>
                <w:highlight w:val="none"/>
                <w:lang w:val="en-US" w:eastAsia="zh-CN"/>
              </w:rPr>
              <w:t>温红玲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远程微信</w:t>
            </w:r>
            <w:r>
              <w:rPr>
                <w:rFonts w:hint="eastAsia" w:ascii="宋体" w:hAnsi="宋体" w:eastAsia="宋体" w:cs="宋体"/>
                <w:color w:val="auto"/>
                <w:sz w:val="21"/>
                <w:szCs w:val="21"/>
                <w:highlight w:val="none"/>
                <w:lang w:val="en-US" w:eastAsia="zh-CN"/>
              </w:rPr>
              <w:t xml:space="preserve">沟通）        </w:t>
            </w:r>
            <w:r>
              <w:rPr>
                <w:rFonts w:hint="eastAsia" w:ascii="宋体" w:hAnsi="宋体" w:eastAsia="宋体" w:cs="宋体"/>
                <w:color w:val="auto"/>
                <w:sz w:val="21"/>
                <w:szCs w:val="21"/>
                <w:highlight w:val="none"/>
              </w:rPr>
              <w:t>审核时间：202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7～2022.12.8</w:t>
            </w:r>
          </w:p>
        </w:tc>
        <w:tc>
          <w:tcPr>
            <w:tcW w:w="1134" w:type="dxa"/>
            <w:vMerge w:val="continue"/>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2" w:type="dxa"/>
            <w:vMerge w:val="continue"/>
            <w:vAlign w:val="center"/>
          </w:tcPr>
          <w:p>
            <w:pPr>
              <w:spacing w:line="360" w:lineRule="auto"/>
              <w:rPr>
                <w:rFonts w:hint="eastAsia" w:ascii="宋体" w:hAnsi="宋体" w:eastAsia="宋体" w:cs="宋体"/>
                <w:color w:val="auto"/>
                <w:sz w:val="21"/>
                <w:szCs w:val="21"/>
                <w:highlight w:val="none"/>
              </w:rPr>
            </w:pPr>
          </w:p>
        </w:tc>
        <w:tc>
          <w:tcPr>
            <w:tcW w:w="1088" w:type="dxa"/>
            <w:vMerge w:val="continue"/>
            <w:vAlign w:val="center"/>
          </w:tcPr>
          <w:p>
            <w:pPr>
              <w:spacing w:line="360" w:lineRule="auto"/>
              <w:rPr>
                <w:rFonts w:hint="eastAsia" w:ascii="宋体" w:hAnsi="宋体" w:eastAsia="宋体" w:cs="宋体"/>
                <w:color w:val="auto"/>
                <w:sz w:val="21"/>
                <w:szCs w:val="21"/>
                <w:highlight w:val="none"/>
              </w:rPr>
            </w:pPr>
          </w:p>
        </w:tc>
        <w:tc>
          <w:tcPr>
            <w:tcW w:w="10455" w:type="dxa"/>
            <w:vAlign w:val="center"/>
          </w:tcPr>
          <w:p>
            <w:pPr>
              <w:pStyle w:val="1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审核条款：</w:t>
            </w:r>
          </w:p>
          <w:p>
            <w:pPr>
              <w:pStyle w:val="1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sz w:val="21"/>
                <w:szCs w:val="21"/>
                <w:highlight w:val="none"/>
                <w:lang w:eastAsia="zh-CN"/>
              </w:rPr>
              <w:t>QMS:</w:t>
            </w:r>
            <w:r>
              <w:rPr>
                <w:rFonts w:hint="eastAsia" w:ascii="宋体" w:hAnsi="宋体" w:eastAsia="宋体" w:cs="宋体"/>
                <w:color w:val="auto"/>
                <w:sz w:val="21"/>
                <w:szCs w:val="21"/>
                <w:highlight w:val="none"/>
                <w:lang w:eastAsia="zh-CN"/>
              </w:rPr>
              <w:t>5.3组织的岗位、职责和权限、6.2质量目标、7.4沟通/信息交流 、8.1运行策划和控制、8.2产品和服务的要求、8.5.1销售和服务提供的控制、8.5.2产品标识和可追朔性、8.5.3顾客或外部供方的财产、8.5.4产品防护、8.5.5交付后的活动、8.5.6销售和服务提供的更改控制、9.1.2顾客满意</w:t>
            </w:r>
          </w:p>
          <w:p>
            <w:pPr>
              <w:pStyle w:val="1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sz w:val="21"/>
                <w:szCs w:val="21"/>
                <w:highlight w:val="none"/>
                <w:lang w:eastAsia="zh-CN"/>
              </w:rPr>
              <w:t>E/OMS:</w:t>
            </w:r>
            <w:r>
              <w:rPr>
                <w:rFonts w:hint="eastAsia" w:ascii="宋体" w:hAnsi="宋体" w:eastAsia="宋体" w:cs="宋体"/>
                <w:color w:val="auto"/>
                <w:sz w:val="21"/>
                <w:szCs w:val="21"/>
                <w:highlight w:val="none"/>
                <w:lang w:eastAsia="zh-CN"/>
              </w:rPr>
              <w:t>5.3组织的岗位、职责和权限、6.2环境与职业健康安全目标、6.1.2环境因素/危险源辨识与评价、8.1运行策划和控制、8.2应急准备和响应</w:t>
            </w:r>
          </w:p>
        </w:tc>
        <w:tc>
          <w:tcPr>
            <w:tcW w:w="1134" w:type="dxa"/>
            <w:vMerge w:val="continue"/>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32" w:type="dxa"/>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组织的岗位职责和权限</w:t>
            </w:r>
          </w:p>
          <w:p>
            <w:pPr>
              <w:spacing w:line="360" w:lineRule="auto"/>
              <w:rPr>
                <w:rFonts w:hint="eastAsia" w:ascii="宋体" w:hAnsi="宋体" w:eastAsia="宋体" w:cs="宋体"/>
                <w:b/>
                <w:color w:val="auto"/>
                <w:sz w:val="21"/>
                <w:szCs w:val="21"/>
                <w:highlight w:val="none"/>
              </w:rPr>
            </w:pPr>
          </w:p>
        </w:tc>
        <w:tc>
          <w:tcPr>
            <w:tcW w:w="1088" w:type="dxa"/>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Q</w:t>
            </w:r>
            <w:r>
              <w:rPr>
                <w:rFonts w:hint="eastAsia" w:ascii="宋体" w:hAnsi="宋体" w:eastAsia="宋体" w:cs="宋体"/>
                <w:color w:val="auto"/>
                <w:kern w:val="0"/>
                <w:sz w:val="21"/>
                <w:szCs w:val="21"/>
                <w:highlight w:val="none"/>
                <w:lang w:val="en-US" w:eastAsia="zh-CN"/>
              </w:rPr>
              <w:t>EO</w:t>
            </w:r>
            <w:r>
              <w:rPr>
                <w:rFonts w:hint="eastAsia" w:ascii="宋体" w:hAnsi="宋体" w:eastAsia="宋体" w:cs="宋体"/>
                <w:color w:val="auto"/>
                <w:kern w:val="0"/>
                <w:sz w:val="21"/>
                <w:szCs w:val="21"/>
                <w:highlight w:val="none"/>
              </w:rPr>
              <w:t>5.3</w:t>
            </w:r>
          </w:p>
          <w:p>
            <w:pPr>
              <w:spacing w:line="360" w:lineRule="auto"/>
              <w:rPr>
                <w:rFonts w:hint="eastAsia" w:ascii="宋体" w:hAnsi="宋体" w:eastAsia="宋体" w:cs="宋体"/>
                <w:color w:val="auto"/>
                <w:kern w:val="0"/>
                <w:sz w:val="21"/>
                <w:szCs w:val="21"/>
                <w:highlight w:val="none"/>
              </w:rPr>
            </w:pPr>
          </w:p>
          <w:p>
            <w:pPr>
              <w:spacing w:line="360" w:lineRule="auto"/>
              <w:rPr>
                <w:rFonts w:hint="eastAsia" w:ascii="宋体" w:hAnsi="宋体" w:eastAsia="宋体" w:cs="宋体"/>
                <w:b/>
                <w:color w:val="auto"/>
                <w:sz w:val="21"/>
                <w:szCs w:val="21"/>
                <w:highlight w:val="none"/>
              </w:rPr>
            </w:pPr>
          </w:p>
        </w:tc>
        <w:tc>
          <w:tcPr>
            <w:tcW w:w="10455" w:type="dxa"/>
          </w:tcPr>
          <w:p>
            <w:pPr>
              <w:spacing w:line="360" w:lineRule="auto"/>
              <w:ind w:firstLine="420"/>
              <w:rPr>
                <w:rFonts w:hint="eastAsia"/>
                <w:color w:val="auto"/>
                <w:highlight w:val="none"/>
                <w:lang w:eastAsia="zh-CN"/>
              </w:rPr>
            </w:pPr>
            <w:r>
              <w:rPr>
                <w:rFonts w:hint="eastAsia"/>
                <w:color w:val="auto"/>
                <w:highlight w:val="none"/>
                <w:lang w:val="en-US" w:eastAsia="zh-CN"/>
              </w:rPr>
              <w:t>与部门负责人沟通，</w:t>
            </w:r>
            <w:r>
              <w:rPr>
                <w:rFonts w:hint="eastAsia"/>
                <w:color w:val="auto"/>
                <w:highlight w:val="none"/>
              </w:rPr>
              <w:t>本部门主要</w:t>
            </w:r>
            <w:r>
              <w:rPr>
                <w:rFonts w:hint="eastAsia"/>
                <w:color w:val="auto"/>
                <w:highlight w:val="none"/>
                <w:lang w:val="en-US" w:eastAsia="zh-CN"/>
              </w:rPr>
              <w:t>职</w:t>
            </w:r>
            <w:r>
              <w:rPr>
                <w:rFonts w:hint="eastAsia"/>
                <w:color w:val="auto"/>
                <w:highlight w:val="none"/>
              </w:rPr>
              <w:t>责</w:t>
            </w:r>
            <w:r>
              <w:rPr>
                <w:rFonts w:hint="eastAsia"/>
                <w:color w:val="auto"/>
                <w:highlight w:val="none"/>
                <w:lang w:eastAsia="zh-CN"/>
              </w:rPr>
              <w:t>：</w:t>
            </w:r>
          </w:p>
          <w:p>
            <w:pPr>
              <w:pStyle w:val="10"/>
              <w:spacing w:line="360" w:lineRule="auto"/>
              <w:rPr>
                <w:rFonts w:hint="eastAsia"/>
                <w:color w:val="auto"/>
                <w:highlight w:val="none"/>
                <w:lang w:val="en-US" w:eastAsia="zh-CN"/>
              </w:rPr>
            </w:pPr>
            <w:r>
              <w:rPr>
                <w:rFonts w:hint="eastAsia"/>
                <w:color w:val="auto"/>
                <w:highlight w:val="none"/>
                <w:lang w:val="en-US" w:eastAsia="zh-CN"/>
              </w:rPr>
              <w:t xml:space="preserve">      1）必须遵守国家有关法律、法规、政策，按公司制订的经营政策，承揽生产任务和回收产品货款，对任务量、回款率和经营中的经济成本负责；</w:t>
            </w:r>
          </w:p>
          <w:p>
            <w:pPr>
              <w:pStyle w:val="10"/>
              <w:spacing w:line="360" w:lineRule="auto"/>
              <w:rPr>
                <w:rFonts w:hint="eastAsia"/>
                <w:color w:val="auto"/>
                <w:highlight w:val="none"/>
                <w:lang w:val="en-US" w:eastAsia="zh-CN"/>
              </w:rPr>
            </w:pPr>
            <w:r>
              <w:rPr>
                <w:rFonts w:hint="eastAsia"/>
                <w:color w:val="auto"/>
                <w:highlight w:val="none"/>
                <w:lang w:val="en-US" w:eastAsia="zh-CN"/>
              </w:rPr>
              <w:t>2）负责同顾客接洽，掌握市场信息，对生产产品进行跟踪，明确顾客的要求，向顾客提供有关外部质量保证；</w:t>
            </w:r>
          </w:p>
          <w:p>
            <w:pPr>
              <w:pStyle w:val="10"/>
              <w:spacing w:line="360" w:lineRule="auto"/>
              <w:rPr>
                <w:rFonts w:hint="eastAsia"/>
                <w:color w:val="auto"/>
                <w:highlight w:val="none"/>
                <w:lang w:val="en-US" w:eastAsia="zh-CN"/>
              </w:rPr>
            </w:pPr>
            <w:r>
              <w:rPr>
                <w:rFonts w:hint="eastAsia"/>
                <w:color w:val="auto"/>
                <w:highlight w:val="none"/>
                <w:lang w:val="en-US" w:eastAsia="zh-CN"/>
              </w:rPr>
              <w:t>3）负责按有关工作程序对顾客要求进行评审及修订评审，签定合同和生产计划方案的制定协调落化；并承担相关质量责任；</w:t>
            </w:r>
          </w:p>
          <w:p>
            <w:pPr>
              <w:pStyle w:val="10"/>
              <w:spacing w:line="360" w:lineRule="auto"/>
              <w:rPr>
                <w:rFonts w:hint="eastAsia"/>
                <w:color w:val="auto"/>
                <w:highlight w:val="none"/>
                <w:lang w:val="en-US" w:eastAsia="zh-CN"/>
              </w:rPr>
            </w:pPr>
            <w:r>
              <w:rPr>
                <w:rFonts w:hint="eastAsia"/>
                <w:color w:val="auto"/>
                <w:highlight w:val="none"/>
                <w:lang w:val="en-US" w:eastAsia="zh-CN"/>
              </w:rPr>
              <w:t>4）负责对顾客满意度的监视和测量，及时收集未满足客户预期要求的申诉，将记录传递到各部门，协助其他部门处理申诉；</w:t>
            </w:r>
          </w:p>
          <w:p>
            <w:pPr>
              <w:pStyle w:val="10"/>
              <w:spacing w:line="360" w:lineRule="auto"/>
              <w:rPr>
                <w:rFonts w:hint="eastAsia"/>
                <w:color w:val="auto"/>
                <w:highlight w:val="none"/>
                <w:lang w:val="en-US" w:eastAsia="zh-CN"/>
              </w:rPr>
            </w:pPr>
            <w:r>
              <w:rPr>
                <w:rFonts w:hint="eastAsia"/>
                <w:color w:val="auto"/>
                <w:highlight w:val="none"/>
                <w:lang w:val="en-US" w:eastAsia="zh-CN"/>
              </w:rPr>
              <w:t>5）合同签定后，依据顾客通过电话、传真或申请单等形式提出的产品要求，及时下发“商品产品生产任务单”；</w:t>
            </w:r>
          </w:p>
          <w:p>
            <w:pPr>
              <w:pStyle w:val="10"/>
              <w:spacing w:line="360" w:lineRule="auto"/>
              <w:rPr>
                <w:rFonts w:hint="eastAsia"/>
                <w:color w:val="auto"/>
                <w:highlight w:val="none"/>
                <w:lang w:val="en-US" w:eastAsia="zh-CN"/>
              </w:rPr>
            </w:pPr>
            <w:r>
              <w:rPr>
                <w:rFonts w:hint="eastAsia"/>
                <w:color w:val="auto"/>
                <w:highlight w:val="none"/>
                <w:lang w:val="en-US" w:eastAsia="zh-CN"/>
              </w:rPr>
              <w:t>6）负责对本系统中的人员教育和管理工作，不断提高人员的质量意识和素质，做好生产过程中的与其他部门的配合接口工作。</w:t>
            </w:r>
          </w:p>
          <w:p>
            <w:pPr>
              <w:pStyle w:val="10"/>
              <w:spacing w:line="360" w:lineRule="auto"/>
              <w:rPr>
                <w:rFonts w:hint="eastAsia"/>
                <w:color w:val="auto"/>
                <w:highlight w:val="none"/>
                <w:lang w:val="en-US" w:eastAsia="zh-CN"/>
              </w:rPr>
            </w:pPr>
            <w:r>
              <w:rPr>
                <w:rFonts w:hint="eastAsia"/>
                <w:color w:val="auto"/>
                <w:highlight w:val="none"/>
                <w:lang w:val="en-US" w:eastAsia="zh-CN"/>
              </w:rPr>
              <w:t>7）识别并控制本部门的环境因素及危险因素，落化本部门的体系目标和指标。</w:t>
            </w:r>
          </w:p>
          <w:p>
            <w:pPr>
              <w:pStyle w:val="10"/>
              <w:spacing w:line="360" w:lineRule="auto"/>
              <w:rPr>
                <w:rFonts w:hint="eastAsia"/>
                <w:color w:val="auto"/>
                <w:highlight w:val="none"/>
                <w:lang w:val="en-US" w:eastAsia="zh-CN"/>
              </w:rPr>
            </w:pPr>
            <w:r>
              <w:rPr>
                <w:rFonts w:hint="eastAsia"/>
                <w:color w:val="auto"/>
                <w:highlight w:val="none"/>
                <w:lang w:val="en-US" w:eastAsia="zh-CN"/>
              </w:rPr>
              <w:t>8)负责各种原材料、配件及辅助材料等物资的采购供应管理、贮存、保管和发放的工作，并标识完好和对采购成本负责；</w:t>
            </w:r>
          </w:p>
          <w:p>
            <w:pPr>
              <w:pStyle w:val="10"/>
              <w:spacing w:line="360" w:lineRule="auto"/>
              <w:rPr>
                <w:rFonts w:hint="eastAsia"/>
                <w:color w:val="auto"/>
                <w:highlight w:val="none"/>
                <w:lang w:val="en-US" w:eastAsia="zh-CN"/>
              </w:rPr>
            </w:pPr>
            <w:r>
              <w:rPr>
                <w:rFonts w:hint="eastAsia"/>
                <w:color w:val="auto"/>
                <w:highlight w:val="none"/>
                <w:lang w:val="en-US" w:eastAsia="zh-CN"/>
              </w:rPr>
              <w:t>9)负责管理体系中有关材料管理、供应中的责任，发现问题时要及时与有关部门联系及时进行纠正，并不断进行质量改进；</w:t>
            </w:r>
          </w:p>
          <w:p>
            <w:pPr>
              <w:pStyle w:val="10"/>
              <w:spacing w:line="360" w:lineRule="auto"/>
              <w:rPr>
                <w:rFonts w:hint="eastAsia"/>
                <w:color w:val="auto"/>
                <w:highlight w:val="none"/>
                <w:lang w:val="en-US" w:eastAsia="zh-CN"/>
              </w:rPr>
            </w:pPr>
            <w:r>
              <w:rPr>
                <w:rFonts w:hint="eastAsia"/>
                <w:color w:val="auto"/>
                <w:highlight w:val="none"/>
                <w:lang w:val="en-US" w:eastAsia="zh-CN"/>
              </w:rPr>
              <w:t>10)负责各种材料的料账进出业务报表等业务；</w:t>
            </w:r>
          </w:p>
          <w:p>
            <w:pPr>
              <w:pStyle w:val="10"/>
              <w:spacing w:line="360" w:lineRule="auto"/>
              <w:rPr>
                <w:rFonts w:hint="eastAsia"/>
                <w:color w:val="auto"/>
                <w:highlight w:val="none"/>
                <w:lang w:val="en-US" w:eastAsia="zh-CN"/>
              </w:rPr>
            </w:pPr>
            <w:r>
              <w:rPr>
                <w:rFonts w:hint="eastAsia"/>
                <w:color w:val="auto"/>
                <w:highlight w:val="none"/>
                <w:lang w:val="en-US" w:eastAsia="zh-CN"/>
              </w:rPr>
              <w:t>11)负责收集整理、保存、传递各种材料的有关技术、资质、质量证明等相关资料；</w:t>
            </w:r>
          </w:p>
          <w:p>
            <w:pPr>
              <w:pStyle w:val="10"/>
              <w:spacing w:line="360" w:lineRule="auto"/>
              <w:rPr>
                <w:rFonts w:hint="eastAsia"/>
                <w:color w:val="auto"/>
                <w:highlight w:val="none"/>
                <w:lang w:val="en-US" w:eastAsia="zh-CN"/>
              </w:rPr>
            </w:pPr>
            <w:r>
              <w:rPr>
                <w:rFonts w:hint="eastAsia"/>
                <w:color w:val="auto"/>
                <w:highlight w:val="none"/>
                <w:lang w:val="en-US" w:eastAsia="zh-CN"/>
              </w:rPr>
              <w:t>12）按时采购物资以保证生产、修理等顺利进行；</w:t>
            </w:r>
          </w:p>
          <w:p>
            <w:pPr>
              <w:pStyle w:val="10"/>
              <w:spacing w:line="360" w:lineRule="auto"/>
              <w:rPr>
                <w:rFonts w:hint="eastAsia"/>
                <w:color w:val="auto"/>
                <w:highlight w:val="none"/>
                <w:lang w:val="en-US" w:eastAsia="zh-CN"/>
              </w:rPr>
            </w:pPr>
            <w:r>
              <w:rPr>
                <w:rFonts w:hint="eastAsia"/>
                <w:color w:val="auto"/>
                <w:highlight w:val="none"/>
                <w:lang w:val="en-US" w:eastAsia="zh-CN"/>
              </w:rPr>
              <w:t>13）识别并控制本部门的环境因素及危险因素，落化本部门的体系目标和指标。</w:t>
            </w:r>
          </w:p>
          <w:p>
            <w:pPr>
              <w:spacing w:line="360" w:lineRule="auto"/>
              <w:ind w:firstLine="420"/>
              <w:rPr>
                <w:rFonts w:hint="default"/>
                <w:color w:val="auto"/>
                <w:highlight w:val="none"/>
                <w:lang w:val="en-US"/>
              </w:rPr>
            </w:pPr>
            <w:r>
              <w:rPr>
                <w:rFonts w:hint="eastAsia" w:ascii="宋体" w:hAnsi="宋体" w:eastAsia="宋体" w:cs="宋体"/>
                <w:color w:val="auto"/>
                <w:sz w:val="21"/>
                <w:szCs w:val="21"/>
                <w:highlight w:val="none"/>
                <w:lang w:val="en-US" w:eastAsia="zh-CN"/>
              </w:rPr>
              <w:t>部门负责人明确其职责和权限。</w:t>
            </w:r>
          </w:p>
        </w:tc>
        <w:tc>
          <w:tcPr>
            <w:tcW w:w="1134" w:type="dxa"/>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vAlign w:val="top"/>
          </w:tcPr>
          <w:p>
            <w:pPr>
              <w:keepNext w:val="0"/>
              <w:keepLines w:val="0"/>
              <w:widowControl/>
              <w:suppressLineNumbers w:val="0"/>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环境因素/危险源识别评价</w:t>
            </w:r>
          </w:p>
        </w:tc>
        <w:tc>
          <w:tcPr>
            <w:tcW w:w="1088" w:type="dxa"/>
            <w:vAlign w:val="top"/>
          </w:tcPr>
          <w:p>
            <w:pPr>
              <w:pStyle w:val="10"/>
              <w:spacing w:line="36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EO6.1.2</w:t>
            </w:r>
          </w:p>
        </w:tc>
        <w:tc>
          <w:tcPr>
            <w:tcW w:w="10455" w:type="dxa"/>
            <w:vAlign w:val="top"/>
          </w:tcPr>
          <w:p>
            <w:pPr>
              <w:spacing w:line="360" w:lineRule="auto"/>
              <w:ind w:firstLine="420" w:firstLineChars="200"/>
              <w:rPr>
                <w:rFonts w:hint="eastAsia"/>
                <w:lang w:val="en-US" w:eastAsia="zh-CN"/>
              </w:rPr>
            </w:pPr>
            <w:r>
              <w:rPr>
                <w:rFonts w:hint="eastAsia"/>
                <w:lang w:val="en-US" w:eastAsia="zh-CN"/>
              </w:rPr>
              <w:t>编制了《环境因素识别与评价控制程序》、《危险源辨识、风险评价和控制措施程序》，对环境因素、危险源的识别、评价结果、控制手段等做出了规定。部门负责人介绍了对环境因素、危险源进行了辨识，考虑了三种时态，过去、现在和将来，三种状态，正常、异常和紧急，按照办公区域及工作过程，另外按照区域及工作过程等进行了辨识。</w:t>
            </w:r>
          </w:p>
          <w:p>
            <w:pPr>
              <w:spacing w:line="360" w:lineRule="auto"/>
              <w:ind w:firstLine="420" w:firstLineChars="200"/>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3851910</wp:posOffset>
                  </wp:positionH>
                  <wp:positionV relativeFrom="paragraph">
                    <wp:posOffset>283210</wp:posOffset>
                  </wp:positionV>
                  <wp:extent cx="1744980" cy="859155"/>
                  <wp:effectExtent l="0" t="0" r="7620" b="4445"/>
                  <wp:wrapNone/>
                  <wp:docPr id="16" name="图片 16" descr="167183688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71836886246"/>
                          <pic:cNvPicPr>
                            <a:picLocks noChangeAspect="1"/>
                          </pic:cNvPicPr>
                        </pic:nvPicPr>
                        <pic:blipFill>
                          <a:blip r:embed="rId5"/>
                          <a:stretch>
                            <a:fillRect/>
                          </a:stretch>
                        </pic:blipFill>
                        <pic:spPr>
                          <a:xfrm>
                            <a:off x="0" y="0"/>
                            <a:ext cx="1744980" cy="859155"/>
                          </a:xfrm>
                          <a:prstGeom prst="rect">
                            <a:avLst/>
                          </a:prstGeom>
                        </pic:spPr>
                      </pic:pic>
                    </a:graphicData>
                  </a:graphic>
                </wp:anchor>
              </w:drawing>
            </w:r>
            <w:r>
              <w:rPr>
                <w:rFonts w:hint="eastAsia"/>
                <w:lang w:val="en-US" w:eastAsia="zh-CN"/>
              </w:rPr>
              <w:drawing>
                <wp:anchor distT="0" distB="0" distL="114300" distR="114300" simplePos="0" relativeHeight="251664384" behindDoc="0" locked="0" layoutInCell="1" allowOverlap="1">
                  <wp:simplePos x="0" y="0"/>
                  <wp:positionH relativeFrom="column">
                    <wp:posOffset>1800225</wp:posOffset>
                  </wp:positionH>
                  <wp:positionV relativeFrom="paragraph">
                    <wp:posOffset>207010</wp:posOffset>
                  </wp:positionV>
                  <wp:extent cx="2000885" cy="996315"/>
                  <wp:effectExtent l="0" t="0" r="5715" b="6985"/>
                  <wp:wrapNone/>
                  <wp:docPr id="19" name="图片 19" descr="167183953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71839537280"/>
                          <pic:cNvPicPr>
                            <a:picLocks noChangeAspect="1"/>
                          </pic:cNvPicPr>
                        </pic:nvPicPr>
                        <pic:blipFill>
                          <a:blip r:embed="rId6"/>
                          <a:stretch>
                            <a:fillRect/>
                          </a:stretch>
                        </pic:blipFill>
                        <pic:spPr>
                          <a:xfrm>
                            <a:off x="0" y="0"/>
                            <a:ext cx="2000885" cy="996315"/>
                          </a:xfrm>
                          <a:prstGeom prst="rect">
                            <a:avLst/>
                          </a:prstGeom>
                        </pic:spPr>
                      </pic:pic>
                    </a:graphicData>
                  </a:graphic>
                </wp:anchor>
              </w:drawing>
            </w:r>
            <w:r>
              <w:rPr>
                <w:rFonts w:hint="eastAsia"/>
                <w:lang w:val="en-US" w:eastAsia="zh-CN"/>
              </w:rPr>
              <w:drawing>
                <wp:anchor distT="0" distB="0" distL="114300" distR="114300" simplePos="0" relativeHeight="251662336" behindDoc="0" locked="0" layoutInCell="1" allowOverlap="1">
                  <wp:simplePos x="0" y="0"/>
                  <wp:positionH relativeFrom="column">
                    <wp:posOffset>272415</wp:posOffset>
                  </wp:positionH>
                  <wp:positionV relativeFrom="paragraph">
                    <wp:posOffset>285115</wp:posOffset>
                  </wp:positionV>
                  <wp:extent cx="1419225" cy="900430"/>
                  <wp:effectExtent l="0" t="0" r="3175" b="1270"/>
                  <wp:wrapNone/>
                  <wp:docPr id="15" name="图片 15" descr="167183673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1836730959"/>
                          <pic:cNvPicPr>
                            <a:picLocks noChangeAspect="1"/>
                          </pic:cNvPicPr>
                        </pic:nvPicPr>
                        <pic:blipFill>
                          <a:blip r:embed="rId7"/>
                          <a:stretch>
                            <a:fillRect/>
                          </a:stretch>
                        </pic:blipFill>
                        <pic:spPr>
                          <a:xfrm>
                            <a:off x="0" y="0"/>
                            <a:ext cx="1419225" cy="900430"/>
                          </a:xfrm>
                          <a:prstGeom prst="rect">
                            <a:avLst/>
                          </a:prstGeom>
                        </pic:spPr>
                      </pic:pic>
                    </a:graphicData>
                  </a:graphic>
                </wp:anchor>
              </w:drawing>
            </w:r>
            <w:r>
              <w:rPr>
                <w:rFonts w:hint="eastAsia"/>
                <w:lang w:val="en-US" w:eastAsia="zh-CN"/>
              </w:rPr>
              <w:t>提供《环境因素评价表》、《重要环境因素清单》，评价基本合理。</w:t>
            </w: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p>
          <w:p>
            <w:pPr>
              <w:spacing w:line="360" w:lineRule="auto"/>
              <w:ind w:firstLine="420" w:firstLineChars="200"/>
              <w:rPr>
                <w:rFonts w:hint="eastAsia"/>
                <w:lang w:val="en-US" w:eastAsia="zh-CN"/>
              </w:rPr>
            </w:pPr>
            <w:r>
              <w:rPr>
                <w:rFonts w:hint="eastAsia" w:asciiTheme="minorEastAsia" w:hAnsiTheme="minorEastAsia" w:eastAsiaTheme="minorEastAsia" w:cstheme="minorEastAsia"/>
                <w:sz w:val="21"/>
                <w:szCs w:val="21"/>
                <w:lang w:val="en-US" w:eastAsia="zh-CN"/>
              </w:rPr>
              <w:drawing>
                <wp:anchor distT="0" distB="0" distL="114300" distR="114300" simplePos="0" relativeHeight="251664384" behindDoc="0" locked="0" layoutInCell="1" allowOverlap="1">
                  <wp:simplePos x="0" y="0"/>
                  <wp:positionH relativeFrom="column">
                    <wp:posOffset>2355850</wp:posOffset>
                  </wp:positionH>
                  <wp:positionV relativeFrom="paragraph">
                    <wp:posOffset>239395</wp:posOffset>
                  </wp:positionV>
                  <wp:extent cx="2628900" cy="866140"/>
                  <wp:effectExtent l="0" t="0" r="0" b="10160"/>
                  <wp:wrapNone/>
                  <wp:docPr id="17" name="图片 17" descr="167183705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71837057304"/>
                          <pic:cNvPicPr>
                            <a:picLocks noChangeAspect="1"/>
                          </pic:cNvPicPr>
                        </pic:nvPicPr>
                        <pic:blipFill>
                          <a:blip r:embed="rId8"/>
                          <a:stretch>
                            <a:fillRect/>
                          </a:stretch>
                        </pic:blipFill>
                        <pic:spPr>
                          <a:xfrm>
                            <a:off x="0" y="0"/>
                            <a:ext cx="2628900" cy="866140"/>
                          </a:xfrm>
                          <a:prstGeom prst="rect">
                            <a:avLst/>
                          </a:prstGeom>
                        </pic:spPr>
                      </pic:pic>
                    </a:graphicData>
                  </a:graphic>
                </wp:anchor>
              </w:drawing>
            </w:r>
            <w:r>
              <w:rPr>
                <w:rFonts w:hint="eastAsia" w:asciiTheme="minorEastAsia" w:hAnsiTheme="minorEastAsia" w:eastAsiaTheme="minorEastAsia" w:cstheme="minorEastAsia"/>
                <w:sz w:val="21"/>
                <w:szCs w:val="21"/>
                <w:lang w:val="en-US" w:eastAsia="zh-CN"/>
              </w:rPr>
              <w:drawing>
                <wp:anchor distT="0" distB="0" distL="114300" distR="114300" simplePos="0" relativeHeight="251665408" behindDoc="0" locked="0" layoutInCell="1" allowOverlap="1">
                  <wp:simplePos x="0" y="0"/>
                  <wp:positionH relativeFrom="column">
                    <wp:posOffset>213995</wp:posOffset>
                  </wp:positionH>
                  <wp:positionV relativeFrom="paragraph">
                    <wp:posOffset>245110</wp:posOffset>
                  </wp:positionV>
                  <wp:extent cx="2011680" cy="864870"/>
                  <wp:effectExtent l="0" t="0" r="7620" b="11430"/>
                  <wp:wrapNone/>
                  <wp:docPr id="20" name="图片 20" descr="167183962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71839622676"/>
                          <pic:cNvPicPr>
                            <a:picLocks noChangeAspect="1"/>
                          </pic:cNvPicPr>
                        </pic:nvPicPr>
                        <pic:blipFill>
                          <a:blip r:embed="rId9"/>
                          <a:stretch>
                            <a:fillRect/>
                          </a:stretch>
                        </pic:blipFill>
                        <pic:spPr>
                          <a:xfrm>
                            <a:off x="0" y="0"/>
                            <a:ext cx="2011680" cy="864870"/>
                          </a:xfrm>
                          <a:prstGeom prst="rect">
                            <a:avLst/>
                          </a:prstGeom>
                        </pic:spPr>
                      </pic:pic>
                    </a:graphicData>
                  </a:graphic>
                </wp:anchor>
              </w:drawing>
            </w:r>
            <w:r>
              <w:rPr>
                <w:rFonts w:hint="eastAsia"/>
                <w:lang w:val="en-US" w:eastAsia="zh-CN"/>
              </w:rPr>
              <w:t>提供了职业健康安全《危险源辨识与评价一览表》、《不可接受风险清单》，评价基本准确。</w:t>
            </w:r>
          </w:p>
          <w:p>
            <w:pPr>
              <w:pStyle w:val="10"/>
              <w:rPr>
                <w:rFonts w:hint="eastAsia" w:asciiTheme="minorEastAsia" w:hAnsiTheme="minorEastAsia" w:eastAsiaTheme="minorEastAsia" w:cstheme="minorEastAsia"/>
                <w:sz w:val="21"/>
                <w:szCs w:val="21"/>
                <w:lang w:val="en-US" w:eastAsia="zh-CN"/>
              </w:rPr>
            </w:pPr>
          </w:p>
          <w:p>
            <w:pPr>
              <w:pStyle w:val="10"/>
              <w:rPr>
                <w:rFonts w:hint="eastAsia" w:asciiTheme="minorEastAsia" w:hAnsiTheme="minorEastAsia" w:eastAsiaTheme="minorEastAsia" w:cstheme="minorEastAsia"/>
                <w:sz w:val="21"/>
                <w:szCs w:val="21"/>
                <w:lang w:val="en-US" w:eastAsia="zh-CN"/>
              </w:rPr>
            </w:pPr>
          </w:p>
          <w:p>
            <w:pPr>
              <w:pStyle w:val="10"/>
              <w:rPr>
                <w:rFonts w:hint="eastAsia" w:asciiTheme="minorEastAsia" w:hAnsiTheme="minorEastAsia" w:eastAsiaTheme="minorEastAsia" w:cstheme="minorEastAsia"/>
                <w:sz w:val="21"/>
                <w:szCs w:val="21"/>
                <w:lang w:val="en-US" w:eastAsia="zh-CN"/>
              </w:rPr>
            </w:pPr>
          </w:p>
          <w:p>
            <w:pPr>
              <w:pStyle w:val="10"/>
              <w:rPr>
                <w:rFonts w:hint="eastAsia" w:asciiTheme="minorEastAsia" w:hAnsiTheme="minorEastAsia" w:eastAsiaTheme="minorEastAsia" w:cstheme="minorEastAsia"/>
                <w:bCs/>
                <w:spacing w:val="10"/>
                <w:kern w:val="2"/>
                <w:sz w:val="21"/>
                <w:szCs w:val="21"/>
                <w:lang w:val="en-US" w:eastAsia="zh-CN" w:bidi="ar-SA"/>
              </w:rPr>
            </w:pPr>
          </w:p>
        </w:tc>
        <w:tc>
          <w:tcPr>
            <w:tcW w:w="1134" w:type="dxa"/>
            <w:vAlign w:val="top"/>
          </w:tcPr>
          <w:p>
            <w:pPr>
              <w:pStyle w:val="10"/>
              <w:spacing w:line="360" w:lineRule="auto"/>
              <w:ind w:firstLine="230" w:firstLineChars="100"/>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目标及其实现的策划总要求</w:t>
            </w:r>
          </w:p>
        </w:tc>
        <w:tc>
          <w:tcPr>
            <w:tcW w:w="1088" w:type="dxa"/>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Q</w:t>
            </w:r>
            <w:r>
              <w:rPr>
                <w:rFonts w:hint="eastAsia" w:ascii="宋体" w:hAnsi="宋体" w:eastAsia="宋体" w:cs="宋体"/>
                <w:color w:val="auto"/>
                <w:kern w:val="0"/>
                <w:sz w:val="21"/>
                <w:szCs w:val="21"/>
                <w:highlight w:val="none"/>
                <w:lang w:val="en-US" w:eastAsia="zh-CN"/>
              </w:rPr>
              <w:t>EO</w:t>
            </w:r>
            <w:r>
              <w:rPr>
                <w:rFonts w:hint="eastAsia" w:ascii="宋体" w:hAnsi="宋体" w:eastAsia="宋体" w:cs="宋体"/>
                <w:color w:val="auto"/>
                <w:kern w:val="0"/>
                <w:sz w:val="21"/>
                <w:szCs w:val="21"/>
                <w:highlight w:val="none"/>
              </w:rPr>
              <w:t>6.2</w:t>
            </w:r>
          </w:p>
          <w:p>
            <w:pPr>
              <w:spacing w:line="360" w:lineRule="auto"/>
              <w:rPr>
                <w:rFonts w:hint="eastAsia" w:ascii="宋体" w:hAnsi="宋体" w:eastAsia="宋体" w:cs="宋体"/>
                <w:color w:val="auto"/>
                <w:kern w:val="0"/>
                <w:sz w:val="21"/>
                <w:szCs w:val="21"/>
                <w:highlight w:val="none"/>
              </w:rPr>
            </w:pPr>
          </w:p>
          <w:p>
            <w:pPr>
              <w:spacing w:line="360" w:lineRule="auto"/>
              <w:rPr>
                <w:rFonts w:hint="eastAsia" w:ascii="宋体" w:hAnsi="宋体" w:eastAsia="宋体" w:cs="宋体"/>
                <w:b/>
                <w:color w:val="auto"/>
                <w:sz w:val="21"/>
                <w:szCs w:val="21"/>
                <w:highlight w:val="none"/>
              </w:rPr>
            </w:pPr>
          </w:p>
        </w:tc>
        <w:tc>
          <w:tcPr>
            <w:tcW w:w="10455" w:type="dxa"/>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管理目标有：                               </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13970</wp:posOffset>
                  </wp:positionV>
                  <wp:extent cx="6498590" cy="1000760"/>
                  <wp:effectExtent l="0" t="0" r="3810" b="2540"/>
                  <wp:wrapNone/>
                  <wp:docPr id="11" name="图片 11" descr="167183932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1839321056"/>
                          <pic:cNvPicPr>
                            <a:picLocks noChangeAspect="1"/>
                          </pic:cNvPicPr>
                        </pic:nvPicPr>
                        <pic:blipFill>
                          <a:blip r:embed="rId10"/>
                          <a:stretch>
                            <a:fillRect/>
                          </a:stretch>
                        </pic:blipFill>
                        <pic:spPr>
                          <a:xfrm>
                            <a:off x="0" y="0"/>
                            <a:ext cx="6498590" cy="1000760"/>
                          </a:xfrm>
                          <a:prstGeom prst="rect">
                            <a:avLst/>
                          </a:prstGeom>
                        </pic:spPr>
                      </pic:pic>
                    </a:graphicData>
                  </a:graphic>
                </wp:anchor>
              </w:drawing>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目标可测量，与公司方针一致。</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管理目标完成情况：查到目标完成情况，以上管理目标已全部完成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沟通</w:t>
            </w:r>
          </w:p>
        </w:tc>
        <w:tc>
          <w:tcPr>
            <w:tcW w:w="1088"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Q7.4</w:t>
            </w:r>
          </w:p>
        </w:tc>
        <w:tc>
          <w:tcPr>
            <w:tcW w:w="10455" w:type="dxa"/>
            <w:vAlign w:val="center"/>
          </w:tcPr>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组织按照</w:t>
            </w:r>
            <w:r>
              <w:rPr>
                <w:rFonts w:hint="eastAsia" w:ascii="宋体" w:hAnsi="宋体" w:eastAsia="宋体" w:cs="宋体"/>
                <w:sz w:val="21"/>
                <w:szCs w:val="21"/>
                <w:lang w:val="en-US" w:eastAsia="zh-CN"/>
              </w:rPr>
              <w:t>《信息沟通控制程序》</w:t>
            </w:r>
            <w:r>
              <w:rPr>
                <w:rFonts w:hint="eastAsia" w:ascii="宋体" w:hAnsi="宋体" w:eastAsia="宋体" w:cs="宋体"/>
                <w:bCs w:val="0"/>
                <w:spacing w:val="0"/>
                <w:kern w:val="2"/>
                <w:sz w:val="21"/>
                <w:szCs w:val="21"/>
                <w:lang w:val="en-US" w:eastAsia="zh-CN" w:bidi="ar-SA"/>
              </w:rPr>
              <w:t>对沟通过程进行控制，其内部沟通和协商的内容：1.沟通的信息一般包括：管理方针、目标、职责的沟通和传达；环境和相关方分析信息，生产经营中的职业健康安全风险信息；相关法律法规和其他要求的传达和合规性评价结果；顾客、员工及其他相关方要求的传递；其他信息传递。2.协商的事项有：员工参与管理方针、目标和相关程序的制定和评审;参与安全管理事务；参与改善作业状况的讨论等等。其外部沟通的内容主要包括：向顾客、供方、社区等相关方宣传组织的管理方针和管理要求；传递相关方要求的变更信息；接收、处理和答复相关方关注的职业健康安全问题；与供方、顾客业务处理过程中信息沟通；与主管部门在监督检查中的沟通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沟通方式包括：1.内部：参与方针、目标和相关文件的制定、体系文件的宣贯、内部审核和管理评审及宣传栏、口头（电话）、生产日报、检验记录、质量报表；2.外部：招投标活动、中标签订合同后评审、参与产品交付验收、保修要求及回访、投诉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抽查内部沟通案例：工作人员代表授权书，主要内容为选举</w:t>
            </w:r>
            <w:r>
              <w:rPr>
                <w:rFonts w:hint="eastAsia"/>
                <w:color w:val="000000"/>
                <w:szCs w:val="22"/>
                <w:lang w:val="en-US" w:eastAsia="zh-CN"/>
              </w:rPr>
              <w:t>饶刚</w:t>
            </w:r>
            <w:r>
              <w:rPr>
                <w:rFonts w:hint="eastAsia" w:ascii="宋体" w:hAnsi="宋体" w:eastAsia="宋体" w:cs="宋体"/>
                <w:bCs w:val="0"/>
                <w:spacing w:val="0"/>
                <w:kern w:val="2"/>
                <w:sz w:val="21"/>
                <w:szCs w:val="21"/>
                <w:lang w:val="en-US" w:eastAsia="zh-CN" w:bidi="ar-SA"/>
              </w:rPr>
              <w:t>为职业健康安全事务工作人员代表，授予其相关责权内容；授权代表：</w:t>
            </w:r>
            <w:r>
              <w:rPr>
                <w:rFonts w:hint="eastAsia" w:ascii="宋体" w:hAnsi="宋体" w:cs="宋体"/>
                <w:bCs w:val="0"/>
                <w:spacing w:val="0"/>
                <w:kern w:val="2"/>
                <w:sz w:val="21"/>
                <w:szCs w:val="21"/>
                <w:lang w:val="en-US" w:eastAsia="zh-CN" w:bidi="ar-SA"/>
              </w:rPr>
              <w:t>曾超荣</w:t>
            </w:r>
            <w:r>
              <w:rPr>
                <w:rFonts w:hint="eastAsia" w:ascii="宋体" w:hAnsi="宋体" w:eastAsia="宋体" w:cs="宋体"/>
                <w:bCs w:val="0"/>
                <w:spacing w:val="0"/>
                <w:kern w:val="2"/>
                <w:sz w:val="21"/>
                <w:szCs w:val="21"/>
                <w:lang w:val="en-US" w:eastAsia="zh-CN" w:bidi="ar-SA"/>
              </w:rPr>
              <w:t>。</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外部沟通案例：《相关方环境及职业健康安全告知书》：沟通对象：建始县泰丰水泥有限责任公司；沟通内容：环境和职业健康安全问题包括1.方针；2.配合事项；沟通方式：文件；内容基本完整，相关方有盖章，基本能够保证有效传达。</w:t>
            </w:r>
          </w:p>
        </w:tc>
        <w:tc>
          <w:tcPr>
            <w:tcW w:w="1134" w:type="dxa"/>
            <w:vAlign w:val="top"/>
          </w:tcPr>
          <w:p>
            <w:pPr>
              <w:spacing w:line="360" w:lineRule="auto"/>
              <w:rPr>
                <w:rFonts w:hint="eastAsia" w:ascii="宋体" w:hAnsi="宋体" w:eastAsia="宋体" w:cs="宋体"/>
                <w:color w:val="FF0000"/>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运行策划和控制</w:t>
            </w:r>
          </w:p>
        </w:tc>
        <w:tc>
          <w:tcPr>
            <w:tcW w:w="1088" w:type="dxa"/>
            <w:vAlign w:val="center"/>
          </w:tcPr>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Q8.1 </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p>
        </w:tc>
        <w:tc>
          <w:tcPr>
            <w:tcW w:w="10455" w:type="dxa"/>
            <w:vAlign w:val="center"/>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产品销售过程策划主要由</w:t>
            </w:r>
            <w:r>
              <w:rPr>
                <w:rFonts w:hint="eastAsia" w:ascii="宋体" w:hAnsi="宋体" w:eastAsia="宋体" w:cs="宋体"/>
                <w:color w:val="auto"/>
                <w:sz w:val="21"/>
                <w:szCs w:val="21"/>
                <w:highlight w:val="none"/>
                <w:lang w:eastAsia="zh-CN"/>
              </w:rPr>
              <w:t>销售部</w:t>
            </w:r>
            <w:r>
              <w:rPr>
                <w:rFonts w:hint="eastAsia" w:ascii="宋体" w:hAnsi="宋体" w:eastAsia="宋体" w:cs="宋体"/>
                <w:color w:val="auto"/>
                <w:sz w:val="21"/>
                <w:szCs w:val="21"/>
                <w:highlight w:val="none"/>
              </w:rPr>
              <w:t>负责完成，过程策划包含了许可范围内混凝土的的销售所需要达到的质量目标和要求。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编制了相应的过程文件：</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（1）销售流程：参加投标--合同评审--签订合同--按合同要求生产产品--验收--交付顾客--售后服务</w:t>
            </w:r>
            <w:r>
              <w:rPr>
                <w:rFonts w:hint="eastAsia" w:ascii="宋体" w:hAnsi="宋体" w:eastAsia="宋体" w:cs="宋体"/>
                <w:color w:val="auto"/>
                <w:sz w:val="21"/>
                <w:szCs w:val="21"/>
                <w:highlight w:val="none"/>
                <w:lang w:eastAsia="zh-CN"/>
              </w:rPr>
              <w:t>；</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（2）文件资源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编制了《管理手册》、《</w:t>
            </w:r>
            <w:r>
              <w:rPr>
                <w:rFonts w:hint="eastAsia" w:ascii="宋体" w:hAnsi="宋体" w:eastAsia="宋体" w:cs="宋体"/>
                <w:color w:val="auto"/>
                <w:sz w:val="21"/>
                <w:szCs w:val="21"/>
                <w:highlight w:val="none"/>
                <w:lang w:val="en-US" w:eastAsia="zh-CN"/>
              </w:rPr>
              <w:t>与顾客有关管理控制程序</w:t>
            </w:r>
            <w:r>
              <w:rPr>
                <w:rFonts w:hint="eastAsia" w:ascii="宋体" w:hAnsi="宋体" w:eastAsia="宋体" w:cs="宋体"/>
                <w:color w:val="auto"/>
                <w:sz w:val="21"/>
                <w:szCs w:val="21"/>
                <w:highlight w:val="none"/>
              </w:rPr>
              <w:t>》、销售服务规范等，对销售人员的业绩和能力进行定期考核等。制定了作业指导书《</w:t>
            </w:r>
            <w:r>
              <w:rPr>
                <w:rFonts w:hint="eastAsia" w:ascii="宋体" w:hAnsi="宋体" w:eastAsia="宋体" w:cs="宋体"/>
                <w:color w:val="auto"/>
                <w:sz w:val="21"/>
                <w:szCs w:val="21"/>
                <w:highlight w:val="none"/>
                <w:lang w:val="en-US" w:eastAsia="zh-CN"/>
              </w:rPr>
              <w:t>顾客投诉与反馈管理规定</w:t>
            </w:r>
            <w:r>
              <w:rPr>
                <w:rFonts w:hint="eastAsia" w:ascii="宋体" w:hAnsi="宋体" w:eastAsia="宋体" w:cs="宋体"/>
                <w:color w:val="auto"/>
                <w:sz w:val="21"/>
                <w:szCs w:val="21"/>
                <w:highlight w:val="none"/>
              </w:rPr>
              <w:t>》及各类记录表格。</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远程查看</w:t>
            </w:r>
            <w:r>
              <w:rPr>
                <w:rFonts w:hint="eastAsia" w:ascii="宋体" w:hAnsi="宋体" w:eastAsia="宋体" w:cs="宋体"/>
                <w:color w:val="auto"/>
                <w:sz w:val="21"/>
                <w:szCs w:val="21"/>
                <w:highlight w:val="none"/>
              </w:rPr>
              <w:t>销售各过程填写有</w:t>
            </w:r>
            <w:r>
              <w:rPr>
                <w:rFonts w:hint="eastAsia" w:ascii="宋体" w:hAnsi="宋体" w:eastAsia="宋体" w:cs="宋体"/>
                <w:color w:val="auto"/>
                <w:sz w:val="21"/>
                <w:szCs w:val="21"/>
                <w:highlight w:val="none"/>
                <w:lang w:val="en-US" w:eastAsia="zh-CN"/>
              </w:rPr>
              <w:t>《客户投诉反馈处理单》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客户订货单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送货单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收货方确认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等各种监视和测量记录；</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）资源的提供（包括场所、人力、物力、设备设施等）。</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到目前为止，组织运行没有变更，问其有关要求，基本了解。</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该公司销售服务提供过程策划符合要求。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有产品销售过程记录及发货单，均符合要求。</w:t>
            </w:r>
          </w:p>
        </w:tc>
        <w:tc>
          <w:tcPr>
            <w:tcW w:w="1134" w:type="dxa"/>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3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顾客沟通</w:t>
            </w:r>
          </w:p>
        </w:tc>
        <w:tc>
          <w:tcPr>
            <w:tcW w:w="1088" w:type="dxa"/>
          </w:tcPr>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Q</w:t>
            </w:r>
            <w:r>
              <w:rPr>
                <w:rFonts w:hint="eastAsia" w:ascii="宋体" w:hAnsi="宋体" w:eastAsia="宋体" w:cs="宋体"/>
                <w:color w:val="auto"/>
                <w:sz w:val="21"/>
                <w:szCs w:val="21"/>
                <w:highlight w:val="none"/>
              </w:rPr>
              <w:t>8.2.1</w:t>
            </w:r>
          </w:p>
        </w:tc>
        <w:tc>
          <w:tcPr>
            <w:tcW w:w="10455" w:type="dxa"/>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销售部负责人介绍沟通方式主要是电话、传真、资料传递、公司网站、广告等形式宣传本公司有关产品及公司的有关信誉等。</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针对合同洽谈、签订、履行过程中的问题，及时电话联系，明确各自的要求，执行合同。</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目前沟通效果良好。</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3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与产品和服务有关要求的确认、与产品有关要求评审</w:t>
            </w:r>
          </w:p>
        </w:tc>
        <w:tc>
          <w:tcPr>
            <w:tcW w:w="1088" w:type="dxa"/>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Q</w:t>
            </w:r>
            <w:r>
              <w:rPr>
                <w:rFonts w:hint="eastAsia" w:ascii="宋体" w:hAnsi="宋体" w:eastAsia="宋体" w:cs="宋体"/>
                <w:color w:val="auto"/>
                <w:sz w:val="21"/>
                <w:szCs w:val="21"/>
                <w:highlight w:val="none"/>
              </w:rPr>
              <w:t xml:space="preserve">8.2.2 </w:t>
            </w:r>
            <w:r>
              <w:rPr>
                <w:rFonts w:hint="eastAsia" w:ascii="宋体" w:hAnsi="宋体" w:cs="宋体"/>
                <w:color w:val="auto"/>
                <w:sz w:val="21"/>
                <w:szCs w:val="21"/>
                <w:highlight w:val="none"/>
                <w:lang w:val="en-US" w:eastAsia="zh-CN"/>
              </w:rPr>
              <w:t>Q</w:t>
            </w:r>
            <w:r>
              <w:rPr>
                <w:rFonts w:hint="eastAsia" w:ascii="宋体" w:hAnsi="宋体" w:eastAsia="宋体" w:cs="宋体"/>
                <w:color w:val="auto"/>
                <w:sz w:val="21"/>
                <w:szCs w:val="21"/>
                <w:highlight w:val="none"/>
              </w:rPr>
              <w:t>8.2.3</w:t>
            </w:r>
          </w:p>
        </w:tc>
        <w:tc>
          <w:tcPr>
            <w:tcW w:w="10455" w:type="dxa"/>
            <w:vAlign w:val="center"/>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销售部经理介绍：通过招标会、市场调查、客户的走访、电话、传真了解市场的需求状态。</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业务以招标文件、订单、合同、电话、邮件、传真等形式确定与产品有关的要求，均已保存或进行相应的记录。对顾客的要求由销售部内勤直接对顾客要求进行识别、确认，对于存在的问题直接提出和顾客进行交流沟通，在合同签订前在公司微信群内对合同的要求进行评审。</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销售副总介绍，企业收到客户需求后，销售部门内勤人员组织采购、质检、生产、</w:t>
            </w:r>
            <w:r>
              <w:rPr>
                <w:rFonts w:hint="eastAsia" w:ascii="宋体" w:hAnsi="宋体" w:cs="宋体"/>
                <w:color w:val="auto"/>
                <w:sz w:val="21"/>
                <w:szCs w:val="21"/>
                <w:highlight w:val="none"/>
                <w:lang w:val="en-US" w:eastAsia="zh-CN"/>
              </w:rPr>
              <w:t>综合部</w:t>
            </w:r>
            <w:r>
              <w:rPr>
                <w:rFonts w:hint="eastAsia" w:ascii="宋体" w:hAnsi="宋体" w:eastAsia="宋体" w:cs="宋体"/>
                <w:color w:val="auto"/>
                <w:sz w:val="21"/>
                <w:szCs w:val="21"/>
                <w:highlight w:val="none"/>
                <w:lang w:val="en-US" w:eastAsia="zh-CN"/>
              </w:rPr>
              <w:t>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公司产品和销售服务的监视和测量控制基本符合规定要求。公司规定并对原材料、过程产品、成品实施检验。</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抽查合同1 签订日期202</w:t>
            </w:r>
            <w:r>
              <w:rPr>
                <w:rFonts w:hint="eastAsia" w:ascii="宋体" w:hAnsi="宋体" w:cs="宋体"/>
                <w:color w:val="auto"/>
                <w:sz w:val="21"/>
                <w:szCs w:val="21"/>
                <w:highlight w:val="none"/>
                <w:lang w:val="en-US" w:eastAsia="zh-CN"/>
              </w:rPr>
              <w:t>2.9.17</w:t>
            </w:r>
            <w:r>
              <w:rPr>
                <w:rFonts w:hint="eastAsia" w:ascii="宋体" w:hAnsi="宋体" w:eastAsia="宋体" w:cs="宋体"/>
                <w:color w:val="auto"/>
                <w:sz w:val="21"/>
                <w:szCs w:val="21"/>
                <w:highlight w:val="none"/>
                <w:lang w:val="en-US" w:eastAsia="zh-CN"/>
              </w:rPr>
              <w:t>，顾客：</w:t>
            </w:r>
            <w:r>
              <w:rPr>
                <w:rFonts w:hint="eastAsia" w:ascii="宋体" w:hAnsi="宋体" w:cs="宋体"/>
                <w:color w:val="auto"/>
                <w:sz w:val="21"/>
                <w:szCs w:val="21"/>
                <w:highlight w:val="none"/>
                <w:lang w:val="en-US" w:eastAsia="zh-CN"/>
              </w:rPr>
              <w:t>江西赣博贸易有限公司</w:t>
            </w:r>
            <w:r>
              <w:rPr>
                <w:rFonts w:hint="eastAsia" w:ascii="宋体" w:hAnsi="宋体" w:eastAsia="宋体" w:cs="宋体"/>
                <w:color w:val="auto"/>
                <w:sz w:val="21"/>
                <w:szCs w:val="21"/>
                <w:highlight w:val="none"/>
                <w:lang w:val="en-US" w:eastAsia="zh-CN"/>
              </w:rPr>
              <w:t>，项目名称：武钢资源集团金山店矿业有限公司金山店矿管控中心施工工程</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蒸压加气混凝土砌块</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购销合同，购买产品名称：B06A3.5(200*240*600)加气块。另合同约定了价格、交货日期、交货地点方式、验收期限和方法、包装及运费、结算方式、质保和服务等内容，公司总经理评审后回传给客户，评审是在回传给客户之前完成。</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抽查合同2：签订日期202</w:t>
            </w:r>
            <w:r>
              <w:rPr>
                <w:rFonts w:hint="eastAsia" w:ascii="宋体" w:hAnsi="宋体" w:cs="宋体"/>
                <w:color w:val="auto"/>
                <w:sz w:val="21"/>
                <w:szCs w:val="21"/>
                <w:highlight w:val="none"/>
                <w:lang w:val="en-US" w:eastAsia="zh-CN"/>
              </w:rPr>
              <w:t>2.12.2</w:t>
            </w:r>
            <w:r>
              <w:rPr>
                <w:rFonts w:hint="eastAsia" w:ascii="宋体" w:hAnsi="宋体" w:eastAsia="宋体" w:cs="宋体"/>
                <w:color w:val="auto"/>
                <w:sz w:val="21"/>
                <w:szCs w:val="21"/>
                <w:highlight w:val="none"/>
                <w:lang w:val="en-US" w:eastAsia="zh-CN"/>
              </w:rPr>
              <w:t>，顾客名称：</w:t>
            </w:r>
            <w:r>
              <w:rPr>
                <w:rFonts w:hint="eastAsia" w:ascii="宋体" w:hAnsi="宋体" w:cs="宋体"/>
                <w:color w:val="auto"/>
                <w:sz w:val="21"/>
                <w:szCs w:val="21"/>
                <w:highlight w:val="none"/>
                <w:lang w:val="en-US" w:eastAsia="zh-CN"/>
              </w:rPr>
              <w:t>武汉众邦汇成劳务有限公司</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项目名称：武汉众邦汇成劳务有限公司（</w:t>
            </w:r>
            <w:r>
              <w:rPr>
                <w:rFonts w:hint="eastAsia" w:ascii="宋体" w:hAnsi="宋体" w:eastAsia="宋体" w:cs="宋体"/>
                <w:color w:val="auto"/>
                <w:sz w:val="21"/>
                <w:szCs w:val="21"/>
                <w:highlight w:val="none"/>
                <w:lang w:val="en-US" w:eastAsia="zh-CN"/>
              </w:rPr>
              <w:t>中梁滨江一号商业楼工程项目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购买产品名称：600x300x厚度加气块210专用A3.5/B06 。另合同约定了价格、交货日期、交货地点方式、验收期限和方法、包装及运费、结算方式、质保和服务等内容，公司总经理吴海舰评审后回传给客户，评审是在回传给客户之前完成。</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抽查合同3：签订日期202</w:t>
            </w:r>
            <w:r>
              <w:rPr>
                <w:rFonts w:hint="eastAsia" w:ascii="宋体" w:hAnsi="宋体" w:cs="宋体"/>
                <w:color w:val="auto"/>
                <w:sz w:val="21"/>
                <w:szCs w:val="21"/>
                <w:highlight w:val="none"/>
                <w:lang w:val="en-US" w:eastAsia="zh-CN"/>
              </w:rPr>
              <w:t>2.10.12</w:t>
            </w:r>
            <w:r>
              <w:rPr>
                <w:rFonts w:hint="eastAsia" w:ascii="宋体" w:hAnsi="宋体" w:eastAsia="宋体" w:cs="宋体"/>
                <w:color w:val="auto"/>
                <w:sz w:val="21"/>
                <w:szCs w:val="21"/>
                <w:highlight w:val="none"/>
                <w:lang w:val="en-US" w:eastAsia="zh-CN"/>
              </w:rPr>
              <w:t>，顾客名称：武汉昊福建设有限公司江岸分公司：项目名称：武汉昊福建设有限公司江岸分公司（武汉市财贸学校扩建实训综合楼项目土建工程）工程项目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购买产品：加气块600×300×200 A3.5/B06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4000</w:t>
            </w:r>
            <w:r>
              <w:rPr>
                <w:rFonts w:hint="eastAsia" w:ascii="宋体" w:hAnsi="宋体" w:cs="宋体"/>
                <w:color w:val="auto"/>
                <w:sz w:val="21"/>
                <w:szCs w:val="21"/>
                <w:highlight w:val="none"/>
                <w:lang w:val="en-US" w:eastAsia="zh-CN"/>
              </w:rPr>
              <w:t>方、加气块600×300×100 A3.5/B06-2000方</w:t>
            </w:r>
            <w:r>
              <w:rPr>
                <w:rFonts w:hint="eastAsia" w:ascii="宋体" w:hAnsi="宋体" w:eastAsia="宋体" w:cs="宋体"/>
                <w:color w:val="auto"/>
                <w:sz w:val="21"/>
                <w:szCs w:val="21"/>
                <w:highlight w:val="none"/>
                <w:lang w:val="en-US" w:eastAsia="zh-CN"/>
              </w:rPr>
              <w:t>，另合同约定了价格、交货日期、交货地点方式、验收期限和方法、包装及运费、结算方式、质保和服务等内容，公司总经理评审后于回传给客户，评审是在回传给客户之前完成。</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产品和服务要求的评审基本符合标准要求。</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3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与产品有关要求的更改</w:t>
            </w:r>
          </w:p>
        </w:tc>
        <w:tc>
          <w:tcPr>
            <w:tcW w:w="1088" w:type="dxa"/>
          </w:tcPr>
          <w:p>
            <w:pPr>
              <w:spacing w:line="360" w:lineRule="auto"/>
              <w:jc w:val="center"/>
              <w:rPr>
                <w:rFonts w:hint="eastAsia" w:ascii="宋体" w:hAnsi="宋体" w:eastAsia="宋体" w:cs="宋体"/>
                <w:color w:val="auto"/>
                <w:sz w:val="21"/>
                <w:szCs w:val="21"/>
                <w:highlight w:val="none"/>
              </w:rPr>
            </w:pPr>
            <w:bookmarkStart w:id="0" w:name="_GoBack"/>
            <w:bookmarkEnd w:id="0"/>
            <w:r>
              <w:rPr>
                <w:rFonts w:hint="eastAsia" w:ascii="宋体" w:hAnsi="宋体" w:cs="宋体"/>
                <w:color w:val="auto"/>
                <w:sz w:val="21"/>
                <w:szCs w:val="21"/>
                <w:highlight w:val="none"/>
                <w:lang w:val="en-US" w:eastAsia="zh-CN"/>
              </w:rPr>
              <w:t>Q</w:t>
            </w:r>
            <w:r>
              <w:rPr>
                <w:rFonts w:hint="eastAsia" w:ascii="宋体" w:hAnsi="宋体" w:eastAsia="宋体" w:cs="宋体"/>
                <w:color w:val="auto"/>
                <w:sz w:val="21"/>
                <w:szCs w:val="21"/>
                <w:highlight w:val="none"/>
              </w:rPr>
              <w:t>8.2.4</w:t>
            </w:r>
          </w:p>
        </w:tc>
        <w:tc>
          <w:tcPr>
            <w:tcW w:w="10455" w:type="dxa"/>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管理手册对产品和服务要求的识别和更改进行了策划和规定；</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经过查阅企业订单文件，并与销售部负责人进行沟通，企业目前</w:t>
            </w:r>
            <w:r>
              <w:rPr>
                <w:rFonts w:hint="eastAsia" w:ascii="宋体" w:hAnsi="宋体" w:cs="宋体"/>
                <w:color w:val="auto"/>
                <w:sz w:val="21"/>
                <w:szCs w:val="21"/>
                <w:highlight w:val="none"/>
                <w:lang w:val="en-US" w:eastAsia="zh-CN"/>
              </w:rPr>
              <w:t>没</w:t>
            </w:r>
            <w:r>
              <w:rPr>
                <w:rFonts w:hint="eastAsia" w:ascii="宋体" w:hAnsi="宋体" w:eastAsia="宋体" w:cs="宋体"/>
                <w:color w:val="auto"/>
                <w:sz w:val="21"/>
                <w:szCs w:val="21"/>
                <w:highlight w:val="none"/>
                <w:lang w:val="en-US" w:eastAsia="zh-CN"/>
              </w:rPr>
              <w:t>有产品</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和订单变更的情况，当顾客对合同/订单提出变更要求，由业务部门人员根据情况决定是否需要重新召集评审；凡合同/订单变更(由顾客或公司内部提出)过程中与顾客之间的协商均应形成书面记录，并作为合同评审的附件一并保留；更改结果用《工作联系单》通知各相关部门。</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按照文件规定要求进行控制。</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基本符合要求。</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032"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销售和服务提供的控制</w:t>
            </w:r>
          </w:p>
        </w:tc>
        <w:tc>
          <w:tcPr>
            <w:tcW w:w="1088" w:type="dxa"/>
            <w:vAlign w:val="center"/>
          </w:tcPr>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Q：8.5.1 </w:t>
            </w: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sz w:val="21"/>
                <w:szCs w:val="21"/>
                <w:highlight w:val="none"/>
              </w:rPr>
            </w:pPr>
          </w:p>
          <w:p>
            <w:pPr>
              <w:spacing w:line="360" w:lineRule="auto"/>
              <w:ind w:right="-6" w:rightChars="-3"/>
              <w:rPr>
                <w:rFonts w:hint="eastAsia" w:ascii="宋体" w:hAnsi="宋体" w:eastAsia="宋体" w:cs="宋体"/>
                <w:color w:val="auto"/>
                <w:kern w:val="2"/>
                <w:sz w:val="21"/>
                <w:szCs w:val="21"/>
                <w:highlight w:val="none"/>
                <w:lang w:val="en-US" w:eastAsia="zh-CN" w:bidi="ar-SA"/>
              </w:rPr>
            </w:pPr>
          </w:p>
        </w:tc>
        <w:tc>
          <w:tcPr>
            <w:tcW w:w="10455" w:type="dxa"/>
            <w:vAlign w:val="center"/>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公司编制并执行《与顾客有关过程控制程序》等。</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查看销售工作情况：</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1.规范规定了服务提供特性和验收标准，合同的洽商、评定和签订，售后服务保证，客户投诉的处置以及销售人员的产品知识业务能力的要求。文件可以指导销售过程的进行。</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2.资源配置齐备，设施设备可以满足要求。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3.查看购销合同都进行了评审、加盖了公司合同章，参见8.2。</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4.提供有产品检验记录表、发货单、产品符合证</w:t>
            </w:r>
            <w:r>
              <w:rPr>
                <w:rFonts w:hint="eastAsia" w:ascii="宋体" w:hAnsi="宋体" w:cs="宋体"/>
                <w:color w:val="auto"/>
                <w:sz w:val="21"/>
                <w:szCs w:val="21"/>
                <w:highlight w:val="none"/>
                <w:lang w:val="en-US" w:eastAsia="zh-CN"/>
              </w:rPr>
              <w:t>明</w:t>
            </w:r>
            <w:r>
              <w:rPr>
                <w:rFonts w:hint="eastAsia" w:ascii="宋体" w:hAnsi="宋体" w:eastAsia="宋体" w:cs="宋体"/>
                <w:color w:val="auto"/>
                <w:sz w:val="21"/>
                <w:szCs w:val="21"/>
                <w:highlight w:val="none"/>
                <w:lang w:val="en-US" w:eastAsia="zh-CN"/>
              </w:rPr>
              <w:t>，参见8.6。</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5.管理人员以及业务员、质检员、库管员都经过了培训，能力满足要求。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6.制定了销售管理制度、产品搬运管理制度、仓库管理制度等，规定了操作的步骤、方法、注意事项等，操作人员直接按要求进行控制，防止人为错误。</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7.所有的产品都必须经检验符合后方可交付。</w:t>
            </w:r>
            <w:r>
              <w:rPr>
                <w:rFonts w:hint="eastAsia" w:ascii="宋体" w:hAnsi="宋体" w:cs="宋体"/>
                <w:color w:val="auto"/>
                <w:sz w:val="21"/>
                <w:szCs w:val="21"/>
                <w:highlight w:val="none"/>
                <w:lang w:val="en-US" w:eastAsia="zh-CN"/>
              </w:rPr>
              <w:t>生产部</w:t>
            </w:r>
            <w:r>
              <w:rPr>
                <w:rFonts w:hint="eastAsia" w:ascii="宋体" w:hAnsi="宋体" w:eastAsia="宋体" w:cs="宋体"/>
                <w:color w:val="auto"/>
                <w:sz w:val="21"/>
                <w:szCs w:val="21"/>
                <w:highlight w:val="none"/>
                <w:lang w:val="en-US" w:eastAsia="zh-CN"/>
              </w:rPr>
              <w:t>负责产品的检验和放行，产品经过检验符合后方可放行和交付，销售部负责产品交付和交付后活动的实施，并负责联系售后服务。发货前由销售部开具发货单，依据发货单发货，随货同行有产品符合证，公司负责联系货运交付到指定地点，经查出库、交付手续齐全。售后服务由销售部业务员按照售后服务规范执行，去客户现场指导注意事项。</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经现场查验，以上资料有效。组织销售服务过程的控制符合标准规定的要求。</w:t>
            </w:r>
          </w:p>
          <w:p>
            <w:pPr>
              <w:adjustRightInd w:val="0"/>
              <w:snapToGrid w:val="0"/>
              <w:spacing w:line="360" w:lineRule="auto"/>
              <w:ind w:right="-6" w:rightChars="-3"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企业与客户之间每月会对交货型号、单价、数量、金额等进行确认核对</w:t>
            </w:r>
            <w:r>
              <w:rPr>
                <w:rFonts w:hint="eastAsia" w:ascii="宋体" w:hAnsi="宋体" w:cs="宋体"/>
                <w:color w:val="auto"/>
                <w:sz w:val="21"/>
                <w:szCs w:val="21"/>
                <w:highlight w:val="none"/>
                <w:lang w:val="en-US" w:eastAsia="zh-CN"/>
              </w:rPr>
              <w:t>。</w:t>
            </w:r>
          </w:p>
          <w:p>
            <w:pPr>
              <w:adjustRightInd w:val="0"/>
              <w:snapToGrid w:val="0"/>
              <w:spacing w:line="360" w:lineRule="auto"/>
              <w:ind w:right="-6" w:rightChars="-3"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销售和服务提供的控制基本符合要求。</w:t>
            </w:r>
          </w:p>
        </w:tc>
        <w:tc>
          <w:tcPr>
            <w:tcW w:w="1134" w:type="dxa"/>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032" w:type="dxa"/>
            <w:vAlign w:val="top"/>
          </w:tcPr>
          <w:p>
            <w:pPr>
              <w:adjustRightInd w:val="0"/>
              <w:snapToGrid w:val="0"/>
              <w:spacing w:line="360" w:lineRule="auto"/>
              <w:ind w:right="-6" w:rightChars="-3"/>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标识和可追溯</w:t>
            </w:r>
          </w:p>
        </w:tc>
        <w:tc>
          <w:tcPr>
            <w:tcW w:w="1088" w:type="dxa"/>
            <w:vAlign w:val="top"/>
          </w:tcPr>
          <w:p>
            <w:pPr>
              <w:adjustRightInd w:val="0"/>
              <w:snapToGrid w:val="0"/>
              <w:spacing w:line="360" w:lineRule="auto"/>
              <w:ind w:right="-6" w:rightChars="-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Q8.5.2</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p>
        </w:tc>
        <w:tc>
          <w:tcPr>
            <w:tcW w:w="10455" w:type="dxa"/>
            <w:vAlign w:val="top"/>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标识主要通过划分区域、生产工艺记录、检验记录等进行标识，状态标识分为符合、不符合、待检等，生产加工过程中和产品监视和测量过程中有采取适当的方式对产品进行标识（含检验状态），标识有确保唯一性，当有追溯性要求时，可确保在必要时进行追溯。</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原材料依据不同的类型和防护要求进行防护运输，产品运输要求包装等。</w:t>
            </w:r>
          </w:p>
          <w:p>
            <w:pPr>
              <w:adjustRightInd w:val="0"/>
              <w:snapToGrid w:val="0"/>
              <w:spacing w:line="360" w:lineRule="auto"/>
              <w:ind w:right="-6" w:rightChars="-3"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生产车间原材料分类分区放置在指定仓库、产品标识方法得当、未发现不同类型和状态产品发生混淆现象。标识和可追溯性基本符合标准要求。</w:t>
            </w:r>
          </w:p>
        </w:tc>
        <w:tc>
          <w:tcPr>
            <w:tcW w:w="1134" w:type="dxa"/>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32" w:type="dxa"/>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顾客或外供方财产</w:t>
            </w:r>
          </w:p>
        </w:tc>
        <w:tc>
          <w:tcPr>
            <w:tcW w:w="1088"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Q8.5.3</w:t>
            </w:r>
          </w:p>
          <w:p>
            <w:pPr>
              <w:spacing w:line="360" w:lineRule="auto"/>
              <w:rPr>
                <w:rFonts w:hint="eastAsia" w:ascii="宋体" w:hAnsi="宋体" w:eastAsia="宋体" w:cs="宋体"/>
                <w:b/>
                <w:color w:val="auto"/>
                <w:sz w:val="21"/>
                <w:szCs w:val="21"/>
                <w:highlight w:val="none"/>
              </w:rPr>
            </w:pPr>
          </w:p>
        </w:tc>
        <w:tc>
          <w:tcPr>
            <w:tcW w:w="10455" w:type="dxa"/>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顾客或外部供方的财产包括：资质证明文件（如营业执照和其它资质文件）、银行账号、联系方式、经营地址及档案资料等信息，由部门专门人员负责管理，分类登记放置。未发生损坏丢失等现象。</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32"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防护</w:t>
            </w:r>
          </w:p>
        </w:tc>
        <w:tc>
          <w:tcPr>
            <w:tcW w:w="1088"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Q8.5.4</w:t>
            </w:r>
          </w:p>
        </w:tc>
        <w:tc>
          <w:tcPr>
            <w:tcW w:w="10455" w:type="dxa"/>
            <w:vAlign w:val="top"/>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查公司《管理手册》文件对产品的防护进行了要求。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生产过程中有采取相应的措施进行防护，以确保符合要求。防护包括标识、处置、污染控制、包装、储存、运输以及保护等。产品交付到预定地点期间，针对产品采取适当的防护措施，包括选择合适的搬运方法和设备、贮存场所，保持标识完整、清晰。</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产品标识和防护管理基本符合要求。</w:t>
            </w:r>
          </w:p>
        </w:tc>
        <w:tc>
          <w:tcPr>
            <w:tcW w:w="1134"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交付后活动</w:t>
            </w:r>
          </w:p>
        </w:tc>
        <w:tc>
          <w:tcPr>
            <w:tcW w:w="1088" w:type="dxa"/>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Q8.5.5</w:t>
            </w:r>
          </w:p>
        </w:tc>
        <w:tc>
          <w:tcPr>
            <w:tcW w:w="10455" w:type="dxa"/>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如客户在使用过程中出现问题，先通过电话等方式进行解决，如远程无法解决，派专人到客户现场实地解决。</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32" w:type="dxa"/>
            <w:vAlign w:val="top"/>
          </w:tcPr>
          <w:p>
            <w:p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销售和服务提供的</w:t>
            </w:r>
            <w:r>
              <w:rPr>
                <w:rFonts w:hint="eastAsia" w:ascii="宋体" w:hAnsi="宋体" w:eastAsia="宋体" w:cs="宋体"/>
                <w:color w:val="auto"/>
                <w:sz w:val="21"/>
                <w:szCs w:val="21"/>
                <w:highlight w:val="none"/>
              </w:rPr>
              <w:t>更改控制</w:t>
            </w:r>
          </w:p>
        </w:tc>
        <w:tc>
          <w:tcPr>
            <w:tcW w:w="1088"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Q8.5.6</w:t>
            </w:r>
          </w:p>
        </w:tc>
        <w:tc>
          <w:tcPr>
            <w:tcW w:w="10455" w:type="dxa"/>
            <w:vAlign w:val="top"/>
          </w:tcPr>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公司对</w:t>
            </w:r>
            <w:r>
              <w:rPr>
                <w:rFonts w:hint="eastAsia" w:ascii="宋体" w:hAnsi="宋体" w:cs="宋体"/>
                <w:color w:val="auto"/>
                <w:sz w:val="21"/>
                <w:szCs w:val="21"/>
                <w:highlight w:val="none"/>
                <w:lang w:val="en-US" w:eastAsia="zh-CN"/>
              </w:rPr>
              <w:t>销售和服务</w:t>
            </w:r>
            <w:r>
              <w:rPr>
                <w:rFonts w:hint="eastAsia" w:ascii="宋体" w:hAnsi="宋体" w:eastAsia="宋体" w:cs="宋体"/>
                <w:color w:val="auto"/>
                <w:sz w:val="21"/>
                <w:szCs w:val="21"/>
                <w:highlight w:val="none"/>
              </w:rPr>
              <w:t>提供的更改管控要求予以明确规定：包括对其更改的评审、授权信息及需采取的措施等。经查：体系运行至今，暂无服务提供的更改情形。</w:t>
            </w:r>
          </w:p>
        </w:tc>
        <w:tc>
          <w:tcPr>
            <w:tcW w:w="1134"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32"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顾客满意</w:t>
            </w:r>
          </w:p>
          <w:p>
            <w:pPr>
              <w:spacing w:line="360" w:lineRule="auto"/>
              <w:rPr>
                <w:rFonts w:hint="eastAsia" w:ascii="宋体" w:hAnsi="宋体" w:eastAsia="宋体" w:cs="宋体"/>
                <w:b/>
                <w:color w:val="auto"/>
                <w:sz w:val="21"/>
                <w:szCs w:val="21"/>
                <w:highlight w:val="none"/>
              </w:rPr>
            </w:pPr>
          </w:p>
        </w:tc>
        <w:tc>
          <w:tcPr>
            <w:tcW w:w="1088"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Q9.1.2</w:t>
            </w:r>
          </w:p>
        </w:tc>
        <w:tc>
          <w:tcPr>
            <w:tcW w:w="10455" w:type="dxa"/>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公司已建立和保持了《顾客满意测量控制程序》，对顾客满意的监测的相关内容进行了规定，其包括了对调查方式、渠道、内容、频率等。</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公司采取对主要顾客进行满意度调查的形式，共发出</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份《顾客满意度调查表》，有效回收：</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w:t>
            </w:r>
            <w:r>
              <w:rPr>
                <w:rFonts w:hint="eastAsia" w:ascii="宋体" w:hAnsi="宋体" w:cs="宋体"/>
                <w:color w:val="auto"/>
                <w:sz w:val="21"/>
                <w:szCs w:val="21"/>
                <w:highlight w:val="none"/>
                <w:lang w:val="en-US" w:eastAsia="zh-CN"/>
              </w:rPr>
              <w:t>江西赣博贸易有限公司</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武汉昊福建设有限公司江岸分公司</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武汉众邦汇成劳务有限公司</w:t>
            </w:r>
            <w:r>
              <w:rPr>
                <w:rFonts w:hint="eastAsia" w:ascii="宋体" w:hAnsi="宋体" w:eastAsia="宋体" w:cs="宋体"/>
                <w:color w:val="auto"/>
                <w:sz w:val="21"/>
                <w:szCs w:val="21"/>
                <w:highlight w:val="none"/>
                <w:lang w:val="en-US" w:eastAsia="zh-CN"/>
              </w:rPr>
              <w:t>等，调查内容有：产品质量、价格水平、交货期、服务等，查《顾客满意程度调查表》，客户评价均是非常满意。</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《客户满意度调查表》、</w:t>
            </w:r>
            <w:r>
              <w:rPr>
                <w:rFonts w:hint="eastAsia" w:ascii="宋体" w:hAnsi="宋体" w:eastAsia="宋体" w:cs="宋体"/>
                <w:color w:val="auto"/>
                <w:sz w:val="21"/>
                <w:szCs w:val="21"/>
                <w:highlight w:val="none"/>
                <w:lang w:val="en-US" w:eastAsia="zh-CN"/>
              </w:rPr>
              <w:t>《客户满意程度统计、分析表》，顾客满意率达到96%，达到了质量目标的要求。</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调查未发现有顾客投诉。</w:t>
            </w:r>
          </w:p>
        </w:tc>
        <w:tc>
          <w:tcPr>
            <w:tcW w:w="1134" w:type="dxa"/>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32"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运行控制</w:t>
            </w:r>
          </w:p>
        </w:tc>
        <w:tc>
          <w:tcPr>
            <w:tcW w:w="1088" w:type="dxa"/>
            <w:vAlign w:val="top"/>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EO8.1</w:t>
            </w:r>
          </w:p>
          <w:p>
            <w:pPr>
              <w:spacing w:line="360" w:lineRule="auto"/>
              <w:rPr>
                <w:rFonts w:hint="eastAsia" w:ascii="宋体" w:hAnsi="宋体" w:eastAsia="宋体" w:cs="宋体"/>
                <w:color w:val="auto"/>
                <w:kern w:val="2"/>
                <w:sz w:val="21"/>
                <w:szCs w:val="21"/>
                <w:highlight w:val="none"/>
                <w:lang w:val="en-US" w:eastAsia="zh-CN" w:bidi="ar-SA"/>
              </w:rPr>
            </w:pPr>
          </w:p>
        </w:tc>
        <w:tc>
          <w:tcPr>
            <w:tcW w:w="10455" w:type="dxa"/>
            <w:vAlign w:val="top"/>
          </w:tcPr>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TW"/>
              </w:rPr>
            </w:pPr>
            <w:r>
              <w:rPr>
                <w:rFonts w:hint="eastAsia" w:ascii="宋体" w:hAnsi="宋体" w:eastAsia="宋体" w:cs="宋体"/>
                <w:color w:val="auto"/>
                <w:sz w:val="21"/>
                <w:szCs w:val="21"/>
                <w:highlight w:val="none"/>
                <w:lang w:val="en-US" w:eastAsia="zh-TW"/>
              </w:rPr>
              <w:t>1.编制并实施了运行控制程序、消防</w:t>
            </w:r>
            <w:r>
              <w:rPr>
                <w:rFonts w:hint="eastAsia" w:ascii="宋体" w:hAnsi="宋体" w:eastAsia="宋体" w:cs="宋体"/>
                <w:color w:val="auto"/>
                <w:sz w:val="21"/>
                <w:szCs w:val="21"/>
                <w:highlight w:val="none"/>
                <w:lang w:val="en-US" w:eastAsia="zh-CN"/>
              </w:rPr>
              <w:t>管理制度、废弃物管理制度、安全管理制度</w:t>
            </w:r>
            <w:r>
              <w:rPr>
                <w:rFonts w:hint="eastAsia" w:ascii="宋体" w:hAnsi="宋体" w:eastAsia="宋体" w:cs="宋体"/>
                <w:color w:val="auto"/>
                <w:sz w:val="21"/>
                <w:szCs w:val="21"/>
                <w:highlight w:val="none"/>
                <w:lang w:val="en-US" w:eastAsia="zh-TW"/>
              </w:rPr>
              <w:t>等环境、职业健康安全控制程序和管理制度。编制并实施了环境、职业健康安全控制程序和管理制度。</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TW"/>
              </w:rPr>
            </w:pPr>
            <w:r>
              <w:rPr>
                <w:rFonts w:hint="eastAsia" w:ascii="宋体" w:hAnsi="宋体" w:eastAsia="宋体" w:cs="宋体"/>
                <w:color w:val="auto"/>
                <w:sz w:val="21"/>
                <w:szCs w:val="21"/>
                <w:highlight w:val="none"/>
                <w:lang w:val="en-US" w:eastAsia="zh-TW"/>
              </w:rPr>
              <w:t>2.本部门办公中所使用的办公用品均由公司</w:t>
            </w:r>
            <w:r>
              <w:rPr>
                <w:rFonts w:hint="eastAsia" w:ascii="宋体" w:hAnsi="宋体" w:cs="宋体"/>
                <w:color w:val="auto"/>
                <w:sz w:val="21"/>
                <w:szCs w:val="21"/>
                <w:highlight w:val="none"/>
                <w:lang w:val="en-US" w:eastAsia="zh-CN"/>
              </w:rPr>
              <w:t>综合部</w:t>
            </w:r>
            <w:r>
              <w:rPr>
                <w:rFonts w:hint="eastAsia" w:ascii="宋体" w:hAnsi="宋体" w:eastAsia="宋体" w:cs="宋体"/>
                <w:color w:val="auto"/>
                <w:sz w:val="21"/>
                <w:szCs w:val="21"/>
                <w:highlight w:val="none"/>
                <w:lang w:val="en-US" w:eastAsia="zh-TW"/>
              </w:rPr>
              <w:t>负责统一打印、复印，产生的废弃物，由人事部统一处理。</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TW"/>
              </w:rPr>
            </w:pPr>
            <w:r>
              <w:rPr>
                <w:rFonts w:hint="eastAsia" w:ascii="宋体" w:hAnsi="宋体" w:eastAsia="宋体" w:cs="宋体"/>
                <w:color w:val="auto"/>
                <w:sz w:val="21"/>
                <w:szCs w:val="21"/>
                <w:highlight w:val="none"/>
                <w:lang w:val="en-US" w:eastAsia="zh-TW"/>
              </w:rPr>
              <w:t>3.对可回收的固体废弃物，一部分由厂家回收，厂家不回收的公司统一回收再利用或由物资回收公司处理，不可回收的废弃物由公司</w:t>
            </w:r>
            <w:r>
              <w:rPr>
                <w:rFonts w:hint="eastAsia" w:ascii="宋体" w:hAnsi="宋体" w:cs="宋体"/>
                <w:color w:val="auto"/>
                <w:sz w:val="21"/>
                <w:szCs w:val="21"/>
                <w:highlight w:val="none"/>
                <w:lang w:val="en-US" w:eastAsia="zh-CN"/>
              </w:rPr>
              <w:t>综合部</w:t>
            </w:r>
            <w:r>
              <w:rPr>
                <w:rFonts w:hint="eastAsia" w:ascii="宋体" w:hAnsi="宋体" w:eastAsia="宋体" w:cs="宋体"/>
                <w:color w:val="auto"/>
                <w:sz w:val="21"/>
                <w:szCs w:val="21"/>
                <w:highlight w:val="none"/>
                <w:lang w:val="en-US" w:eastAsia="zh-TW"/>
              </w:rPr>
              <w:t>统一处理，部门不单独处理。</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TW"/>
              </w:rPr>
              <w:t>4.</w:t>
            </w:r>
            <w:r>
              <w:rPr>
                <w:rFonts w:hint="eastAsia" w:ascii="宋体" w:hAnsi="宋体" w:eastAsia="宋体" w:cs="宋体"/>
                <w:color w:val="auto"/>
                <w:sz w:val="21"/>
                <w:szCs w:val="21"/>
                <w:highlight w:val="none"/>
                <w:lang w:val="en-US" w:eastAsia="zh-CN"/>
              </w:rPr>
              <w:t>销售部</w:t>
            </w:r>
            <w:r>
              <w:rPr>
                <w:rFonts w:hint="eastAsia" w:ascii="宋体" w:hAnsi="宋体" w:eastAsia="宋体" w:cs="宋体"/>
                <w:color w:val="auto"/>
                <w:sz w:val="21"/>
                <w:szCs w:val="21"/>
                <w:highlight w:val="none"/>
                <w:lang w:val="en-US" w:eastAsia="zh-TW"/>
              </w:rPr>
              <w:t>主要是电的使用，电器有漏电保护器，经常对电路、电源进行检查，没有露电现象发生，查环境安全记录，提供了《环境安全运行检查记录》，抽查</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lang w:val="en-US" w:eastAsia="zh-TW"/>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TW"/>
              </w:rPr>
              <w:t>月检查结果正常，检查人</w:t>
            </w:r>
            <w:r>
              <w:rPr>
                <w:rFonts w:hint="eastAsia" w:ascii="宋体" w:hAnsi="宋体" w:eastAsia="宋体" w:cs="宋体"/>
                <w:color w:val="auto"/>
                <w:sz w:val="21"/>
                <w:szCs w:val="21"/>
                <w:highlight w:val="none"/>
                <w:lang w:val="en-US" w:eastAsia="zh-CN"/>
              </w:rPr>
              <w:t>王贺</w:t>
            </w:r>
            <w:r>
              <w:rPr>
                <w:rFonts w:hint="eastAsia" w:ascii="宋体" w:hAnsi="宋体" w:eastAsia="宋体" w:cs="宋体"/>
                <w:color w:val="auto"/>
                <w:sz w:val="21"/>
                <w:szCs w:val="21"/>
                <w:highlight w:val="none"/>
                <w:lang w:val="en-US" w:eastAsia="zh-TW"/>
              </w:rPr>
              <w:t>。</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TW"/>
              </w:rPr>
            </w:pPr>
            <w:r>
              <w:rPr>
                <w:rFonts w:hint="eastAsia" w:ascii="宋体" w:hAnsi="宋体" w:eastAsia="宋体" w:cs="宋体"/>
                <w:color w:val="auto"/>
                <w:sz w:val="21"/>
                <w:szCs w:val="21"/>
                <w:highlight w:val="none"/>
                <w:lang w:val="en-US" w:eastAsia="zh-TW"/>
              </w:rPr>
              <w:t>5.在产品运输时，要求司机必须有驾驶证，车辆需经年检</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val="en-US" w:eastAsia="zh-TW"/>
              </w:rPr>
              <w:t>，车况良好，禁止疲劳驾驶，控制车速。</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TW"/>
              </w:rPr>
            </w:pPr>
            <w:r>
              <w:rPr>
                <w:rFonts w:hint="eastAsia" w:ascii="宋体" w:hAnsi="宋体" w:eastAsia="宋体" w:cs="宋体"/>
                <w:color w:val="auto"/>
                <w:sz w:val="21"/>
                <w:szCs w:val="21"/>
                <w:highlight w:val="none"/>
                <w:lang w:val="en-US" w:eastAsia="zh-TW"/>
              </w:rPr>
              <w:t>6.在产品装车时，要求装运人员必须穿戴劳动防护用品，合理使用搬运工具。</w:t>
            </w:r>
          </w:p>
          <w:p>
            <w:pPr>
              <w:adjustRightInd w:val="0"/>
              <w:snapToGrid w:val="0"/>
              <w:spacing w:line="360" w:lineRule="auto"/>
              <w:ind w:right="-6" w:rightChars="-3" w:firstLine="420" w:firstLineChars="200"/>
              <w:rPr>
                <w:rFonts w:hint="eastAsia" w:ascii="宋体" w:hAnsi="宋体" w:eastAsia="宋体" w:cs="宋体"/>
                <w:color w:val="auto"/>
                <w:sz w:val="21"/>
                <w:szCs w:val="21"/>
                <w:highlight w:val="none"/>
                <w:lang w:val="en-US" w:eastAsia="zh-TW"/>
              </w:rPr>
            </w:pPr>
            <w:r>
              <w:rPr>
                <w:rFonts w:hint="eastAsia" w:ascii="宋体" w:hAnsi="宋体" w:eastAsia="宋体" w:cs="宋体"/>
                <w:color w:val="auto"/>
                <w:sz w:val="21"/>
                <w:szCs w:val="21"/>
                <w:highlight w:val="none"/>
                <w:lang w:val="en-US" w:eastAsia="zh-TW"/>
              </w:rPr>
              <w:t>7.对外招投标和业务洽谈时明确承诺公司产品环保、节能、无毒无害。</w:t>
            </w:r>
          </w:p>
          <w:p>
            <w:pPr>
              <w:adjustRightInd w:val="0"/>
              <w:snapToGrid w:val="0"/>
              <w:spacing w:line="360" w:lineRule="auto"/>
              <w:ind w:right="-6" w:rightChars="-3"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TW"/>
              </w:rPr>
              <w:t>部门运行控制基本符合要求。</w:t>
            </w:r>
          </w:p>
        </w:tc>
        <w:tc>
          <w:tcPr>
            <w:tcW w:w="1134" w:type="dxa"/>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32"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应急准备和响应</w:t>
            </w:r>
          </w:p>
        </w:tc>
        <w:tc>
          <w:tcPr>
            <w:tcW w:w="1088"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EO8.2</w:t>
            </w:r>
          </w:p>
          <w:p>
            <w:pPr>
              <w:spacing w:line="360" w:lineRule="auto"/>
              <w:rPr>
                <w:rFonts w:hint="eastAsia" w:ascii="宋体" w:hAnsi="宋体" w:eastAsia="宋体" w:cs="宋体"/>
                <w:bCs/>
                <w:color w:val="auto"/>
                <w:kern w:val="2"/>
                <w:sz w:val="21"/>
                <w:szCs w:val="21"/>
                <w:highlight w:val="none"/>
                <w:lang w:val="en-US" w:eastAsia="zh-CN" w:bidi="ar-SA"/>
              </w:rPr>
            </w:pPr>
          </w:p>
        </w:tc>
        <w:tc>
          <w:tcPr>
            <w:tcW w:w="10455" w:type="dxa"/>
            <w:vAlign w:val="top"/>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查编制有《应急准备与响应控制程序》</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机械伤害应急预案</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火灾应急预案》等，明确了相应的运行准则。</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参加</w:t>
            </w:r>
            <w:r>
              <w:rPr>
                <w:rFonts w:hint="eastAsia" w:ascii="宋体" w:hAnsi="宋体" w:eastAsia="宋体" w:cs="宋体"/>
                <w:color w:val="000000"/>
                <w:sz w:val="21"/>
                <w:szCs w:val="21"/>
                <w:lang w:val="en-US" w:eastAsia="zh-CN"/>
              </w:rPr>
              <w:t>了2022年3月26日火灾预案演练，</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演练内容、过程：</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演练前，由生产部经理对演练方案进行了培训。</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为提高安全人员的素质，达到检验应急求援小组的目的，使之做到一声令下迅速到位投入战斗，特在厂区广场进行了一次模拟消防训练演习。</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在现场东侧的空地，假设一个失火点，进行现场模拟消防演习，由应急救援小组组长吴金林负责现场指挥，时间： 2022年 3 月 26 日，天气：晴，风力不大，根据应急准备和响应实施方案的要求，由车间主任大喊：东侧起火，快去救火。</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听到喊声，应急小组成员立即放下手中的工作，按各自的分工，各就各位。由最先发现火情的向光群打电话通知应急救援小组报告失火地点，火势并报告公司总经理及其他应急小组成员奔赴失火地点。按平时教育的分工，由电工负责断电，消防员打开消火栓井盖并接好，水龙带水源，车间主任用水龙头灭火，其他应急小组成员用灭火器灭火，用消防桶提水，使用铁锹铲砂，大家有的端水，端砂，在总经理指挥下参加灭火。由于平时明确分工，加工指挥得力，演习相当成功，小组成员仅用了3分钟，即赶到现场，5分钟演习结束。总经理对这次演习给予了充分肯定，对队员们的忘我精神给予了表扬。</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演练结果评价：应急准备和响应实施方案具有可操作性，应急求援人员已基本掌握该方案，能够应付火灾的突发事件。 评审员：王贺        日期：2022年3月26日</w:t>
            </w:r>
          </w:p>
          <w:p>
            <w:pPr>
              <w:spacing w:line="360" w:lineRule="auto"/>
              <w:rPr>
                <w:rFonts w:hint="eastAsia" w:ascii="宋体" w:hAnsi="宋体" w:eastAsia="宋体" w:cs="宋体"/>
                <w:color w:val="auto"/>
                <w:kern w:val="2"/>
                <w:sz w:val="21"/>
                <w:szCs w:val="21"/>
                <w:highlight w:val="none"/>
                <w:lang w:val="en-US" w:eastAsia="zh-TW" w:bidi="ar-SA"/>
              </w:rPr>
            </w:pPr>
            <w:r>
              <w:rPr>
                <w:rFonts w:hint="eastAsia" w:ascii="宋体" w:hAnsi="宋体" w:eastAsia="宋体" w:cs="宋体"/>
                <w:color w:val="000000"/>
                <w:sz w:val="21"/>
                <w:szCs w:val="21"/>
                <w:lang w:val="en-US" w:eastAsia="zh-CN"/>
              </w:rPr>
              <w:t>自体系运行以来未出现应急事故情况。基本符合。</w:t>
            </w:r>
          </w:p>
        </w:tc>
        <w:tc>
          <w:tcPr>
            <w:tcW w:w="1134" w:type="dxa"/>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bl>
    <w:p>
      <w:pPr>
        <w:pStyle w:val="5"/>
      </w:pPr>
      <w:r>
        <w:rPr>
          <w:rFonts w:hint="eastAsia" w:ascii="楷体" w:hAnsi="楷体" w:eastAsia="楷体"/>
          <w:sz w:val="24"/>
          <w:szCs w:val="24"/>
        </w:rPr>
        <w:t>说明：不符合标注N</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tabs>
        <w:tab w:val="left" w:pos="8910"/>
        <w:tab w:val="left" w:pos="9142"/>
        <w:tab w:val="clear" w:pos="4153"/>
      </w:tabs>
      <w:spacing w:line="320" w:lineRule="exact"/>
      <w:ind w:left="-86" w:leftChars="-41" w:firstLine="945" w:firstLineChars="450"/>
      <w:jc w:val="left"/>
      <w:outlineLvl w:val="9"/>
      <w:rPr>
        <w:rStyle w:val="13"/>
        <w:rFonts w:hint="default" w:ascii="宋体" w:eastAsia="宋体" w:cs="Times New Roman"/>
        <w:szCs w:val="18"/>
      </w:rPr>
    </w:pPr>
    <w:r>
      <w:rPr>
        <w:rStyle w:val="13"/>
        <w:rFonts w:hint="default" w:ascii="宋体" w:eastAsia="宋体" w:cs="Times New Roman"/>
        <w:szCs w:val="18"/>
      </w:rPr>
      <mc:AlternateContent>
        <mc:Choice Requires="wps">
          <w:drawing>
            <wp:anchor distT="0" distB="0" distL="114300" distR="114300" simplePos="0" relativeHeight="251660288" behindDoc="0" locked="0" layoutInCell="1" allowOverlap="1">
              <wp:simplePos x="0" y="0"/>
              <wp:positionH relativeFrom="column">
                <wp:posOffset>7650480</wp:posOffset>
              </wp:positionH>
              <wp:positionV relativeFrom="paragraph">
                <wp:posOffset>-12065</wp:posOffset>
              </wp:positionV>
              <wp:extent cx="1304290" cy="256540"/>
              <wp:effectExtent l="0" t="0" r="3810" b="10160"/>
              <wp:wrapNone/>
              <wp:docPr id="9" name="文本框 9"/>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pStyle w:val="6"/>
                            <w:bidi w:val="0"/>
                          </w:pPr>
                          <w:r>
                            <w:rPr>
                              <w:rFonts w:hint="eastAsia"/>
                            </w:rPr>
                            <w:t>ISC-B-II-12(05版）</w:t>
                          </w:r>
                        </w:p>
                      </w:txbxContent>
                    </wps:txbx>
                    <wps:bodyPr upright="1"/>
                  </wps:wsp>
                </a:graphicData>
              </a:graphic>
            </wp:anchor>
          </w:drawing>
        </mc:Choice>
        <mc:Fallback>
          <w:pict>
            <v:shape id="_x0000_s1026" o:spid="_x0000_s1026" o:spt="202" type="#_x0000_t202" style="position:absolute;left:0pt;margin-left:602.4pt;margin-top:-0.95pt;height:20.2pt;width:102.7pt;z-index:251660288;mso-width-relative:page;mso-height-relative:page;" fillcolor="#FFFFFF" filled="t" stroked="f" coordsize="21600,21600" o:gfxdata="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qKIvYAAAACwEAAA8AAAAAAAAAAQAgAAAAIgAAAGRycy9kb3ducmV2&#10;LnhtbFBLAQIUABQAAAAIAIdO4kB3USZzwwEAAHcDAAAOAAAAAAAAAAEAIAAAACcBAABkcnMvZTJv&#10;RG9jLnhtbFBLBQYAAAAABgAGAFkBAABcBQAAAAA=&#10;">
              <v:fill on="t" focussize="0,0"/>
              <v:stroke on="f"/>
              <v:imagedata o:title=""/>
              <o:lock v:ext="edit" aspectratio="f"/>
              <v:textbox>
                <w:txbxContent>
                  <w:p>
                    <w:pPr>
                      <w:pStyle w:val="6"/>
                      <w:bidi w:val="0"/>
                    </w:pPr>
                    <w:r>
                      <w:rPr>
                        <w:rFonts w:hint="eastAsia"/>
                      </w:rPr>
                      <w:t>ISC-B-II-12(05版）</w:t>
                    </w:r>
                  </w:p>
                </w:txbxContent>
              </v:textbox>
            </v:shape>
          </w:pict>
        </mc:Fallback>
      </mc:AlternateContent>
    </w:r>
    <w:r>
      <w:rPr>
        <w:rStyle w:val="13"/>
        <w:rFonts w:hint="default" w:ascii="宋体" w:eastAsia="宋体" w:cs="Times New Roman"/>
        <w:szCs w:val="18"/>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ascii="宋体" w:eastAsia="宋体" w:cs="Times New Roman"/>
        <w:szCs w:val="18"/>
      </w:rPr>
      <w:t>北京国标联合认证有限公司</w:t>
    </w:r>
    <w:r>
      <w:rPr>
        <w:rStyle w:val="13"/>
        <w:rFonts w:hint="default" w:ascii="宋体" w:eastAsia="宋体" w:cs="Times New Roman"/>
        <w:szCs w:val="18"/>
      </w:rPr>
      <w:tab/>
    </w:r>
    <w:r>
      <w:rPr>
        <w:rStyle w:val="13"/>
        <w:rFonts w:hint="default" w:ascii="宋体" w:eastAsia="宋体" w:cs="Times New Roman"/>
        <w:szCs w:val="18"/>
      </w:rPr>
      <w:tab/>
    </w:r>
    <w:r>
      <w:rPr>
        <w:rStyle w:val="13"/>
        <w:rFonts w:hint="default" w:ascii="宋体" w:eastAsia="宋体" w:cs="Times New Roman"/>
        <w:szCs w:val="18"/>
      </w:rPr>
      <w:tab/>
    </w:r>
  </w:p>
  <w:p>
    <w:pPr>
      <w:pStyle w:val="6"/>
      <w:pBdr>
        <w:top w:val="none" w:color="auto" w:sz="0" w:space="0"/>
        <w:left w:val="none" w:color="auto" w:sz="0" w:space="0"/>
        <w:bottom w:val="single" w:color="auto" w:sz="4" w:space="0"/>
        <w:right w:val="none" w:color="auto" w:sz="0" w:space="0"/>
      </w:pBdr>
      <w:tabs>
        <w:tab w:val="left" w:pos="8910"/>
        <w:tab w:val="left" w:pos="9142"/>
        <w:tab w:val="clear" w:pos="4153"/>
      </w:tabs>
      <w:spacing w:line="320" w:lineRule="exact"/>
      <w:ind w:left="-86" w:leftChars="-41" w:firstLine="945" w:firstLineChars="450"/>
      <w:jc w:val="left"/>
      <w:outlineLvl w:val="9"/>
      <w:rPr>
        <w:rStyle w:val="13"/>
        <w:rFonts w:hint="default" w:ascii="宋体" w:eastAsia="宋体" w:cs="Times New Roman"/>
        <w:szCs w:val="18"/>
      </w:rPr>
    </w:pPr>
    <w:r>
      <w:rPr>
        <w:rStyle w:val="13"/>
        <w:rFonts w:hint="default" w:ascii="宋体" w:eastAsia="宋体" w:cs="Times New Roman"/>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190645D"/>
    <w:rsid w:val="03EC0DBF"/>
    <w:rsid w:val="047A6EB5"/>
    <w:rsid w:val="05F721BD"/>
    <w:rsid w:val="05FB4E98"/>
    <w:rsid w:val="074D2ACC"/>
    <w:rsid w:val="08894913"/>
    <w:rsid w:val="0B9F209D"/>
    <w:rsid w:val="0BF54C5A"/>
    <w:rsid w:val="0C3539CB"/>
    <w:rsid w:val="0F4F7ACE"/>
    <w:rsid w:val="105B0B5E"/>
    <w:rsid w:val="134A3229"/>
    <w:rsid w:val="153D46ED"/>
    <w:rsid w:val="15F50E34"/>
    <w:rsid w:val="163379C6"/>
    <w:rsid w:val="167B07CB"/>
    <w:rsid w:val="173F5431"/>
    <w:rsid w:val="17AE7A69"/>
    <w:rsid w:val="197704BE"/>
    <w:rsid w:val="19CA45E1"/>
    <w:rsid w:val="1A2C03E6"/>
    <w:rsid w:val="1B6608D1"/>
    <w:rsid w:val="1C3D4F3D"/>
    <w:rsid w:val="1C7E5C54"/>
    <w:rsid w:val="1E871A14"/>
    <w:rsid w:val="1EFB6A77"/>
    <w:rsid w:val="1FF26E00"/>
    <w:rsid w:val="20630B72"/>
    <w:rsid w:val="20A51130"/>
    <w:rsid w:val="21076FF1"/>
    <w:rsid w:val="22353528"/>
    <w:rsid w:val="22752984"/>
    <w:rsid w:val="229C6730"/>
    <w:rsid w:val="22FD2FB0"/>
    <w:rsid w:val="23DC447F"/>
    <w:rsid w:val="241E7388"/>
    <w:rsid w:val="26DA387A"/>
    <w:rsid w:val="26E57D05"/>
    <w:rsid w:val="27FE79EC"/>
    <w:rsid w:val="2D623E58"/>
    <w:rsid w:val="2DDD4597"/>
    <w:rsid w:val="2E9C0FE0"/>
    <w:rsid w:val="33140B0B"/>
    <w:rsid w:val="34022871"/>
    <w:rsid w:val="340D19D5"/>
    <w:rsid w:val="34235F3C"/>
    <w:rsid w:val="34930BAF"/>
    <w:rsid w:val="35B96298"/>
    <w:rsid w:val="360F73AE"/>
    <w:rsid w:val="364A4D48"/>
    <w:rsid w:val="37FD50E3"/>
    <w:rsid w:val="387D5A8B"/>
    <w:rsid w:val="394621BA"/>
    <w:rsid w:val="3A945DDA"/>
    <w:rsid w:val="3A9478B6"/>
    <w:rsid w:val="3AF21513"/>
    <w:rsid w:val="3B1A66D2"/>
    <w:rsid w:val="3C6B25D7"/>
    <w:rsid w:val="3F986CE0"/>
    <w:rsid w:val="3FFB35AA"/>
    <w:rsid w:val="404B077A"/>
    <w:rsid w:val="40664D1F"/>
    <w:rsid w:val="417558CF"/>
    <w:rsid w:val="45D35769"/>
    <w:rsid w:val="49F21AF9"/>
    <w:rsid w:val="4B357DAD"/>
    <w:rsid w:val="4F4F558B"/>
    <w:rsid w:val="4F6E5CFD"/>
    <w:rsid w:val="50630D9F"/>
    <w:rsid w:val="50792D04"/>
    <w:rsid w:val="5307382F"/>
    <w:rsid w:val="552704C5"/>
    <w:rsid w:val="55A85CAA"/>
    <w:rsid w:val="570363A5"/>
    <w:rsid w:val="57322893"/>
    <w:rsid w:val="59743B58"/>
    <w:rsid w:val="5CBD5C2E"/>
    <w:rsid w:val="5EA87211"/>
    <w:rsid w:val="5EE02712"/>
    <w:rsid w:val="5FBB08E7"/>
    <w:rsid w:val="60264456"/>
    <w:rsid w:val="651C2B7D"/>
    <w:rsid w:val="68042965"/>
    <w:rsid w:val="694C640B"/>
    <w:rsid w:val="69585B24"/>
    <w:rsid w:val="6A586D04"/>
    <w:rsid w:val="6C154120"/>
    <w:rsid w:val="6C61694B"/>
    <w:rsid w:val="6CD97035"/>
    <w:rsid w:val="6D5947EC"/>
    <w:rsid w:val="6F131F44"/>
    <w:rsid w:val="6F7E70F8"/>
    <w:rsid w:val="700B40FD"/>
    <w:rsid w:val="702D47EC"/>
    <w:rsid w:val="71222F08"/>
    <w:rsid w:val="714A0BB8"/>
    <w:rsid w:val="7237099A"/>
    <w:rsid w:val="737B2144"/>
    <w:rsid w:val="73F422CA"/>
    <w:rsid w:val="75D8271A"/>
    <w:rsid w:val="7732505C"/>
    <w:rsid w:val="77457C53"/>
    <w:rsid w:val="7BD87B5B"/>
    <w:rsid w:val="7BF41AD4"/>
    <w:rsid w:val="7CB402D4"/>
    <w:rsid w:val="7CB97274"/>
    <w:rsid w:val="7CD47C67"/>
    <w:rsid w:val="7CF4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autoSpaceDE w:val="0"/>
      <w:autoSpaceDN w:val="0"/>
      <w:adjustRightInd w:val="0"/>
      <w:jc w:val="left"/>
    </w:pPr>
    <w:rPr>
      <w:rFonts w:ascii="宋体"/>
      <w:color w:val="000000"/>
      <w:kern w:val="0"/>
      <w:sz w:val="24"/>
    </w:rPr>
  </w:style>
  <w:style w:type="paragraph" w:styleId="4">
    <w:name w:val="Body Text Indent"/>
    <w:basedOn w:val="1"/>
    <w:qFormat/>
    <w:uiPriority w:val="0"/>
    <w:pPr>
      <w:spacing w:line="360" w:lineRule="auto"/>
      <w:ind w:left="600" w:firstLine="655"/>
    </w:pPr>
    <w:rPr>
      <w:rFonts w:ascii="楷体_GB2312" w:eastAsia="楷体_GB2312"/>
      <w:sz w:val="3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paragraph" w:customStyle="1" w:styleId="11">
    <w:name w:val="_Style 2"/>
    <w:basedOn w:val="1"/>
    <w:qFormat/>
    <w:uiPriority w:val="34"/>
    <w:pPr>
      <w:widowControl/>
      <w:ind w:firstLine="420" w:firstLineChars="200"/>
      <w:jc w:val="left"/>
    </w:pPr>
    <w:rPr>
      <w:kern w:val="0"/>
      <w:sz w:val="20"/>
      <w:lang w:eastAsia="en-US"/>
    </w:rPr>
  </w:style>
  <w:style w:type="paragraph" w:customStyle="1" w:styleId="12">
    <w:name w:val="东方正文"/>
    <w:basedOn w:val="1"/>
    <w:qFormat/>
    <w:uiPriority w:val="0"/>
    <w:pPr>
      <w:spacing w:line="400" w:lineRule="exact"/>
      <w:ind w:left="284" w:right="284"/>
    </w:pPr>
    <w:rPr>
      <w:sz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春华秋实</cp:lastModifiedBy>
  <dcterms:modified xsi:type="dcterms:W3CDTF">2022-12-24T14:10:19Z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A056C2CDC1554448809AD4815FBCB076</vt:lpwstr>
  </property>
</Properties>
</file>