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1305-2022-EnMs</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四川欧宝路管业有限责任公司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环境管理体系（</w:t>
      </w:r>
      <w:r>
        <w:rPr>
          <w:sz w:val="28"/>
          <w:szCs w:val="28"/>
        </w:rPr>
        <w:t>E</w:t>
      </w:r>
      <w:r>
        <w:rPr>
          <w:rFonts w:hint="eastAsia"/>
          <w:sz w:val="28"/>
          <w:szCs w:val="28"/>
          <w:lang w:val="en-US" w:eastAsia="zh-CN"/>
        </w:rPr>
        <w:t>n</w:t>
      </w:r>
      <w:r>
        <w:rPr>
          <w:sz w:val="28"/>
          <w:szCs w:val="28"/>
        </w:rPr>
        <w:t>MS</w:t>
      </w:r>
      <w:r>
        <w:rPr>
          <w:rFonts w:hint="eastAsia"/>
          <w:sz w:val="28"/>
          <w:szCs w:val="28"/>
        </w:rPr>
        <w:t>）</w:t>
      </w:r>
    </w:p>
    <w:p>
      <w:pPr>
        <w:pStyle w:val="3"/>
      </w:pP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四川欧宝路管业有限责任公司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四川省德阳市广汉市新丰镇古城村9社</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四川省德阳市广汉市新丰镇古城村9社</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李香莹</w:t>
            </w:r>
            <w:bookmarkEnd w:id="10"/>
          </w:p>
        </w:tc>
        <w:tc>
          <w:tcPr>
            <w:tcW w:w="1313" w:type="dxa"/>
            <w:vAlign w:val="center"/>
          </w:tcPr>
          <w:p>
            <w:r>
              <w:rPr>
                <w:rFonts w:hint="eastAsia"/>
              </w:rPr>
              <w:t>电话.</w:t>
            </w:r>
          </w:p>
        </w:tc>
        <w:tc>
          <w:tcPr>
            <w:tcW w:w="2180" w:type="dxa"/>
            <w:vAlign w:val="center"/>
          </w:tcPr>
          <w:p>
            <w:bookmarkStart w:id="11" w:name="联系人电话"/>
            <w:r>
              <w:t>13880242631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黄秋月</w:t>
            </w:r>
            <w:bookmarkEnd w:id="13"/>
          </w:p>
        </w:tc>
        <w:tc>
          <w:tcPr>
            <w:tcW w:w="1313" w:type="dxa"/>
            <w:vAlign w:val="center"/>
          </w:tcPr>
          <w:p>
            <w:r>
              <w:rPr>
                <w:rFonts w:hint="eastAsia"/>
              </w:rPr>
              <w:t>管理者代表</w:t>
            </w:r>
          </w:p>
        </w:tc>
        <w:tc>
          <w:tcPr>
            <w:tcW w:w="2180" w:type="dxa"/>
          </w:tcPr>
          <w:p>
            <w:bookmarkStart w:id="14" w:name="管理者代表"/>
            <w:r>
              <w:t>李香莹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r>
              <w:rPr>
                <w:rFonts w:hint="eastAsia"/>
                <w:highlight w:val="none"/>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118485" cy="3155950"/>
                  <wp:effectExtent l="0" t="0" r="5715" b="635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3118485" cy="3155950"/>
                          </a:xfrm>
                          <a:prstGeom prst="rect">
                            <a:avLst/>
                          </a:prstGeom>
                          <a:noFill/>
                          <a:ln>
                            <a:noFill/>
                          </a:ln>
                        </pic:spPr>
                      </pic:pic>
                    </a:graphicData>
                  </a:graphic>
                </wp:inline>
              </w:drawing>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2022年12月11日 下午至2022年12月12日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default" w:eastAsia="宋体"/>
                <w:lang w:val="en-US" w:eastAsia="zh-CN"/>
              </w:rPr>
            </w:pPr>
            <w:r>
              <w:rPr>
                <w:rFonts w:hint="eastAsia"/>
                <w:lang w:val="de-DE"/>
              </w:rPr>
              <w:sym w:font="Wingdings 2" w:char="0052"/>
            </w:r>
            <w:r>
              <w:rPr>
                <w:rFonts w:hint="eastAsia"/>
                <w:lang w:val="de-DE"/>
              </w:rPr>
              <w:t xml:space="preserve">RB/T </w:t>
            </w:r>
            <w:r>
              <w:rPr>
                <w:rFonts w:hint="eastAsia"/>
                <w:lang w:val="en-US" w:eastAsia="zh-CN"/>
              </w:rPr>
              <w:t>114-2014；</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河北省石家庄市/河北省保定市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给水用聚丙稀（PP-R）、聚乙稀（PE）管材的生产；排水、电力用聚氯乙烯（PVC）管材、管件的生产所涉及的能源管理活动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tc>
        <w:tc>
          <w:tcPr>
            <w:tcW w:w="1883" w:type="dxa"/>
            <w:vAlign w:val="center"/>
          </w:tcPr>
          <w:p>
            <w:r>
              <w:rPr>
                <w:rFonts w:hint="eastAsia"/>
                <w:lang w:val="en-US" w:eastAsia="zh-CN"/>
              </w:rPr>
              <w:t>能源</w:t>
            </w:r>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06"/>
        <w:gridCol w:w="1340"/>
        <w:gridCol w:w="1140"/>
        <w:gridCol w:w="2850"/>
        <w:gridCol w:w="17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506" w:type="dxa"/>
            <w:shd w:val="clear" w:color="auto" w:fill="F3F3F3"/>
            <w:tcMar>
              <w:left w:w="57" w:type="dxa"/>
              <w:right w:w="57" w:type="dxa"/>
            </w:tcMar>
          </w:tcPr>
          <w:p>
            <w:r>
              <w:rPr>
                <w:rFonts w:hint="eastAsia"/>
              </w:rPr>
              <w:t>组织名称及注册场所地址</w:t>
            </w:r>
          </w:p>
        </w:tc>
        <w:tc>
          <w:tcPr>
            <w:tcW w:w="1340" w:type="dxa"/>
            <w:shd w:val="clear" w:color="auto" w:fill="F3F3F3"/>
            <w:tcMar>
              <w:left w:w="57" w:type="dxa"/>
              <w:right w:w="57" w:type="dxa"/>
            </w:tcMar>
          </w:tcPr>
          <w:p>
            <w:r>
              <w:rPr>
                <w:rFonts w:hint="eastAsia"/>
              </w:rPr>
              <w:t>经营场所的地址</w:t>
            </w:r>
          </w:p>
          <w:p>
            <w:r>
              <w:rPr>
                <w:rFonts w:hint="eastAsia"/>
              </w:rPr>
              <w:t>（多现场和临时现场）</w:t>
            </w:r>
          </w:p>
        </w:tc>
        <w:tc>
          <w:tcPr>
            <w:tcW w:w="1140" w:type="dxa"/>
            <w:shd w:val="clear" w:color="auto" w:fill="F3F3F3"/>
            <w:tcMar>
              <w:left w:w="57" w:type="dxa"/>
              <w:right w:w="57" w:type="dxa"/>
            </w:tcMar>
          </w:tcPr>
          <w:p>
            <w:r>
              <w:rPr>
                <w:rFonts w:hint="eastAsia"/>
              </w:rPr>
              <w:t>员工人数</w:t>
            </w:r>
          </w:p>
        </w:tc>
        <w:tc>
          <w:tcPr>
            <w:tcW w:w="2850" w:type="dxa"/>
            <w:shd w:val="clear" w:color="auto" w:fill="F3F3F3"/>
            <w:tcMar>
              <w:left w:w="57" w:type="dxa"/>
              <w:right w:w="57" w:type="dxa"/>
            </w:tcMar>
          </w:tcPr>
          <w:p>
            <w:r>
              <w:rPr>
                <w:rFonts w:hint="eastAsia"/>
              </w:rPr>
              <w:t>审核范围（产品和过程）</w:t>
            </w:r>
          </w:p>
          <w:p/>
          <w:p/>
        </w:tc>
        <w:tc>
          <w:tcPr>
            <w:tcW w:w="17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50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四川欧宝路管业有限责任公司</w:t>
            </w:r>
            <w:r>
              <w:rPr>
                <w:rFonts w:hint="eastAsia"/>
                <w:sz w:val="21"/>
                <w:szCs w:val="21"/>
                <w:lang w:val="en-US" w:eastAsia="zh-CN"/>
              </w:rPr>
              <w:t>/</w:t>
            </w:r>
            <w:r>
              <w:rPr>
                <w:rFonts w:asciiTheme="minorEastAsia" w:hAnsiTheme="minorEastAsia" w:eastAsiaTheme="minorEastAsia"/>
                <w:sz w:val="20"/>
              </w:rPr>
              <w:t>四川省德阳市广汉市新丰镇古城村9社</w:t>
            </w:r>
          </w:p>
        </w:tc>
        <w:tc>
          <w:tcPr>
            <w:tcW w:w="1340"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四川省德阳市广汉市新丰镇古城村9社</w:t>
            </w:r>
          </w:p>
        </w:tc>
        <w:tc>
          <w:tcPr>
            <w:tcW w:w="114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highlight w:val="none"/>
                <w:lang w:val="en-US" w:eastAsia="zh-CN" w:bidi="ar-SA"/>
              </w:rPr>
              <w:t>总人数104人（能源46人）</w:t>
            </w:r>
          </w:p>
        </w:tc>
        <w:tc>
          <w:tcPr>
            <w:tcW w:w="2850" w:type="dxa"/>
            <w:vAlign w:val="center"/>
          </w:tcPr>
          <w:p>
            <w:pPr>
              <w:pStyle w:val="23"/>
              <w:rPr>
                <w:rFonts w:ascii="Times New Roman" w:hAnsi="Times New Roman" w:eastAsia="黑体" w:cs="Arial"/>
                <w:kern w:val="2"/>
                <w:sz w:val="21"/>
                <w:szCs w:val="21"/>
                <w:lang w:val="en-US" w:eastAsia="ja-JP" w:bidi="ar-SA"/>
              </w:rPr>
            </w:pPr>
            <w:r>
              <w:rPr>
                <w:sz w:val="20"/>
                <w:highlight w:val="none"/>
              </w:rPr>
              <w:t>给水用聚丙稀（PP-R）、聚乙稀（PE）管材的生产；排水、电力用聚氯乙烯（PVC）管材、管件的生产所涉及的能源管理活动</w:t>
            </w:r>
          </w:p>
        </w:tc>
        <w:tc>
          <w:tcPr>
            <w:tcW w:w="1741" w:type="dxa"/>
            <w:vAlign w:val="center"/>
          </w:tcPr>
          <w:p>
            <w:pPr>
              <w:spacing w:before="40" w:after="40"/>
              <w:rPr>
                <w:rFonts w:hint="eastAsia"/>
                <w:lang w:val="en-US" w:eastAsia="zh-CN"/>
              </w:rPr>
            </w:pPr>
            <w:r>
              <w:rPr>
                <w:rFonts w:hint="eastAsia"/>
                <w:lang w:val="en-US" w:eastAsia="zh-CN"/>
              </w:rPr>
              <w:t>GB/T23331-2020</w:t>
            </w:r>
          </w:p>
          <w:p>
            <w:pPr>
              <w:pStyle w:val="3"/>
              <w:rPr>
                <w:rFonts w:hint="default" w:ascii="Times New Roman" w:hAnsi="Times New Roman" w:eastAsia="宋体" w:cs="Times New Roman"/>
                <w:kern w:val="2"/>
                <w:sz w:val="21"/>
                <w:szCs w:val="24"/>
                <w:lang w:val="en-US" w:eastAsia="ja-JP" w:bidi="ar-SA"/>
              </w:rPr>
            </w:pPr>
            <w:r>
              <w:rPr>
                <w:rFonts w:hint="eastAsia" w:eastAsia="黑体"/>
                <w:szCs w:val="21"/>
                <w:lang w:val="en-US" w:eastAsia="zh-CN"/>
              </w:rPr>
              <w:t>RB/T114-2014</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506" w:type="dxa"/>
            <w:vAlign w:val="center"/>
          </w:tcPr>
          <w:p>
            <w:pPr>
              <w:rPr>
                <w:lang w:eastAsia="ja-JP"/>
              </w:rPr>
            </w:pPr>
          </w:p>
        </w:tc>
        <w:tc>
          <w:tcPr>
            <w:tcW w:w="1340" w:type="dxa"/>
            <w:vAlign w:val="center"/>
          </w:tcPr>
          <w:p>
            <w:pPr>
              <w:rPr>
                <w:lang w:eastAsia="ja-JP"/>
              </w:rPr>
            </w:pPr>
          </w:p>
        </w:tc>
        <w:tc>
          <w:tcPr>
            <w:tcW w:w="1140" w:type="dxa"/>
            <w:vAlign w:val="center"/>
          </w:tcPr>
          <w:p>
            <w:pPr>
              <w:rPr>
                <w:lang w:eastAsia="ja-JP"/>
              </w:rPr>
            </w:pPr>
          </w:p>
        </w:tc>
        <w:tc>
          <w:tcPr>
            <w:tcW w:w="2850" w:type="dxa"/>
            <w:vAlign w:val="center"/>
          </w:tcPr>
          <w:p>
            <w:pPr>
              <w:rPr>
                <w:lang w:eastAsia="ja-JP"/>
              </w:rPr>
            </w:pPr>
          </w:p>
        </w:tc>
        <w:tc>
          <w:tcPr>
            <w:tcW w:w="17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1506" w:type="dxa"/>
            <w:vAlign w:val="center"/>
          </w:tcPr>
          <w:p>
            <w:pPr>
              <w:rPr>
                <w:lang w:eastAsia="ja-JP"/>
              </w:rPr>
            </w:pPr>
          </w:p>
        </w:tc>
        <w:tc>
          <w:tcPr>
            <w:tcW w:w="1340" w:type="dxa"/>
            <w:vAlign w:val="center"/>
          </w:tcPr>
          <w:p>
            <w:pPr>
              <w:rPr>
                <w:lang w:eastAsia="ja-JP"/>
              </w:rPr>
            </w:pPr>
          </w:p>
        </w:tc>
        <w:tc>
          <w:tcPr>
            <w:tcW w:w="1140" w:type="dxa"/>
            <w:vAlign w:val="center"/>
          </w:tcPr>
          <w:p>
            <w:pPr>
              <w:rPr>
                <w:lang w:eastAsia="ja-JP"/>
              </w:rPr>
            </w:pPr>
          </w:p>
        </w:tc>
        <w:tc>
          <w:tcPr>
            <w:tcW w:w="2850" w:type="dxa"/>
            <w:vAlign w:val="center"/>
          </w:tcPr>
          <w:p>
            <w:pPr>
              <w:rPr>
                <w:lang w:eastAsia="ja-JP"/>
              </w:rPr>
            </w:pPr>
          </w:p>
        </w:tc>
        <w:tc>
          <w:tcPr>
            <w:tcW w:w="17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组员</w:t>
            </w:r>
          </w:p>
        </w:tc>
        <w:tc>
          <w:tcPr>
            <w:tcW w:w="711" w:type="dxa"/>
            <w:vAlign w:val="center"/>
          </w:tcPr>
          <w:p>
            <w:r>
              <w:t>女</w:t>
            </w:r>
          </w:p>
        </w:tc>
        <w:tc>
          <w:tcPr>
            <w:tcW w:w="3870" w:type="dxa"/>
            <w:vAlign w:val="center"/>
          </w:tcPr>
          <w:p>
            <w:r>
              <w:t>2022-N1EnMS-1024421</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w:t>
      </w:r>
      <w:r>
        <w:rPr>
          <w:rFonts w:hint="eastAsia"/>
        </w:rPr>
        <w:sym w:font="Wingdings 2" w:char="0052"/>
      </w:r>
      <w:r>
        <w:rPr>
          <w:rFonts w:hint="eastAsia"/>
        </w:rPr>
        <w:t>E</w:t>
      </w:r>
      <w:r>
        <w:rPr>
          <w:rFonts w:hint="eastAsia"/>
          <w:lang w:val="en-US" w:eastAsia="zh-CN"/>
        </w:rPr>
        <w:t>n</w:t>
      </w:r>
      <w:r>
        <w:rPr>
          <w:rFonts w:hint="eastAsia"/>
        </w:rPr>
        <w:t>MS□OHSMS）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highlight w:val="cyan"/>
        </w:rPr>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rFonts w:hint="eastAsia" w:ascii="Times New Roman" w:hAnsi="Times New Roman" w:eastAsia="宋体" w:cs="Times New Roman"/>
                <w:kern w:val="2"/>
                <w:sz w:val="21"/>
                <w:szCs w:val="24"/>
                <w:lang w:val="en-US" w:eastAsia="zh-CN" w:bidi="ar-SA"/>
              </w:rPr>
            </w:pPr>
            <w:r>
              <w:rPr>
                <w:rFonts w:hint="eastAsia"/>
              </w:rPr>
              <w:t>EnMS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tcBorders/>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tcBorders/>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tcBorders/>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tcBorders/>
            <w:shd w:val="clear" w:color="auto" w:fill="auto"/>
          </w:tcPr>
          <w:p/>
        </w:tc>
        <w:tc>
          <w:tcPr>
            <w:tcW w:w="8350" w:type="dxa"/>
            <w:gridSpan w:val="2"/>
            <w:shd w:val="clear" w:color="auto" w:fill="auto"/>
          </w:tcPr>
          <w:p>
            <w:pPr>
              <w:rPr>
                <w:rFonts w:hint="eastAsia"/>
              </w:rPr>
            </w:pPr>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w:t>
            </w:r>
            <w:r>
              <w:rPr>
                <w:rFonts w:hint="eastAsia"/>
                <w:lang w:val="en-US" w:eastAsia="zh-CN"/>
              </w:rPr>
              <w:t>n</w:t>
            </w:r>
            <w:r>
              <w:rPr>
                <w:rFonts w:hint="eastAsia"/>
              </w:rPr>
              <w:t>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bookmarkStart w:id="34" w:name="总组长Add1"/>
            <w:r>
              <w:drawing>
                <wp:anchor distT="0" distB="0" distL="114300" distR="114300" simplePos="0" relativeHeight="251663360" behindDoc="0" locked="0" layoutInCell="1" allowOverlap="1">
                  <wp:simplePos x="0" y="0"/>
                  <wp:positionH relativeFrom="column">
                    <wp:posOffset>-309880</wp:posOffset>
                  </wp:positionH>
                  <wp:positionV relativeFrom="paragraph">
                    <wp:posOffset>6838315</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673100" cy="274955"/>
                          </a:xfrm>
                          <a:prstGeom prst="rect">
                            <a:avLst/>
                          </a:prstGeom>
                          <a:noFill/>
                          <a:ln>
                            <a:noFill/>
                          </a:ln>
                        </pic:spPr>
                      </pic:pic>
                    </a:graphicData>
                  </a:graphic>
                </wp:anchor>
              </w:drawing>
            </w:r>
            <w:bookmarkEnd w:id="34"/>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生产/服务过程</w:t>
            </w:r>
            <w:r>
              <w:rPr>
                <w:rFonts w:hint="eastAsia"/>
              </w:rPr>
              <w:sym w:font="Wingdings 2" w:char="00A3"/>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color w:val="000000"/>
                <w:szCs w:val="18"/>
                <w:highlight w:val="none"/>
              </w:rPr>
            </w:pPr>
            <w:r>
              <w:rPr>
                <w:rFonts w:hint="eastAsia"/>
              </w:rPr>
              <w:t>最高管理者制定了文件化的管理体系方针：</w:t>
            </w:r>
            <w:r>
              <w:rPr>
                <w:rFonts w:hint="eastAsia" w:ascii="Times New Roman" w:hAnsi="Times New Roman" w:eastAsia="宋体" w:cs="Times New Roman"/>
                <w:b/>
                <w:bCs/>
                <w:color w:val="000000"/>
                <w:szCs w:val="18"/>
                <w:highlight w:val="none"/>
              </w:rPr>
              <w:t>遵守法规 清洁生产</w:t>
            </w:r>
            <w:r>
              <w:rPr>
                <w:rFonts w:hint="eastAsia" w:ascii="Times New Roman" w:hAnsi="Times New Roman" w:eastAsia="宋体" w:cs="Times New Roman"/>
                <w:b/>
                <w:bCs/>
                <w:color w:val="000000"/>
                <w:szCs w:val="18"/>
                <w:highlight w:val="none"/>
                <w:lang w:eastAsia="zh-CN"/>
              </w:rPr>
              <w:t>；</w:t>
            </w:r>
            <w:r>
              <w:rPr>
                <w:rFonts w:hint="eastAsia" w:ascii="Times New Roman" w:hAnsi="Times New Roman" w:eastAsia="宋体" w:cs="Times New Roman"/>
                <w:b/>
                <w:bCs/>
                <w:color w:val="000000"/>
                <w:szCs w:val="18"/>
                <w:highlight w:val="none"/>
                <w:lang w:val="en-US" w:eastAsia="zh-CN"/>
              </w:rPr>
              <w:t>节能降耗</w:t>
            </w:r>
            <w:r>
              <w:rPr>
                <w:rFonts w:hint="eastAsia" w:ascii="Times New Roman" w:hAnsi="Times New Roman" w:eastAsia="宋体" w:cs="Times New Roman"/>
                <w:b/>
                <w:bCs/>
                <w:color w:val="000000"/>
                <w:szCs w:val="18"/>
                <w:highlight w:val="none"/>
              </w:rPr>
              <w:t xml:space="preserve"> 创新改造</w:t>
            </w:r>
            <w:r>
              <w:rPr>
                <w:rFonts w:hint="eastAsia" w:ascii="Times New Roman" w:hAnsi="Times New Roman" w:eastAsia="宋体" w:cs="Times New Roman"/>
                <w:b/>
                <w:bCs/>
                <w:color w:val="000000"/>
                <w:szCs w:val="18"/>
                <w:highlight w:val="none"/>
                <w:lang w:eastAsia="zh-CN"/>
              </w:rPr>
              <w:t>；</w:t>
            </w:r>
            <w:r>
              <w:rPr>
                <w:rFonts w:hint="eastAsia" w:ascii="Times New Roman" w:hAnsi="Times New Roman" w:eastAsia="宋体" w:cs="Times New Roman"/>
                <w:b/>
                <w:bCs/>
                <w:color w:val="000000"/>
                <w:szCs w:val="18"/>
                <w:highlight w:val="none"/>
                <w:lang w:val="en-US" w:eastAsia="zh-CN"/>
              </w:rPr>
              <w:t>能耗限额 持续改进</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highlight w:val="none"/>
                <w:lang w:val="en-US" w:eastAsia="zh-CN"/>
              </w:rPr>
              <w:t>生产技术部</w:t>
            </w:r>
            <w:r>
              <w:rPr>
                <w:rFonts w:hint="eastAsia"/>
                <w:lang w:val="en-US" w:eastAsia="zh-CN"/>
              </w:rPr>
              <w:t xml:space="preserve"> </w:t>
            </w:r>
            <w:r>
              <w:rPr>
                <w:rFonts w:hint="eastAsia"/>
              </w:rPr>
              <w:sym w:font="Wingdings 2" w:char="0052"/>
            </w:r>
            <w:r>
              <w:rPr>
                <w:rFonts w:hint="eastAsia"/>
              </w:rPr>
              <w:t>能源管理团队</w:t>
            </w:r>
            <w:r>
              <w:rPr>
                <w:rFonts w:hint="eastAsia"/>
                <w:lang w:eastAsia="zh-CN"/>
              </w:rPr>
              <w:t>——</w:t>
            </w:r>
            <w:r>
              <w:rPr>
                <w:rFonts w:hint="eastAsia"/>
                <w:highlight w:val="none"/>
                <w:lang w:val="en-US" w:eastAsia="zh-CN"/>
              </w:rPr>
              <w:t>生产技术部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游思桂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能源使用包括(必要时，按每个场所来描述):（不必全选）</w:t>
            </w:r>
          </w:p>
          <w:p>
            <w:pPr>
              <w:shd w:val="clear" w:color="auto" w:fill="EBF1DE" w:themeFill="accent3" w:themeFillTint="32"/>
              <w:spacing w:before="40" w:after="40"/>
            </w:pPr>
            <w:r>
              <w:rPr>
                <w:rFonts w:hint="eastAsia"/>
              </w:rPr>
              <w:t>□蒸汽</w:t>
            </w:r>
            <w:r>
              <w:rPr>
                <w:rFonts w:hint="eastAsia"/>
                <w:highlight w:val="none"/>
              </w:rPr>
              <w:sym w:font="Wingdings 2" w:char="0052"/>
            </w:r>
            <w:r>
              <w:rPr>
                <w:rFonts w:hint="eastAsia"/>
                <w:highlight w:val="none"/>
                <w:lang w:val="en-US" w:eastAsia="zh-CN"/>
              </w:rPr>
              <w:t>液化</w:t>
            </w:r>
            <w:r>
              <w:rPr>
                <w:rFonts w:hint="eastAsia"/>
                <w:highlight w:val="none"/>
              </w:rPr>
              <w:t>气</w:t>
            </w:r>
            <w:r>
              <w:rPr>
                <w:rFonts w:hint="eastAsia"/>
                <w:highlight w:val="none"/>
              </w:rPr>
              <w:sym w:font="Wingdings 2" w:char="0052"/>
            </w:r>
            <w:r>
              <w:rPr>
                <w:rFonts w:hint="eastAsia"/>
                <w:highlight w:val="none"/>
              </w:rPr>
              <w:t>燃料油</w:t>
            </w:r>
            <w:r>
              <w:rPr>
                <w:rFonts w:hint="eastAsia"/>
              </w:rPr>
              <w:t>□燃料气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rPr>
                <w:rFonts w:hint="default" w:eastAsia="宋体"/>
                <w:lang w:val="en-US" w:eastAsia="zh-CN"/>
              </w:rPr>
            </w:pPr>
            <w:r>
              <w:rPr>
                <w:rFonts w:hint="eastAsia"/>
              </w:rPr>
              <w:t>□其他</w:t>
            </w:r>
            <w:r>
              <w:rPr>
                <w:rFonts w:hint="eastAsia"/>
                <w:lang w:eastAsia="zh-CN"/>
              </w:rPr>
              <w:t>——</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w:t>
            </w:r>
            <w:r>
              <w:rPr>
                <w:rFonts w:hint="eastAsia"/>
              </w:rPr>
              <w:sym w:font="Wingdings 2" w:char="0052"/>
            </w:r>
            <w:r>
              <w:rPr>
                <w:rFonts w:hint="eastAsia"/>
              </w:rPr>
              <w:t>单位产</w:t>
            </w:r>
            <w:r>
              <w:rPr>
                <w:rFonts w:hint="eastAsia"/>
                <w:lang w:val="en-US" w:eastAsia="zh-CN"/>
              </w:rPr>
              <w:t>值综合能耗</w:t>
            </w:r>
            <w:r>
              <w:rPr>
                <w:rFonts w:hint="eastAsia"/>
              </w:rPr>
              <w:t>□加热炉热效率□其他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rPr>
              <w:t>：</w:t>
            </w:r>
            <w:r>
              <w:rPr>
                <w:rFonts w:hint="eastAsia"/>
                <w:highlight w:val="none"/>
                <w:lang w:val="en-US" w:eastAsia="zh-CN"/>
              </w:rPr>
              <w:t>2022.11.30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sym w:font="Wingdings 2" w:char="0052"/>
            </w: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940"/>
              <w:gridCol w:w="127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rPr>
                    <w:t>节能目标</w:t>
                  </w:r>
                  <w:r>
                    <w:rPr>
                      <w:rFonts w:hint="eastAsia" w:ascii="宋体" w:hAnsi="宋体"/>
                      <w:lang w:val="en-US" w:eastAsia="zh-CN"/>
                    </w:rPr>
                    <w:t>2022年</w:t>
                  </w:r>
                </w:p>
              </w:tc>
              <w:tc>
                <w:tcPr>
                  <w:tcW w:w="294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7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894"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2022年1-11月</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eastAsia="宋体" w:cs="Times New Roman"/>
                      <w:sz w:val="21"/>
                      <w:szCs w:val="21"/>
                    </w:rPr>
                    <w:t>综合能耗，</w:t>
                  </w:r>
                  <w:r>
                    <w:rPr>
                      <w:rFonts w:hint="eastAsia" w:ascii="宋体" w:hAnsi="宋体" w:cs="Times New Roman"/>
                      <w:sz w:val="21"/>
                      <w:szCs w:val="21"/>
                      <w:lang w:val="en-US" w:eastAsia="zh-CN"/>
                    </w:rPr>
                    <w:t>1300</w:t>
                  </w:r>
                  <w:r>
                    <w:rPr>
                      <w:rFonts w:hint="eastAsia" w:ascii="宋体" w:hAnsi="宋体" w:eastAsia="宋体" w:cs="Times New Roman"/>
                      <w:sz w:val="21"/>
                      <w:szCs w:val="21"/>
                    </w:rPr>
                    <w:t>tce</w:t>
                  </w:r>
                </w:p>
              </w:tc>
              <w:tc>
                <w:tcPr>
                  <w:tcW w:w="294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US" w:eastAsia="zh-CN" w:bidi="ar-SA"/>
                    </w:rPr>
                  </w:pPr>
                  <w:r>
                    <w:rPr>
                      <w:rFonts w:hint="eastAsia"/>
                      <w:highlight w:val="none"/>
                      <w:lang w:val="en-US" w:eastAsia="zh-CN"/>
                    </w:rPr>
                    <w:t>加强节能管理，控制用电设备运行效率管理</w:t>
                  </w:r>
                </w:p>
              </w:tc>
              <w:tc>
                <w:tcPr>
                  <w:tcW w:w="127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GB" w:eastAsia="zh-CN" w:bidi="ar-SA"/>
                    </w:rPr>
                  </w:pPr>
                  <w:r>
                    <w:rPr>
                      <w:rFonts w:hint="eastAsia"/>
                      <w:highlight w:val="none"/>
                      <w:lang w:val="en-US" w:eastAsia="zh-CN"/>
                    </w:rPr>
                    <w:t>生产技术部</w:t>
                  </w:r>
                </w:p>
              </w:tc>
              <w:tc>
                <w:tcPr>
                  <w:tcW w:w="1894" w:type="dxa"/>
                  <w:shd w:val="clear" w:color="auto" w:fill="auto"/>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实际</w:t>
                  </w:r>
                  <w:r>
                    <w:rPr>
                      <w:rFonts w:hint="eastAsia" w:ascii="Times New Roman" w:hAnsi="Times New Roman" w:eastAsia="宋体" w:cs="Times New Roman"/>
                      <w:color w:val="000000"/>
                      <w:szCs w:val="18"/>
                      <w:highlight w:val="none"/>
                      <w:lang w:val="en-US" w:eastAsia="zh-CN"/>
                    </w:rPr>
                    <w:t>完成</w:t>
                  </w:r>
                </w:p>
                <w:p>
                  <w:pPr>
                    <w:widowControl/>
                    <w:spacing w:before="40"/>
                    <w:jc w:val="left"/>
                    <w:rPr>
                      <w:rFonts w:ascii="宋体" w:hAnsi="宋体" w:eastAsia="宋体" w:cs="Times New Roman"/>
                      <w:kern w:val="2"/>
                      <w:sz w:val="21"/>
                      <w:szCs w:val="24"/>
                      <w:highlight w:val="yellow"/>
                      <w:lang w:val="en-GB" w:eastAsia="zh-CN" w:bidi="ar-SA"/>
                    </w:rPr>
                  </w:pPr>
                  <w:r>
                    <w:rPr>
                      <w:rFonts w:hint="eastAsia" w:ascii="宋体" w:hAnsi="宋体" w:eastAsia="宋体" w:cs="Times New Roman"/>
                      <w:sz w:val="21"/>
                      <w:szCs w:val="21"/>
                      <w:lang w:val="en-US" w:eastAsia="zh-CN"/>
                    </w:rPr>
                    <w:t xml:space="preserve">1135.92 </w:t>
                  </w:r>
                  <w:r>
                    <w:rPr>
                      <w:rFonts w:hint="eastAsia" w:eastAsia="宋体"/>
                      <w:color w:val="000000"/>
                      <w:szCs w:val="18"/>
                      <w:highlight w:val="none"/>
                      <w:lang w:val="en-US" w:eastAsia="zh-CN"/>
                    </w:rPr>
                    <w:t>t</w:t>
                  </w:r>
                  <w:r>
                    <w:rPr>
                      <w:rFonts w:hint="eastAsia"/>
                      <w:color w:val="000000"/>
                      <w:szCs w:val="18"/>
                      <w:highlight w:val="none"/>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eastAsia="宋体" w:cs="Times New Roman"/>
                      <w:sz w:val="21"/>
                      <w:szCs w:val="21"/>
                    </w:rPr>
                    <w:t>单位产</w:t>
                  </w:r>
                  <w:r>
                    <w:rPr>
                      <w:rFonts w:hint="eastAsia" w:ascii="宋体" w:hAnsi="宋体" w:eastAsia="宋体" w:cs="Times New Roman"/>
                      <w:sz w:val="21"/>
                      <w:szCs w:val="21"/>
                      <w:lang w:val="en-US" w:eastAsia="zh-CN"/>
                    </w:rPr>
                    <w:t>品</w:t>
                  </w:r>
                  <w:r>
                    <w:rPr>
                      <w:rFonts w:hint="eastAsia" w:ascii="宋体" w:hAnsi="宋体" w:eastAsia="宋体" w:cs="Times New Roman"/>
                      <w:sz w:val="21"/>
                      <w:szCs w:val="21"/>
                    </w:rPr>
                    <w:t>综合能耗</w:t>
                  </w:r>
                  <w:r>
                    <w:rPr>
                      <w:rFonts w:hint="eastAsia" w:ascii="宋体" w:hAnsi="宋体" w:eastAsia="宋体" w:cs="Times New Roman"/>
                      <w:sz w:val="21"/>
                      <w:szCs w:val="21"/>
                      <w:lang w:val="en-US" w:eastAsia="zh-CN"/>
                    </w:rPr>
                    <w:t xml:space="preserve"> 80kgce/吨</w:t>
                  </w:r>
                </w:p>
              </w:tc>
              <w:tc>
                <w:tcPr>
                  <w:tcW w:w="294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加强节能管理，控制用电设备运行效率管理，提高产品产量</w:t>
                  </w:r>
                </w:p>
              </w:tc>
              <w:tc>
                <w:tcPr>
                  <w:tcW w:w="1270"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r>
                    <w:rPr>
                      <w:rFonts w:hint="eastAsia"/>
                      <w:highlight w:val="none"/>
                      <w:lang w:val="en-US" w:eastAsia="zh-CN"/>
                    </w:rPr>
                    <w:t>生产技术部</w:t>
                  </w:r>
                </w:p>
              </w:tc>
              <w:tc>
                <w:tcPr>
                  <w:tcW w:w="1894" w:type="dxa"/>
                  <w:shd w:val="clear" w:color="auto" w:fill="auto"/>
                  <w:vAlign w:val="top"/>
                </w:tcPr>
                <w:p>
                  <w:pPr>
                    <w:widowControl/>
                    <w:spacing w:before="40"/>
                    <w:jc w:val="left"/>
                    <w:rPr>
                      <w:rFonts w:hint="default" w:ascii="宋体" w:hAnsi="宋体" w:eastAsia="宋体" w:cs="Times New Roman"/>
                      <w:kern w:val="2"/>
                      <w:sz w:val="21"/>
                      <w:szCs w:val="24"/>
                      <w:highlight w:val="yellow"/>
                      <w:lang w:val="en-US" w:eastAsia="zh-CN" w:bidi="ar-SA"/>
                    </w:rPr>
                  </w:pPr>
                  <w:r>
                    <w:rPr>
                      <w:rFonts w:hint="eastAsia" w:cs="Times New Roman"/>
                      <w:color w:val="000000"/>
                      <w:szCs w:val="18"/>
                      <w:highlight w:val="none"/>
                      <w:lang w:val="en-US" w:eastAsia="zh-CN"/>
                    </w:rPr>
                    <w:t>实际</w:t>
                  </w:r>
                  <w:r>
                    <w:rPr>
                      <w:rFonts w:hint="eastAsia" w:ascii="Times New Roman" w:hAnsi="Times New Roman" w:eastAsia="宋体" w:cs="Times New Roman"/>
                      <w:color w:val="000000"/>
                      <w:szCs w:val="18"/>
                      <w:highlight w:val="none"/>
                      <w:lang w:val="en-US" w:eastAsia="zh-CN"/>
                    </w:rPr>
                    <w:t>完成</w:t>
                  </w:r>
                  <w:r>
                    <w:rPr>
                      <w:rFonts w:hint="eastAsia" w:ascii="宋体" w:hAnsi="宋体" w:eastAsia="宋体" w:cs="Times New Roman"/>
                      <w:sz w:val="21"/>
                      <w:szCs w:val="21"/>
                      <w:lang w:val="en-US" w:eastAsia="zh-CN"/>
                    </w:rPr>
                    <w:t>86.04</w:t>
                  </w:r>
                  <w:r>
                    <w:rPr>
                      <w:rFonts w:hint="eastAsia"/>
                      <w:color w:val="000000"/>
                      <w:szCs w:val="18"/>
                      <w:highlight w:val="none"/>
                    </w:rPr>
                    <w:t xml:space="preserve">kgce/万元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shd w:val="clear" w:color="auto" w:fill="auto"/>
                  <w:vAlign w:val="center"/>
                </w:tcPr>
                <w:p>
                  <w:pPr>
                    <w:jc w:val="left"/>
                    <w:rPr>
                      <w:highlight w:val="yellow"/>
                    </w:rPr>
                  </w:pPr>
                  <w:r>
                    <w:rPr>
                      <w:rFonts w:hint="eastAsia" w:ascii="宋体" w:hAnsi="宋体" w:eastAsia="宋体" w:cs="Times New Roman"/>
                      <w:sz w:val="21"/>
                      <w:szCs w:val="21"/>
                    </w:rPr>
                    <w:t>单位产</w:t>
                  </w:r>
                  <w:r>
                    <w:rPr>
                      <w:rFonts w:hint="eastAsia" w:ascii="宋体" w:hAnsi="宋体" w:eastAsia="宋体" w:cs="Times New Roman"/>
                      <w:sz w:val="21"/>
                      <w:szCs w:val="21"/>
                      <w:lang w:val="en-US" w:eastAsia="zh-CN"/>
                    </w:rPr>
                    <w:t>值</w:t>
                  </w:r>
                  <w:r>
                    <w:rPr>
                      <w:rFonts w:hint="eastAsia" w:ascii="宋体" w:hAnsi="宋体" w:eastAsia="宋体" w:cs="Times New Roman"/>
                      <w:sz w:val="21"/>
                      <w:szCs w:val="21"/>
                    </w:rPr>
                    <w:t>综合能耗</w:t>
                  </w:r>
                  <w:r>
                    <w:rPr>
                      <w:rFonts w:hint="eastAsia" w:ascii="宋体" w:hAnsi="宋体" w:eastAsia="宋体" w:cs="Times New Roman"/>
                      <w:sz w:val="21"/>
                      <w:szCs w:val="21"/>
                      <w:lang w:val="en-US" w:eastAsia="zh-CN"/>
                    </w:rPr>
                    <w:t xml:space="preserve"> 110kgce/万元</w:t>
                  </w:r>
                </w:p>
              </w:tc>
              <w:tc>
                <w:tcPr>
                  <w:tcW w:w="294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highlight w:val="none"/>
                      <w:lang w:val="en-US" w:eastAsia="zh-CN"/>
                    </w:rPr>
                    <w:t>加强节能管理，控制用电设备运行效率管理，提高产品附加值</w:t>
                  </w:r>
                </w:p>
              </w:tc>
              <w:tc>
                <w:tcPr>
                  <w:tcW w:w="127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highlight w:val="none"/>
                      <w:lang w:val="en-US" w:eastAsia="zh-CN"/>
                    </w:rPr>
                    <w:t>生产技术部</w:t>
                  </w:r>
                </w:p>
              </w:tc>
              <w:tc>
                <w:tcPr>
                  <w:tcW w:w="1894" w:type="dxa"/>
                  <w:shd w:val="clear" w:color="auto" w:fill="auto"/>
                  <w:vAlign w:val="top"/>
                </w:tcPr>
                <w:p>
                  <w:pPr>
                    <w:widowControl/>
                    <w:spacing w:before="40"/>
                    <w:jc w:val="left"/>
                    <w:rPr>
                      <w:rFonts w:hint="eastAsia"/>
                      <w:lang w:val="en-US" w:eastAsia="zh-CN"/>
                    </w:rPr>
                  </w:pPr>
                  <w:r>
                    <w:rPr>
                      <w:rFonts w:hint="eastAsia"/>
                      <w:lang w:val="en-US" w:eastAsia="zh-CN"/>
                    </w:rPr>
                    <w:t>实际完成</w:t>
                  </w:r>
                </w:p>
                <w:p>
                  <w:pPr>
                    <w:widowControl/>
                    <w:spacing w:before="40"/>
                    <w:jc w:val="left"/>
                    <w:rPr>
                      <w:rFonts w:hint="default"/>
                      <w:lang w:val="en-US"/>
                    </w:rPr>
                  </w:pPr>
                  <w:r>
                    <w:rPr>
                      <w:rFonts w:hint="eastAsia"/>
                      <w:lang w:val="en-US" w:eastAsia="zh-CN"/>
                    </w:rPr>
                    <w:t xml:space="preserve">123.66 </w:t>
                  </w:r>
                  <w:r>
                    <w:rPr>
                      <w:rFonts w:hint="eastAsia"/>
                    </w:rPr>
                    <w:t xml:space="preserve">kgce/万元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shd w:val="clear" w:color="auto" w:fill="auto"/>
                  <w:vAlign w:val="center"/>
                </w:tcPr>
                <w:p>
                  <w:pPr>
                    <w:jc w:val="left"/>
                    <w:rPr>
                      <w:rFonts w:hint="eastAsia" w:ascii="宋体" w:hAnsi="宋体" w:eastAsia="宋体" w:cs="Times New Roman"/>
                      <w:sz w:val="21"/>
                      <w:szCs w:val="21"/>
                    </w:rPr>
                  </w:pPr>
                </w:p>
              </w:tc>
              <w:tc>
                <w:tcPr>
                  <w:tcW w:w="2940" w:type="dxa"/>
                  <w:shd w:val="clear" w:color="auto" w:fill="auto"/>
                  <w:vAlign w:val="center"/>
                </w:tcPr>
                <w:p>
                  <w:pPr>
                    <w:shd w:val="clear" w:color="auto" w:fill="EBF1DE" w:themeFill="accent3" w:themeFillTint="32"/>
                    <w:rPr>
                      <w:rFonts w:hint="eastAsia"/>
                      <w:highlight w:val="none"/>
                      <w:lang w:val="en-US" w:eastAsia="zh-CN"/>
                    </w:rPr>
                  </w:pPr>
                </w:p>
              </w:tc>
              <w:tc>
                <w:tcPr>
                  <w:tcW w:w="1270" w:type="dxa"/>
                  <w:shd w:val="clear" w:color="auto" w:fill="auto"/>
                  <w:vAlign w:val="center"/>
                </w:tcPr>
                <w:p>
                  <w:pPr>
                    <w:shd w:val="clear" w:color="auto" w:fill="EBF1DE" w:themeFill="accent3" w:themeFillTint="32"/>
                    <w:rPr>
                      <w:rFonts w:hint="eastAsia"/>
                      <w:highlight w:val="none"/>
                      <w:lang w:val="en-US" w:eastAsia="zh-CN"/>
                    </w:rPr>
                  </w:pPr>
                </w:p>
              </w:tc>
              <w:tc>
                <w:tcPr>
                  <w:tcW w:w="1894" w:type="dxa"/>
                  <w:shd w:val="clear" w:color="auto" w:fill="auto"/>
                  <w:vAlign w:val="center"/>
                </w:tcPr>
                <w:p>
                  <w:pPr>
                    <w:jc w:val="left"/>
                    <w:rPr>
                      <w:rFonts w:hint="eastAsia" w:ascii="宋体" w:hAnsi="宋体" w:eastAsia="宋体" w:cs="Times New Roman"/>
                      <w:kern w:val="2"/>
                      <w:sz w:val="21"/>
                      <w:szCs w:val="21"/>
                      <w:lang w:val="en-US" w:eastAsia="zh-CN" w:bidi="ar-SA"/>
                    </w:rPr>
                  </w:pP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(综合能耗指标完成）。</w:t>
            </w:r>
          </w:p>
          <w:p>
            <w:pPr>
              <w:shd w:val="clear" w:color="auto" w:fill="EBF1DE" w:themeFill="accent3" w:themeFillTint="32"/>
            </w:pPr>
            <w:r>
              <w:rPr>
                <w:rFonts w:hint="eastAsia" w:ascii="Wingdings" w:hAnsi="Wingdings"/>
                <w:lang w:eastAsia="zh-CN"/>
              </w:rPr>
              <w:sym w:font="Wingdings 2" w:char="0052"/>
            </w:r>
            <w:r>
              <w:rPr>
                <w:rFonts w:hint="eastAsia"/>
              </w:rPr>
              <w:t>目标没有实现的，组织</w:t>
            </w:r>
            <w:r>
              <w:rPr>
                <w:rFonts w:hint="eastAsia"/>
                <w:lang w:val="en-US" w:eastAsia="zh-CN"/>
              </w:rPr>
              <w:t>未</w:t>
            </w:r>
            <w:r>
              <w:rPr>
                <w:rFonts w:hint="eastAsia"/>
              </w:rPr>
              <w:t>进行原因分析并采取了改进措施</w:t>
            </w:r>
            <w:r>
              <w:rPr>
                <w:rFonts w:hint="eastAsia"/>
                <w:lang w:eastAsia="zh-CN"/>
              </w:rPr>
              <w:t>——</w:t>
            </w:r>
            <w:r>
              <w:rPr>
                <w:rFonts w:hint="eastAsia"/>
                <w:lang w:val="en-US" w:eastAsia="zh-CN"/>
              </w:rPr>
              <w:t>已列出问题项，已与企业沟通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lang w:val="en-US" w:eastAsia="zh-CN"/>
              </w:rPr>
            </w:pPr>
            <w:r>
              <w:rPr>
                <w:rFonts w:hint="eastAsia"/>
                <w:lang w:val="en-US" w:eastAsia="zh-CN"/>
              </w:rPr>
              <w:t>企业占地40亩，建筑面积15000㎡</w:t>
            </w:r>
            <w:r>
              <w:rPr>
                <w:rFonts w:hint="eastAsia" w:ascii="Times New Roman" w:hAnsi="Times New Roman" w:eastAsia="宋体" w:cs="Times New Roman"/>
                <w:lang w:val="en-US" w:eastAsia="zh-CN"/>
              </w:rPr>
              <w:t>；2个生产车间（其中PE生产线18条，PVC生产线7条，PPR生产线3条）实验室1个，库房2个；</w:t>
            </w:r>
          </w:p>
          <w:p>
            <w:pPr>
              <w:shd w:val="clear" w:color="auto" w:fill="EBF1DE" w:themeFill="accent3" w:themeFillTint="32"/>
              <w:rPr>
                <w:highlight w:val="none"/>
                <w:u w:val="single"/>
              </w:rPr>
            </w:pPr>
            <w:r>
              <w:rPr>
                <w:rFonts w:hint="eastAsia"/>
              </w:rPr>
              <w:t>主要生产设备有：</w:t>
            </w:r>
            <w:r>
              <w:rPr>
                <w:rFonts w:hint="eastAsia"/>
                <w:u w:val="single"/>
                <w:lang w:val="en-US" w:eastAsia="zh-CN"/>
              </w:rPr>
              <w:t>喂料机</w:t>
            </w:r>
            <w:r>
              <w:rPr>
                <w:rFonts w:hint="eastAsia"/>
                <w:color w:val="000000"/>
                <w:szCs w:val="22"/>
                <w:highlight w:val="none"/>
                <w:u w:val="single"/>
              </w:rPr>
              <w:t>、</w:t>
            </w:r>
            <w:r>
              <w:rPr>
                <w:rFonts w:hint="eastAsia"/>
                <w:color w:val="000000"/>
                <w:szCs w:val="22"/>
                <w:highlight w:val="none"/>
                <w:u w:val="single"/>
                <w:lang w:val="en-US" w:eastAsia="zh-CN"/>
              </w:rPr>
              <w:t>空压机</w:t>
            </w:r>
            <w:r>
              <w:rPr>
                <w:rFonts w:hint="eastAsia"/>
                <w:color w:val="000000"/>
                <w:szCs w:val="22"/>
                <w:highlight w:val="none"/>
                <w:u w:val="single"/>
              </w:rPr>
              <w:t>、</w:t>
            </w:r>
            <w:r>
              <w:rPr>
                <w:rFonts w:hint="eastAsia" w:ascii="Times New Roman" w:hAnsi="Times New Roman" w:eastAsia="宋体" w:cs="Times New Roman"/>
                <w:color w:val="000000"/>
                <w:szCs w:val="22"/>
                <w:highlight w:val="none"/>
                <w:u w:val="single"/>
                <w:lang w:val="en-US" w:eastAsia="zh-CN"/>
              </w:rPr>
              <w:t>挤塑机、注塑机、粉碎机、</w:t>
            </w:r>
            <w:r>
              <w:rPr>
                <w:rFonts w:hint="eastAsia"/>
                <w:color w:val="000000"/>
                <w:szCs w:val="22"/>
                <w:highlight w:val="none"/>
                <w:u w:val="single"/>
                <w:lang w:val="en-US" w:eastAsia="zh-CN"/>
              </w:rPr>
              <w:t>冷却成型机、除尘系统等</w:t>
            </w:r>
            <w:r>
              <w:rPr>
                <w:rFonts w:hint="eastAsia"/>
                <w:highlight w:val="none"/>
                <w:u w:val="single"/>
              </w:rPr>
              <w:t>（列举2~4种）</w:t>
            </w:r>
          </w:p>
          <w:p>
            <w:pPr>
              <w:shd w:val="clear" w:color="auto" w:fill="EBF1DE" w:themeFill="accent3" w:themeFillTint="32"/>
              <w:rPr>
                <w:rFonts w:hint="eastAsia"/>
                <w:highlight w:val="none"/>
                <w:u w:val="single"/>
                <w:lang w:eastAsia="zh-CN"/>
              </w:rPr>
            </w:pPr>
            <w:r>
              <w:rPr>
                <w:rFonts w:hint="eastAsia"/>
                <w:highlight w:val="none"/>
              </w:rPr>
              <w:t>主要耗能设备有：</w:t>
            </w:r>
            <w:r>
              <w:rPr>
                <w:rFonts w:hint="eastAsia"/>
                <w:u w:val="single"/>
                <w:lang w:val="en-US" w:eastAsia="zh-CN"/>
              </w:rPr>
              <w:t>喂料机</w:t>
            </w:r>
            <w:r>
              <w:rPr>
                <w:rFonts w:hint="eastAsia"/>
                <w:color w:val="000000"/>
                <w:szCs w:val="22"/>
                <w:highlight w:val="none"/>
                <w:u w:val="single"/>
              </w:rPr>
              <w:t>、</w:t>
            </w:r>
            <w:r>
              <w:rPr>
                <w:rFonts w:hint="eastAsia"/>
                <w:color w:val="000000"/>
                <w:szCs w:val="22"/>
                <w:highlight w:val="none"/>
                <w:u w:val="single"/>
                <w:lang w:val="en-US" w:eastAsia="zh-CN"/>
              </w:rPr>
              <w:t>空压机</w:t>
            </w:r>
            <w:r>
              <w:rPr>
                <w:rFonts w:hint="eastAsia"/>
                <w:color w:val="000000"/>
                <w:szCs w:val="22"/>
                <w:highlight w:val="none"/>
                <w:u w:val="single"/>
              </w:rPr>
              <w:t>、</w:t>
            </w:r>
            <w:r>
              <w:rPr>
                <w:rFonts w:hint="eastAsia"/>
                <w:color w:val="000000"/>
                <w:szCs w:val="22"/>
                <w:highlight w:val="none"/>
                <w:u w:val="single"/>
                <w:lang w:val="en-US" w:eastAsia="zh-CN"/>
              </w:rPr>
              <w:t>冷却成型机</w:t>
            </w:r>
            <w:r>
              <w:rPr>
                <w:rFonts w:hint="eastAsia"/>
                <w:highlight w:val="none"/>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w:t>
            </w:r>
            <w:r>
              <w:rPr>
                <w:rFonts w:hint="eastAsia"/>
                <w:lang w:val="en-US" w:eastAsia="zh-CN"/>
              </w:rPr>
              <w:t>箱</w:t>
            </w:r>
            <w:r>
              <w:rPr>
                <w:rFonts w:hint="eastAsia" w:ascii="Wingdings" w:hAnsi="Wingdings"/>
                <w:lang w:eastAsia="zh-CN"/>
              </w:rPr>
              <w:sym w:font="Wingdings 2" w:char="0052"/>
            </w:r>
            <w:r>
              <w:rPr>
                <w:rFonts w:hint="eastAsia"/>
              </w:rPr>
              <w:t>空压</w:t>
            </w:r>
            <w:r>
              <w:rPr>
                <w:rFonts w:hint="eastAsia"/>
                <w:lang w:val="en-US" w:eastAsia="zh-CN"/>
              </w:rPr>
              <w:t>机</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lang w:eastAsia="zh-CN"/>
              </w:rPr>
              <w:t>（</w:t>
            </w:r>
            <w:r>
              <w:rPr>
                <w:rFonts w:hint="eastAsia"/>
                <w:lang w:val="en-US" w:eastAsia="zh-CN"/>
              </w:rPr>
              <w:t>液化气</w:t>
            </w:r>
            <w:r>
              <w:rPr>
                <w:rFonts w:hint="eastAsia"/>
                <w:lang w:eastAsia="zh-CN"/>
              </w:rPr>
              <w:t>）</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电表</w:t>
            </w:r>
            <w:r>
              <w:rPr>
                <w:rFonts w:hint="eastAsia"/>
                <w:highlight w:val="none"/>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w:t>
            </w:r>
            <w:r>
              <w:rPr>
                <w:rFonts w:hint="eastAsia"/>
                <w:highlight w:val="none"/>
                <w:lang w:val="en-US" w:eastAsia="zh-CN"/>
              </w:rPr>
              <w:t>企业介绍</w:t>
            </w:r>
            <w:r>
              <w:rPr>
                <w:rFonts w:hint="eastAsia"/>
                <w:highlight w:val="none"/>
              </w:rPr>
              <w:t>：</w:t>
            </w:r>
            <w:r>
              <w:rPr>
                <w:rFonts w:hint="eastAsia"/>
                <w:highlight w:val="none"/>
                <w:lang w:val="en-US" w:eastAsia="zh-CN"/>
              </w:rPr>
              <w:t>由供方电力公司校验</w:t>
            </w:r>
            <w:r>
              <w:rPr>
                <w:rFonts w:hint="eastAsia"/>
                <w:lang w:val="en-US" w:eastAsia="zh-CN"/>
              </w:rPr>
              <w:t>。企业新鲜水为自采水，未安装水表。</w:t>
            </w:r>
            <w:r>
              <w:rPr>
                <w:rFonts w:hint="eastAsia" w:ascii="Times New Roman" w:hAnsi="Times New Roman" w:eastAsia="宋体" w:cs="Times New Roman"/>
                <w:lang w:val="en-US" w:eastAsia="zh-CN"/>
              </w:rPr>
              <w:t>企业用于贸易结算的电表未进行效验</w:t>
            </w:r>
            <w:r>
              <w:rPr>
                <w:rFonts w:hint="eastAsia"/>
                <w:lang w:val="en-US" w:eastAsia="zh-CN"/>
              </w:rPr>
              <w:t>，已开具不符合。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sym w:font="Wingdings 2" w:char="00A3"/>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A3"/>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w:t>
            </w:r>
            <w:r>
              <w:rPr>
                <w:rFonts w:hint="eastAsia"/>
                <w:highlight w:val="none"/>
              </w:rPr>
              <w:t>产品/项目名称：</w:t>
            </w:r>
            <w:r>
              <w:rPr>
                <w:rFonts w:hint="eastAsia"/>
                <w:color w:val="000000"/>
                <w:szCs w:val="18"/>
                <w:highlight w:val="none"/>
                <w:u w:val="single"/>
                <w:lang w:val="en-US" w:eastAsia="zh-CN"/>
              </w:rPr>
              <w:t>无</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highlight w:val="none"/>
                    </w:rPr>
                    <w:t>天然气消耗</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rPr>
                    <w:t>其他</w:t>
                  </w:r>
                  <w:r>
                    <w:rPr>
                      <w:rFonts w:hint="eastAsia"/>
                      <w:lang w:eastAsia="zh-CN"/>
                    </w:rPr>
                    <w:t>——</w:t>
                  </w:r>
                  <w:r>
                    <w:rPr>
                      <w:rFonts w:hint="eastAsia"/>
                      <w:lang w:val="en-US" w:eastAsia="zh-CN"/>
                    </w:rPr>
                    <w:t>液化气</w:t>
                  </w:r>
                  <w:bookmarkStart w:id="35" w:name="_GoBack"/>
                  <w:bookmarkEnd w:id="35"/>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加强食堂管理，节约用气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8</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其他</w:t>
            </w:r>
          </w:p>
          <w:p>
            <w:pPr>
              <w:shd w:val="clear" w:color="auto" w:fill="EBF1DE" w:themeFill="accent3" w:themeFillTint="32"/>
            </w:pPr>
          </w:p>
          <w:p>
            <w:pPr>
              <w:rPr>
                <w:rFonts w:hint="default" w:eastAsia="宋体"/>
                <w:color w:val="000000"/>
                <w:szCs w:val="18"/>
                <w:lang w:val="en-US" w:eastAsia="zh-CN"/>
              </w:rPr>
            </w:pPr>
            <w:r>
              <w:rPr>
                <w:rFonts w:hint="eastAsia"/>
              </w:rPr>
              <w:t>《能效测试报告》编号：</w:t>
            </w:r>
            <w:r>
              <w:rPr>
                <w:rFonts w:hint="eastAsia"/>
                <w:lang w:val="en-US" w:eastAsia="zh-CN"/>
              </w:rPr>
              <w:t>企业</w:t>
            </w:r>
            <w:r>
              <w:rPr>
                <w:rFonts w:hint="eastAsia"/>
                <w:color w:val="000000"/>
                <w:szCs w:val="18"/>
                <w:lang w:val="en-US" w:eastAsia="zh-CN"/>
              </w:rPr>
              <w:t>未开展能效测试，已沟通。</w:t>
            </w:r>
          </w:p>
          <w:p>
            <w:pPr>
              <w:shd w:val="clear" w:color="auto" w:fill="EBF1DE" w:themeFill="accent3" w:themeFillTint="32"/>
              <w:rPr>
                <w:rFonts w:hint="default"/>
                <w:lang w:val="en-US" w:eastAsia="zh-CN"/>
              </w:rPr>
            </w:pP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A3"/>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highlight w:val="none"/>
                <w:lang w:val="en-US" w:eastAsia="zh-CN"/>
              </w:rPr>
              <w:t>9</w:t>
            </w:r>
            <w:r>
              <w:rPr>
                <w:rFonts w:hint="eastAsia"/>
                <w:highlight w:val="none"/>
              </w:rPr>
              <w:t>月</w:t>
            </w:r>
            <w:r>
              <w:rPr>
                <w:rFonts w:hint="eastAsia"/>
                <w:highlight w:val="none"/>
                <w:lang w:val="en-US" w:eastAsia="zh-CN"/>
              </w:rPr>
              <w:t>3</w:t>
            </w:r>
            <w:r>
              <w:rPr>
                <w:rFonts w:hint="eastAsia"/>
                <w:highlight w:val="none"/>
              </w:rPr>
              <w:t>日</w:t>
            </w:r>
            <w:r>
              <w:rPr>
                <w:rFonts w:hint="eastAsia"/>
              </w:rPr>
              <w:t>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highlight w:val="none"/>
                <w:lang w:val="en-US" w:eastAsia="zh-CN"/>
              </w:rPr>
              <w:t>9</w:t>
            </w:r>
            <w:r>
              <w:rPr>
                <w:rFonts w:hint="eastAsia"/>
                <w:highlight w:val="none"/>
              </w:rPr>
              <w:t>月</w:t>
            </w:r>
            <w:r>
              <w:rPr>
                <w:rFonts w:hint="eastAsia"/>
                <w:highlight w:val="none"/>
                <w:lang w:val="en-US" w:eastAsia="zh-CN"/>
              </w:rPr>
              <w:t>10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1"/>
        <w:tblW w:w="100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33"/>
        <w:gridCol w:w="820"/>
        <w:gridCol w:w="860"/>
        <w:gridCol w:w="810"/>
        <w:gridCol w:w="830"/>
        <w:gridCol w:w="855"/>
        <w:gridCol w:w="779"/>
        <w:gridCol w:w="780"/>
        <w:gridCol w:w="779"/>
        <w:gridCol w:w="67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855"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0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US" w:eastAsia="zh-CN" w:bidi="ar-SA"/>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US" w:eastAsia="zh-CN" w:bidi="ar-SA"/>
              </w:rPr>
            </w:pPr>
            <w:r>
              <w:rPr>
                <w:rFonts w:hint="eastAsia" w:ascii="Times New Roman" w:hAnsi="Times New Roman" w:eastAsia="宋体" w:cs="Times New Roman"/>
                <w:kern w:val="2"/>
                <w:sz w:val="21"/>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855"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677"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0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77"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pP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820" w:type="dxa"/>
            <w:shd w:val="clear" w:color="auto" w:fill="EBF1DE" w:themeFill="accent3" w:themeFillTint="32"/>
            <w:vAlign w:val="center"/>
          </w:tcPr>
          <w:p>
            <w:pPr>
              <w:shd w:val="clear" w:color="auto" w:fill="EBF1DE" w:themeFill="accent3" w:themeFillTint="32"/>
            </w:pPr>
            <w:r>
              <w:rPr>
                <w:rFonts w:hint="eastAsia"/>
              </w:rPr>
              <w:t>8.3</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83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82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3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82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c>
          <w:tcPr>
            <w:tcW w:w="830" w:type="dxa"/>
            <w:shd w:val="clear" w:color="auto" w:fill="EBF1DE" w:themeFill="accent3" w:themeFillTint="32"/>
            <w:vAlign w:val="center"/>
          </w:tcPr>
          <w:p>
            <w:pPr>
              <w:shd w:val="clear" w:color="auto" w:fill="EBF1DE" w:themeFill="accent3" w:themeFillTint="32"/>
              <w:rPr>
                <w:lang w:eastAsia="ja-JP"/>
              </w:rPr>
            </w:pPr>
          </w:p>
        </w:tc>
        <w:tc>
          <w:tcPr>
            <w:tcW w:w="855"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677" w:type="dxa"/>
            <w:shd w:val="clear" w:color="auto" w:fill="EBF1DE" w:themeFill="accent3" w:themeFillTint="32"/>
            <w:vAlign w:val="center"/>
          </w:tcPr>
          <w:p>
            <w:pPr>
              <w:shd w:val="clear" w:color="auto" w:fill="EBF1DE" w:themeFill="accent3" w:themeFillTint="32"/>
              <w:rPr>
                <w:lang w:eastAsia="ja-JP"/>
              </w:rPr>
            </w:pPr>
          </w:p>
        </w:tc>
        <w:tc>
          <w:tcPr>
            <w:tcW w:w="70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C85C8BA"/>
    <w:multiLevelType w:val="singleLevel"/>
    <w:tmpl w:val="5C85C8BA"/>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0E1039"/>
    <w:rsid w:val="18E807AC"/>
    <w:rsid w:val="1CC33BFF"/>
    <w:rsid w:val="25E750CE"/>
    <w:rsid w:val="263B20D2"/>
    <w:rsid w:val="32DF0CDE"/>
    <w:rsid w:val="429F5D7F"/>
    <w:rsid w:val="58CE023D"/>
    <w:rsid w:val="612C4D15"/>
    <w:rsid w:val="7DE34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style>
  <w:style w:type="paragraph" w:styleId="4">
    <w:name w:val="List Bullet 5"/>
    <w:basedOn w:val="1"/>
    <w:semiHidden/>
    <w:unhideWhenUsed/>
    <w:uiPriority w:val="99"/>
    <w:pPr>
      <w:numPr>
        <w:ilvl w:val="0"/>
        <w:numId w:val="1"/>
      </w:numPr>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unhideWhenUsed/>
    <w:qFormat/>
    <w:uiPriority w:val="99"/>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2022-12-12T11:38:14Z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