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涉及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条款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受审核部门：</w:t>
            </w:r>
            <w:bookmarkStart w:id="0" w:name="组织名称"/>
            <w:r>
              <w:rPr>
                <w:rFonts w:hint="eastAsia"/>
                <w:color w:val="000000"/>
                <w:sz w:val="24"/>
                <w:szCs w:val="24"/>
              </w:rPr>
              <w:t>四川欧宝路管业有限责任公司</w:t>
            </w:r>
            <w:bookmarkEnd w:id="0"/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总经理、生技部、行政部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 陪同人员：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李月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审核员：</w:t>
            </w:r>
            <w:bookmarkStart w:id="1" w:name="审核组成员不含组长"/>
            <w:bookmarkEnd w:id="1"/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李丽英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远程审核采用微信、文件传输、电话、腾讯会议等工具实施审核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）</w:t>
            </w:r>
          </w:p>
          <w:p>
            <w:pPr>
              <w:spacing w:before="120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审核时间：</w:t>
            </w:r>
            <w:bookmarkStart w:id="2" w:name="审核日期"/>
            <w:r>
              <w:rPr>
                <w:color w:val="000000"/>
              </w:rPr>
              <w:t>2022年12月10日 上午至2022年12月10日 下午</w:t>
            </w:r>
            <w:bookmarkEnd w:id="2"/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审核条款：略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合同基本信息确认</w:t>
            </w:r>
            <w:r>
              <w:rPr>
                <w:color w:val="000000"/>
                <w:szCs w:val="18"/>
                <w:shd w:val="pct10" w:color="auto" w:fill="FFFFFF"/>
              </w:rPr>
              <w:t>: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核对资质证书（营业执照、生产（安全）许可证、行业许可证、3C证书等</w:t>
            </w:r>
            <w:r>
              <w:rPr>
                <w:rFonts w:hint="eastAsia"/>
                <w:color w:val="000000"/>
                <w:szCs w:val="18"/>
              </w:rPr>
              <w:t>）</w:t>
            </w:r>
            <w:r>
              <w:rPr>
                <w:rFonts w:hint="eastAsia"/>
                <w:b/>
                <w:bCs/>
                <w:color w:val="000000"/>
              </w:rPr>
              <w:t>原件</w:t>
            </w:r>
            <w:r>
              <w:rPr>
                <w:rFonts w:hint="eastAsia"/>
                <w:color w:val="000000"/>
              </w:rPr>
              <w:t>和复印件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扫描件的一致性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</w:pPr>
            <w:r>
              <w:rPr>
                <w:rFonts w:hint="eastAsia"/>
              </w:rPr>
              <w:t xml:space="preserve">现场检查《营业执照》——：□正本 </w:t>
            </w: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</w:rPr>
              <w:t xml:space="preserve">副本； □原件 </w:t>
            </w: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>扫描</w:t>
            </w:r>
            <w:r>
              <w:rPr>
                <w:rFonts w:hint="eastAsia"/>
              </w:rPr>
              <w:t>件</w:t>
            </w:r>
          </w:p>
          <w:p>
            <w:pPr>
              <w:spacing w:line="440" w:lineRule="exact"/>
              <w:ind w:firstLine="420" w:firstLineChars="200"/>
            </w:pPr>
            <w:r>
              <w:rPr>
                <w:rFonts w:hint="eastAsia"/>
              </w:rPr>
              <w:t>编号：</w:t>
            </w:r>
            <w:r>
              <w:rPr>
                <w:rFonts w:hint="eastAsia"/>
                <w:lang w:val="en-US" w:eastAsia="zh-CN"/>
              </w:rPr>
              <w:t>统一社会信用代码9151068106030855XU</w:t>
            </w:r>
            <w:r>
              <w:rPr>
                <w:rFonts w:hint="eastAsia"/>
              </w:rPr>
              <w:t xml:space="preserve"> ； 有效期：</w:t>
            </w:r>
            <w:r>
              <w:rPr>
                <w:rFonts w:hint="eastAsia"/>
                <w:lang w:val="en-US" w:eastAsia="zh-CN"/>
              </w:rPr>
              <w:t>2012年12月27日至长期</w:t>
            </w:r>
            <w:r>
              <w:rPr>
                <w:rFonts w:hint="eastAsia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经营范围的相关描述：</w:t>
            </w:r>
            <w:r>
              <w:rPr>
                <w:rFonts w:hint="eastAsia"/>
                <w:lang w:val="en-US" w:eastAsia="zh-CN"/>
              </w:rPr>
              <w:t>生产、销售:塑料管材、塑料管件、熔喷法非织造布、口罩;销售:建材、五金、机械设备(以上经营范围不含砂石加工、经营):特种设备制造。(依法须经批准的项目，经相关部门批准后方可开展经营活动)。</w:t>
            </w:r>
          </w:p>
          <w:p>
            <w:pPr>
              <w:spacing w:line="440" w:lineRule="exact"/>
              <w:ind w:firstLine="420" w:firstLineChars="200"/>
            </w:pPr>
            <w:r>
              <w:rPr>
                <w:rFonts w:hint="eastAsia"/>
              </w:rPr>
              <w:t>认证申请范围：</w:t>
            </w:r>
            <w:bookmarkStart w:id="3" w:name="审核范围"/>
            <w:r>
              <w:t>给水用聚丙稀（PP-R）、聚乙稀（PE）管材的生产；排水、电力用聚氯乙烯（PVC）管材、管件的生产所涉及的能源管理活动。</w:t>
            </w:r>
            <w:bookmarkEnd w:id="3"/>
          </w:p>
          <w:p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3013075" cy="1903730"/>
                  <wp:effectExtent l="0" t="0" r="9525" b="127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99410" cy="1899285"/>
                  <wp:effectExtent l="0" t="0" r="8890" b="571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611630" cy="1819910"/>
                  <wp:effectExtent l="0" t="0" r="1270" b="889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687195" cy="1776730"/>
                  <wp:effectExtent l="0" t="0" r="1905" b="127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740535" cy="1841500"/>
                  <wp:effectExtent l="0" t="0" r="12065" b="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同上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</w:t>
            </w:r>
            <w:r>
              <w:rPr>
                <w:rFonts w:hint="eastAsia"/>
                <w:b/>
                <w:bCs/>
                <w:color w:val="000000"/>
                <w:szCs w:val="21"/>
                <w:highlight w:val="none"/>
                <w:lang w:val="en-US" w:eastAsia="zh-CN"/>
              </w:rPr>
              <w:t>***</w:t>
            </w:r>
            <w:r>
              <w:rPr>
                <w:rFonts w:hint="eastAsia"/>
                <w:b/>
                <w:bCs/>
                <w:color w:val="000000"/>
                <w:szCs w:val="21"/>
                <w:highlight w:val="none"/>
              </w:rPr>
              <w:t>许可证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》</w:t>
            </w:r>
            <w:r>
              <w:rPr>
                <w:rFonts w:hint="eastAsia"/>
                <w:color w:val="000000"/>
                <w:szCs w:val="21"/>
              </w:rPr>
              <w:t>——：□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： 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</w:p>
          <w:p>
            <w:pPr>
              <w:spacing w:line="440" w:lineRule="exact"/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生产场所：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确定审核范围的合理性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注册地址：</w:t>
            </w:r>
            <w:bookmarkStart w:id="4" w:name="注册地址"/>
            <w:r>
              <w:rPr>
                <w:sz w:val="21"/>
                <w:szCs w:val="21"/>
              </w:rPr>
              <w:t>四川省德阳市广汉市新丰镇古城村9社</w:t>
            </w:r>
            <w:bookmarkEnd w:id="4"/>
          </w:p>
          <w:p>
            <w:r>
              <w:rPr>
                <w:rFonts w:hint="eastAsia"/>
              </w:rPr>
              <w:t>与《营业执照》内容一致。</w:t>
            </w:r>
          </w:p>
          <w:p/>
          <w:p>
            <w:r>
              <w:rPr>
                <w:rFonts w:hint="eastAsia"/>
              </w:rPr>
              <w:t>经营地址：</w:t>
            </w:r>
            <w:r>
              <w:rPr>
                <w:sz w:val="21"/>
                <w:szCs w:val="21"/>
              </w:rPr>
              <w:t>四川省德阳市广汉市新丰镇古城村9社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与生产或服务现场一致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810000" cy="2051685"/>
                  <wp:effectExtent l="0" t="0" r="0" b="5715"/>
                  <wp:docPr id="4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确定多现场（</w:t>
            </w:r>
            <w:r>
              <w:rPr>
                <w:rFonts w:hint="eastAsia"/>
                <w:color w:val="000000"/>
                <w:szCs w:val="18"/>
                <w:highlight w:val="none"/>
              </w:rPr>
              <w:t>固定）的地址（适用时）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多现场的名称和具体位置：</w:t>
            </w:r>
            <w:r>
              <w:rPr>
                <w:rFonts w:hint="eastAsia"/>
                <w:color w:val="000000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多场所申报清单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确定临时现场的地址（适用时）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临时现场的名称和具体位置：</w:t>
            </w:r>
            <w:r>
              <w:rPr>
                <w:rFonts w:hint="eastAsia"/>
                <w:color w:val="000000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  <w:szCs w:val="21"/>
                <w:u w:val="single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企业在建项目清单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  <w:lang w:eastAsia="zh-CN"/>
              </w:rPr>
              <w:t></w:t>
            </w:r>
            <w:r>
              <w:rPr>
                <w:rFonts w:hint="eastAsia"/>
                <w:color w:val="000000"/>
              </w:rPr>
              <w:t xml:space="preserve">与组织总部在同一管理体系下运行     </w:t>
            </w:r>
          </w:p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  <w:lang w:eastAsia="zh-CN"/>
              </w:rPr>
              <w:t></w:t>
            </w:r>
            <w:r>
              <w:rPr>
                <w:rFonts w:hint="eastAsia"/>
                <w:color w:val="000000"/>
              </w:rPr>
              <w:t>组织总部有权对</w:t>
            </w:r>
            <w:r>
              <w:t>多场所</w:t>
            </w:r>
            <w:r>
              <w:rPr>
                <w:rFonts w:hint="eastAsia"/>
              </w:rPr>
              <w:t>/临时场所进行监督管理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按照统一安排实施内部审核（不强制同一时段）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与组织总部一同进行管理评审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确定生产/服务流程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ind w:left="0" w:leftChars="0" w:firstLine="0" w:firstLineChars="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  <w:t>工艺流程图：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3118485" cy="3155950"/>
                  <wp:effectExtent l="0" t="0" r="5715" b="635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315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确定有效的员工人数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  <w:highlight w:val="none"/>
              </w:rPr>
            </w:pPr>
            <w:r>
              <w:rPr>
                <w:rFonts w:hint="eastAsia"/>
                <w:color w:val="000000"/>
                <w:szCs w:val="21"/>
              </w:rPr>
              <w:t>认证范围内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能源</w:t>
            </w:r>
            <w:r>
              <w:rPr>
                <w:rFonts w:hint="eastAsia"/>
                <w:color w:val="000000"/>
                <w:szCs w:val="21"/>
              </w:rPr>
              <w:t>管理体系覆盖的人数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46人</w:t>
            </w:r>
            <w:r>
              <w:rPr>
                <w:rFonts w:hint="eastAsia"/>
                <w:color w:val="000000"/>
                <w:szCs w:val="21"/>
                <w:highlight w:val="none"/>
              </w:rPr>
              <w:t>（总计人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104人</w:t>
            </w:r>
            <w:r>
              <w:rPr>
                <w:rFonts w:hint="eastAsia"/>
                <w:color w:val="000000"/>
                <w:szCs w:val="21"/>
                <w:highlight w:val="none"/>
              </w:rPr>
              <w:t>）　</w:t>
            </w:r>
          </w:p>
          <w:p>
            <w:pPr>
              <w:rPr>
                <w:color w:val="000000"/>
                <w:szCs w:val="18"/>
                <w:highlight w:val="non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管理人员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；操作人员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38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；劳务派遣人员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；临时工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0人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</w:t>
            </w:r>
            <w:r>
              <w:rPr>
                <w:rFonts w:hint="eastAsia"/>
                <w:color w:val="000000"/>
                <w:szCs w:val="21"/>
                <w:highlight w:val="none"/>
              </w:rPr>
              <w:t>季节工人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0人</w:t>
            </w:r>
            <w:r>
              <w:rPr>
                <w:rFonts w:hint="eastAsia"/>
                <w:color w:val="000000"/>
                <w:szCs w:val="18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与申请一致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与申请不同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生产/服务的班次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/>
                <w:szCs w:val="21"/>
              </w:rPr>
              <w:t>单班（例如：</w:t>
            </w:r>
            <w:r>
              <w:rPr>
                <w:color w:val="000000"/>
                <w:szCs w:val="21"/>
              </w:rPr>
              <w:t>8:00- 12 :00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color w:val="000000"/>
                <w:szCs w:val="21"/>
              </w:rPr>
              <w:t>13 :00- 17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  <w:highlight w:val="none"/>
              </w:rPr>
            </w:pPr>
            <w:r>
              <w:rPr>
                <w:rFonts w:hint="eastAsia"/>
                <w:color w:val="000000"/>
                <w:szCs w:val="21"/>
                <w:highlight w:val="none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highlight w:val="none"/>
              </w:rPr>
              <w:t>双班（例如：早班</w:t>
            </w:r>
            <w:r>
              <w:rPr>
                <w:color w:val="000000"/>
                <w:szCs w:val="21"/>
                <w:highlight w:val="none"/>
              </w:rPr>
              <w:t xml:space="preserve">8:00- 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20</w:t>
            </w:r>
            <w:r>
              <w:rPr>
                <w:color w:val="000000"/>
                <w:szCs w:val="21"/>
                <w:highlight w:val="none"/>
              </w:rPr>
              <w:t xml:space="preserve"> :00</w:t>
            </w:r>
            <w:r>
              <w:rPr>
                <w:rFonts w:hint="eastAsia"/>
                <w:color w:val="000000"/>
                <w:szCs w:val="21"/>
                <w:highlight w:val="none"/>
              </w:rPr>
              <w:t>；晚班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20</w:t>
            </w:r>
            <w:r>
              <w:rPr>
                <w:color w:val="000000"/>
                <w:szCs w:val="21"/>
                <w:highlight w:val="none"/>
              </w:rPr>
              <w:t xml:space="preserve">:00- 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8</w:t>
            </w:r>
            <w:r>
              <w:rPr>
                <w:color w:val="000000"/>
                <w:szCs w:val="21"/>
                <w:highlight w:val="none"/>
              </w:rPr>
              <w:t xml:space="preserve"> :00</w:t>
            </w:r>
            <w:r>
              <w:rPr>
                <w:rFonts w:hint="eastAsia"/>
                <w:color w:val="000000"/>
                <w:szCs w:val="21"/>
                <w:highlight w:val="none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□三班（例如：早班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；夜班</w:t>
            </w:r>
            <w:r>
              <w:rPr>
                <w:color w:val="000000"/>
                <w:szCs w:val="21"/>
              </w:rPr>
              <w:t>24 :00-</w:t>
            </w:r>
            <w:r>
              <w:rPr>
                <w:rFonts w:hint="eastAsia"/>
                <w:color w:val="000000"/>
                <w:szCs w:val="21"/>
              </w:rPr>
              <w:t>次日</w:t>
            </w:r>
            <w:r>
              <w:rPr>
                <w:color w:val="000000"/>
                <w:szCs w:val="21"/>
              </w:rPr>
              <w:t xml:space="preserve"> 08 :00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lang w:val="en-US" w:eastAsia="zh-CN"/>
              </w:rPr>
              <w:t>能源管理</w:t>
            </w:r>
            <w:r>
              <w:rPr>
                <w:rFonts w:hint="eastAsia"/>
                <w:color w:val="000000"/>
                <w:szCs w:val="18"/>
              </w:rPr>
              <w:t>体系运行时间是否满足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</w:rPr>
              <w:t>个月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管理手册发布的时间：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  <w:highlight w:val="none"/>
              </w:rPr>
              <w:t>年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eastAsia"/>
                <w:color w:val="000000"/>
                <w:szCs w:val="18"/>
                <w:highlight w:val="none"/>
              </w:rPr>
              <w:t>月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  <w:highlight w:val="none"/>
              </w:rPr>
              <w:t>日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至今</w:t>
            </w:r>
            <w:r>
              <w:rPr>
                <w:rFonts w:hint="eastAsia"/>
                <w:color w:val="000000"/>
                <w:lang w:val="en-US" w:eastAsia="zh-CN"/>
              </w:rPr>
              <w:t>能源</w:t>
            </w:r>
            <w:r>
              <w:rPr>
                <w:rFonts w:hint="eastAsia"/>
                <w:color w:val="000000"/>
              </w:rPr>
              <w:t>管理体系已运行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至今管理体系运行不足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组织对相关标准的宣贯培训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  <w:highlight w:val="yellow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标准宣贯的时间：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  <w:highlight w:val="none"/>
              </w:rPr>
              <w:t>年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eastAsia"/>
                <w:color w:val="000000"/>
                <w:szCs w:val="18"/>
                <w:highlight w:val="none"/>
              </w:rPr>
              <w:t>月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15</w:t>
            </w:r>
            <w:r>
              <w:rPr>
                <w:rFonts w:hint="eastAsia"/>
                <w:color w:val="000000"/>
                <w:szCs w:val="18"/>
                <w:highlight w:val="none"/>
              </w:rPr>
              <w:t>日</w:t>
            </w:r>
          </w:p>
          <w:p>
            <w:pPr>
              <w:rPr>
                <w:rFonts w:hint="default" w:eastAsia="宋体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highlight w:val="none"/>
              </w:rPr>
              <w:t xml:space="preserve">□QMS  □EMS  □OHSMS  □FSMSMS  □HACCP   </w:t>
            </w:r>
            <w:r>
              <w:rPr>
                <w:rFonts w:hint="eastAsia"/>
                <w:color w:val="000000"/>
                <w:szCs w:val="21"/>
                <w:highlight w:val="none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EnMS</w:t>
            </w:r>
          </w:p>
          <w:p>
            <w:pPr>
              <w:rPr>
                <w:color w:val="000000"/>
                <w:szCs w:val="21"/>
                <w:highlight w:val="none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Cs w:val="21"/>
                <w:highlight w:val="none"/>
                <w:lang w:eastAsia="zh-CN"/>
              </w:rPr>
              <w:t>☑</w:t>
            </w:r>
            <w:r>
              <w:rPr>
                <w:rFonts w:hint="eastAsia"/>
                <w:color w:val="000000"/>
                <w:highlight w:val="none"/>
              </w:rPr>
              <w:t>已培训了相关标准和内审员知识；</w:t>
            </w:r>
            <w:r>
              <w:rPr>
                <w:rFonts w:hint="eastAsia"/>
                <w:color w:val="000000"/>
                <w:szCs w:val="21"/>
                <w:highlight w:val="none"/>
              </w:rPr>
              <w:t>□</w:t>
            </w:r>
            <w:r>
              <w:rPr>
                <w:rFonts w:hint="eastAsia"/>
                <w:color w:val="000000"/>
                <w:highlight w:val="none"/>
              </w:rPr>
              <w:t>至今未培训相关标准和内审员知识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员工对相关标准的认知和能力（应知应会、持证上岗等）</w:t>
            </w:r>
            <w:r>
              <w:rPr>
                <w:rFonts w:hint="eastAsia"/>
                <w:color w:val="000000"/>
                <w:szCs w:val="21"/>
                <w:highlight w:val="none"/>
              </w:rPr>
              <w:t>□满足要求，</w:t>
            </w:r>
            <w:r>
              <w:rPr>
                <w:rFonts w:hint="eastAsia"/>
                <w:color w:val="000000"/>
                <w:szCs w:val="21"/>
                <w:highlight w:val="none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  <w:highlight w:val="none"/>
              </w:rPr>
              <w:t>基本满足要求，□不满足要求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了解企业基本情况：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主要的内部环境和外部环境分析的充分性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主要的相关方和期望的充分性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u w:val="single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确定风险的识别和评价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组织机构设置、职责分配及沟通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确定外部提供过程、产品和服务（外包过程）：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无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。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被主管部门处罚和曝光情况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已发生，说明：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其他机构转入情况（适用时）</w:t>
            </w:r>
          </w:p>
          <w:p>
            <w:pPr>
              <w:ind w:firstLine="210" w:firstLineChars="100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已收集到以往的不符合项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未收集到以往的不符合项 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color w:val="000000"/>
                <w:szCs w:val="18"/>
                <w:shd w:val="pct10" w:color="auto" w:fill="FFFFFF"/>
              </w:rPr>
              <w:t>与最高管理者了解各</w:t>
            </w: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管理体系的运行情况：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组织文件化的管理方针已制定，内容为：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Cs w:val="18"/>
                <w:highlight w:val="none"/>
              </w:rPr>
              <w:t>遵守法规 清洁生产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Cs w:val="18"/>
                <w:highlight w:val="none"/>
                <w:lang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Cs w:val="18"/>
                <w:highlight w:val="none"/>
                <w:lang w:val="en-US" w:eastAsia="zh-CN"/>
              </w:rPr>
              <w:t>节能降耗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Cs w:val="18"/>
                <w:highlight w:val="none"/>
              </w:rPr>
              <w:t xml:space="preserve"> 创新改造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Cs w:val="18"/>
                <w:highlight w:val="none"/>
                <w:lang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szCs w:val="18"/>
                <w:highlight w:val="none"/>
                <w:lang w:val="en-US" w:eastAsia="zh-CN"/>
              </w:rPr>
              <w:t>能耗限额 持续改进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color w:val="000000"/>
                <w:szCs w:val="18"/>
                <w:highlight w:val="none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pacing w:val="-2"/>
                <w:szCs w:val="21"/>
              </w:rPr>
            </w:pPr>
            <w:r>
              <w:rPr>
                <w:rFonts w:hint="eastAsia"/>
                <w:color w:val="000000"/>
                <w:szCs w:val="18"/>
              </w:rPr>
              <w:t>贯彻情况：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pacing w:val="-2"/>
                <w:szCs w:val="21"/>
              </w:rPr>
              <w:t>文件发放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 xml:space="preserve">标语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pacing w:val="-2"/>
                <w:szCs w:val="21"/>
              </w:rPr>
              <w:t>展板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网站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员工手册</w:t>
            </w:r>
            <w:r>
              <w:rPr>
                <w:rFonts w:hint="eastAsia"/>
                <w:color w:val="000000"/>
                <w:szCs w:val="21"/>
              </w:rPr>
              <w:t>□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组织文件化的管理目标已制定，内容为：</w:t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24"/>
              <w:gridCol w:w="1120"/>
              <w:gridCol w:w="2850"/>
              <w:gridCol w:w="367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4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eastAsia="宋体"/>
                      <w:color w:val="000000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目标</w:t>
                  </w:r>
                  <w:r>
                    <w:rPr>
                      <w:rFonts w:hint="eastAsia"/>
                      <w:color w:val="000000"/>
                      <w:szCs w:val="18"/>
                      <w:lang w:eastAsia="zh-CN"/>
                    </w:rPr>
                    <w:t>（</w:t>
                  </w:r>
                  <w:r>
                    <w:rPr>
                      <w:rFonts w:hint="eastAsia"/>
                      <w:color w:val="000000"/>
                      <w:szCs w:val="18"/>
                      <w:lang w:val="en-US" w:eastAsia="zh-CN"/>
                    </w:rPr>
                    <w:t>2021年</w:t>
                  </w:r>
                  <w:r>
                    <w:rPr>
                      <w:rFonts w:hint="eastAsia"/>
                      <w:color w:val="000000"/>
                      <w:szCs w:val="18"/>
                      <w:lang w:eastAsia="zh-CN"/>
                    </w:rPr>
                    <w:t>）</w:t>
                  </w:r>
                </w:p>
              </w:tc>
              <w:tc>
                <w:tcPr>
                  <w:tcW w:w="112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考核频次</w:t>
                  </w:r>
                </w:p>
              </w:tc>
              <w:tc>
                <w:tcPr>
                  <w:tcW w:w="285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计算方法</w:t>
                  </w:r>
                </w:p>
              </w:tc>
              <w:tc>
                <w:tcPr>
                  <w:tcW w:w="367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完成情况（</w:t>
                  </w:r>
                  <w:r>
                    <w:rPr>
                      <w:rFonts w:hint="eastAsia"/>
                      <w:color w:val="000000"/>
                      <w:szCs w:val="18"/>
                      <w:lang w:val="en-US" w:eastAsia="zh-CN"/>
                    </w:rPr>
                    <w:t>2022年1-11月完成情况</w:t>
                  </w:r>
                  <w:r>
                    <w:rPr>
                      <w:rFonts w:hint="eastAsia"/>
                      <w:color w:val="000000"/>
                      <w:szCs w:val="18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4" w:type="dxa"/>
                  <w:vAlign w:val="center"/>
                </w:tcPr>
                <w:p>
                  <w:pPr>
                    <w:jc w:val="left"/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yellow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</w:rPr>
                    <w:t>综合能耗，</w:t>
                  </w:r>
                  <w:r>
                    <w:rPr>
                      <w:rFonts w:hint="eastAsia" w:ascii="宋体" w:hAnsi="宋体" w:cs="Times New Roman"/>
                      <w:sz w:val="21"/>
                      <w:szCs w:val="21"/>
                      <w:lang w:val="en-US" w:eastAsia="zh-CN"/>
                    </w:rPr>
                    <w:t>1400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</w:rPr>
                    <w:t>tce</w:t>
                  </w:r>
                </w:p>
              </w:tc>
              <w:tc>
                <w:tcPr>
                  <w:tcW w:w="112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每</w:t>
                  </w:r>
                  <w:r>
                    <w:rPr>
                      <w:rFonts w:hint="eastAsia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月</w:t>
                  </w:r>
                </w:p>
              </w:tc>
              <w:tc>
                <w:tcPr>
                  <w:tcW w:w="285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auto"/>
                      <w:szCs w:val="18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各种能源消耗之和</w:t>
                  </w:r>
                </w:p>
              </w:tc>
              <w:tc>
                <w:tcPr>
                  <w:tcW w:w="3679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 w:cs="Times New Roman"/>
                      <w:color w:val="000000"/>
                      <w:szCs w:val="18"/>
                      <w:highlight w:val="none"/>
                      <w:lang w:val="en-US" w:eastAsia="zh-CN"/>
                    </w:rPr>
                    <w:t>实际</w:t>
                  </w:r>
                  <w:r>
                    <w:rPr>
                      <w:rFonts w:hint="eastAsia" w:ascii="Times New Roman" w:hAnsi="Times New Roman" w:eastAsia="宋体" w:cs="Times New Roman"/>
                      <w:color w:val="000000"/>
                      <w:szCs w:val="18"/>
                      <w:highlight w:val="none"/>
                      <w:lang w:val="en-US" w:eastAsia="zh-CN"/>
                    </w:rPr>
                    <w:t>完成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  <w:lang w:val="en-US" w:eastAsia="zh-CN"/>
                    </w:rPr>
                    <w:t>1373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</w:rPr>
                    <w:t>.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  <w:lang w:val="en-US" w:eastAsia="zh-CN"/>
                    </w:rPr>
                    <w:t>85 t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</w:rPr>
                    <w:t>ce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4" w:type="dxa"/>
                  <w:vAlign w:val="center"/>
                </w:tcPr>
                <w:p>
                  <w:pPr>
                    <w:jc w:val="left"/>
                    <w:rPr>
                      <w:rFonts w:hint="eastAsia"/>
                      <w:color w:val="000000"/>
                      <w:szCs w:val="18"/>
                      <w:highlight w:val="yellow"/>
                    </w:rPr>
                  </w:pP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</w:rPr>
                    <w:t>单位产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  <w:lang w:val="en-US" w:eastAsia="zh-CN"/>
                    </w:rPr>
                    <w:t>品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</w:rPr>
                    <w:t>综合能耗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宋体" w:hAnsi="宋体" w:cs="Times New Roman"/>
                      <w:sz w:val="21"/>
                      <w:szCs w:val="21"/>
                      <w:lang w:val="en-US" w:eastAsia="zh-CN"/>
                    </w:rPr>
                    <w:t>100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  <w:lang w:val="en-US" w:eastAsia="zh-CN"/>
                    </w:rPr>
                    <w:t>kgce/吨</w:t>
                  </w:r>
                </w:p>
              </w:tc>
              <w:tc>
                <w:tcPr>
                  <w:tcW w:w="112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每</w:t>
                  </w:r>
                  <w:r>
                    <w:rPr>
                      <w:rFonts w:hint="eastAsia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月</w:t>
                  </w:r>
                </w:p>
              </w:tc>
              <w:tc>
                <w:tcPr>
                  <w:tcW w:w="285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单位</w:t>
                  </w:r>
                  <w:r>
                    <w:rPr>
                      <w:rFonts w:hint="eastAsia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产品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能耗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</w:rPr>
                    <w:t>kgce/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  <w:lang w:val="en-US" w:eastAsia="zh-CN"/>
                    </w:rPr>
                    <w:t>吨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=装置生产总</w:t>
                  </w:r>
                  <w:r>
                    <w:rPr>
                      <w:rFonts w:hint="eastAsia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能耗kgce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/</w:t>
                  </w:r>
                  <w:r>
                    <w:rPr>
                      <w:rFonts w:hint="eastAsia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企业总产量（吨）</w:t>
                  </w:r>
                </w:p>
              </w:tc>
              <w:tc>
                <w:tcPr>
                  <w:tcW w:w="3679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/>
                      <w:szCs w:val="18"/>
                      <w:highlight w:val="none"/>
                      <w:lang w:val="en-US" w:eastAsia="zh-CN"/>
                    </w:rPr>
                    <w:t>实际</w:t>
                  </w:r>
                  <w:r>
                    <w:rPr>
                      <w:rFonts w:hint="eastAsia" w:ascii="Times New Roman" w:hAnsi="Times New Roman" w:eastAsia="宋体" w:cs="Times New Roman"/>
                      <w:color w:val="000000"/>
                      <w:szCs w:val="18"/>
                      <w:highlight w:val="none"/>
                      <w:lang w:val="en-US" w:eastAsia="zh-CN"/>
                    </w:rPr>
                    <w:t>完成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  <w:lang w:val="en-US" w:eastAsia="zh-CN"/>
                    </w:rPr>
                    <w:t>87.27kgce/吨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4" w:type="dxa"/>
                  <w:vAlign w:val="center"/>
                </w:tcPr>
                <w:p>
                  <w:pPr>
                    <w:jc w:val="left"/>
                    <w:rPr>
                      <w:rFonts w:hint="eastAsia"/>
                      <w:color w:val="000000"/>
                      <w:szCs w:val="18"/>
                      <w:highlight w:val="yellow"/>
                    </w:rPr>
                  </w:pP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</w:rPr>
                    <w:t>单位产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  <w:lang w:val="en-US" w:eastAsia="zh-CN"/>
                    </w:rPr>
                    <w:t>值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</w:rPr>
                    <w:t>综合能耗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宋体" w:hAnsi="宋体" w:cs="Times New Roman"/>
                      <w:sz w:val="21"/>
                      <w:szCs w:val="21"/>
                      <w:lang w:val="en-US" w:eastAsia="zh-CN"/>
                    </w:rPr>
                    <w:t>120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  <w:lang w:val="en-US" w:eastAsia="zh-CN"/>
                    </w:rPr>
                    <w:t>kgce/万元</w:t>
                  </w:r>
                </w:p>
              </w:tc>
              <w:tc>
                <w:tcPr>
                  <w:tcW w:w="112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每</w:t>
                  </w:r>
                  <w:r>
                    <w:rPr>
                      <w:rFonts w:hint="eastAsia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月</w:t>
                  </w:r>
                </w:p>
              </w:tc>
              <w:tc>
                <w:tcPr>
                  <w:tcW w:w="2850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单位</w:t>
                  </w:r>
                  <w:r>
                    <w:rPr>
                      <w:rFonts w:hint="eastAsia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产值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能耗</w:t>
                  </w:r>
                  <w:r>
                    <w:rPr>
                      <w:rFonts w:hint="eastAsia"/>
                      <w:color w:val="000000"/>
                      <w:szCs w:val="18"/>
                      <w:highlight w:val="none"/>
                    </w:rPr>
                    <w:t>kgce/万元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=装置生产总</w:t>
                  </w:r>
                  <w:r>
                    <w:rPr>
                      <w:rFonts w:hint="eastAsia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能耗kgce</w:t>
                  </w:r>
                  <w:r>
                    <w:rPr>
                      <w:rFonts w:hint="eastAsia" w:ascii="Times New Roman" w:hAnsi="Times New Roman" w:eastAsia="宋体" w:cs="Times New Roman"/>
                      <w:color w:val="auto"/>
                      <w:szCs w:val="18"/>
                      <w:highlight w:val="none"/>
                    </w:rPr>
                    <w:t>/</w:t>
                  </w:r>
                  <w:r>
                    <w:rPr>
                      <w:rFonts w:hint="eastAsia" w:cs="Times New Roman"/>
                      <w:color w:val="auto"/>
                      <w:szCs w:val="18"/>
                      <w:highlight w:val="none"/>
                      <w:lang w:val="en-US" w:eastAsia="zh-CN"/>
                    </w:rPr>
                    <w:t>企业总产值（万元）</w:t>
                  </w:r>
                </w:p>
              </w:tc>
              <w:tc>
                <w:tcPr>
                  <w:tcW w:w="3679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/>
                      <w:szCs w:val="18"/>
                      <w:highlight w:val="none"/>
                      <w:lang w:val="en-US" w:eastAsia="zh-CN"/>
                    </w:rPr>
                    <w:t>实际</w:t>
                  </w:r>
                  <w:r>
                    <w:rPr>
                      <w:rFonts w:hint="eastAsia" w:ascii="Times New Roman" w:hAnsi="Times New Roman" w:eastAsia="宋体" w:cs="Times New Roman"/>
                      <w:color w:val="000000"/>
                      <w:szCs w:val="18"/>
                      <w:highlight w:val="none"/>
                      <w:lang w:val="en-US" w:eastAsia="zh-CN"/>
                    </w:rPr>
                    <w:t>完成</w:t>
                  </w:r>
                  <w:r>
                    <w:rPr>
                      <w:rFonts w:hint="eastAsia" w:ascii="宋体" w:hAnsi="宋体" w:eastAsia="宋体" w:cs="Times New Roman"/>
                      <w:sz w:val="21"/>
                      <w:szCs w:val="21"/>
                      <w:lang w:val="en-US" w:eastAsia="zh-CN"/>
                    </w:rPr>
                    <w:t>111.2kgce/万元</w:t>
                  </w:r>
                  <w:bookmarkStart w:id="5" w:name="_GoBack"/>
                  <w:bookmarkEnd w:id="5"/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112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85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67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文件化体系策划情况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  <w:highlight w:val="none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组织的文件化体系的结构——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-《管理手册》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 xml:space="preserve">份；覆盖了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QMS </w:t>
            </w:r>
            <w:r>
              <w:rPr>
                <w:rFonts w:hint="eastAsia"/>
                <w:color w:val="000000"/>
                <w:szCs w:val="21"/>
              </w:rPr>
              <w:t>□5</w:t>
            </w:r>
            <w:r>
              <w:rPr>
                <w:color w:val="000000"/>
                <w:szCs w:val="21"/>
              </w:rPr>
              <w:t>0430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color w:val="000000"/>
                <w:spacing w:val="-2"/>
                <w:szCs w:val="21"/>
              </w:rPr>
              <w:t>E</w:t>
            </w:r>
            <w:r>
              <w:rPr>
                <w:rFonts w:hint="eastAsia"/>
                <w:color w:val="000000"/>
                <w:spacing w:val="-2"/>
                <w:szCs w:val="21"/>
                <w:lang w:val="en-US" w:eastAsia="zh-CN"/>
              </w:rPr>
              <w:t>n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OHSMS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FS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HACCP</w:t>
            </w:r>
          </w:p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-文件化的程序；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 xml:space="preserve"> 22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  <w:szCs w:val="18"/>
                <w:highlight w:val="yellow"/>
              </w:rPr>
            </w:pPr>
            <w:r>
              <w:rPr>
                <w:rFonts w:hint="eastAsia"/>
                <w:color w:val="000000"/>
                <w:szCs w:val="18"/>
              </w:rPr>
              <w:t>-作业文件；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若干</w:t>
            </w:r>
            <w:r>
              <w:rPr>
                <w:rFonts w:hint="eastAsia"/>
                <w:color w:val="000000"/>
                <w:szCs w:val="18"/>
                <w:highlight w:val="none"/>
              </w:rPr>
              <w:t>份；详见《受控文件清单》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-记录表格；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若干</w:t>
            </w:r>
            <w:r>
              <w:rPr>
                <w:rFonts w:hint="eastAsia"/>
                <w:color w:val="000000"/>
                <w:szCs w:val="18"/>
                <w:highlight w:val="none"/>
              </w:rPr>
              <w:t>份；详见《记录清单</w:t>
            </w:r>
            <w:r>
              <w:rPr>
                <w:rFonts w:hint="eastAsia"/>
                <w:color w:val="000000"/>
                <w:szCs w:val="18"/>
              </w:rPr>
              <w:t>》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内审的策划和实施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管理体系的评审</w:t>
            </w:r>
          </w:p>
          <w:p>
            <w:pPr>
              <w:widowControl/>
              <w:spacing w:before="40"/>
              <w:jc w:val="left"/>
              <w:rPr>
                <w:b/>
                <w:bCs/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9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3</w:t>
            </w:r>
            <w:r>
              <w:rPr>
                <w:rFonts w:hint="eastAsia"/>
                <w:color w:val="000000"/>
                <w:szCs w:val="18"/>
              </w:rPr>
              <w:t>日实施了内部审核；记录包括：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内审计划、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内审检查表、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能源体系</w:t>
            </w:r>
            <w:r>
              <w:rPr>
                <w:rFonts w:hint="eastAsia"/>
                <w:color w:val="000000"/>
                <w:szCs w:val="18"/>
              </w:rPr>
              <w:t>不符合项报告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>份、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内审报告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9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Cs w:val="18"/>
              </w:rPr>
              <w:t>日实施了管理评审；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管理评审输入</w:t>
            </w:r>
            <w:r>
              <w:rPr>
                <w:rFonts w:hint="eastAsia"/>
                <w:color w:val="000000"/>
                <w:szCs w:val="18"/>
              </w:rPr>
              <w:t>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管理评审输出（报告）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根据</w:t>
            </w:r>
            <w:r>
              <w:rPr>
                <w:rFonts w:hint="eastAsia"/>
                <w:color w:val="000000"/>
              </w:rPr>
              <w:t>该企业的产品/服务特性</w:t>
            </w:r>
            <w:r>
              <w:rPr>
                <w:rFonts w:hint="eastAsia"/>
                <w:color w:val="000000"/>
                <w:szCs w:val="18"/>
              </w:rPr>
              <w:t>确认能源消耗的种类：</w:t>
            </w:r>
          </w:p>
          <w:p>
            <w:pPr>
              <w:rPr>
                <w:color w:val="000000"/>
                <w:szCs w:val="18"/>
                <w:highlight w:val="magenta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重点</w:t>
            </w:r>
            <w:r>
              <w:rPr>
                <w:rFonts w:hint="eastAsia"/>
                <w:color w:val="000000"/>
                <w:szCs w:val="18"/>
              </w:rPr>
              <w:t>用能单位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>一般用能单位</w:t>
            </w:r>
            <w:r>
              <w:rPr>
                <w:rFonts w:ascii="Wingdings" w:hAnsi="Wingdings"/>
                <w:color w:val="000000"/>
              </w:rPr>
              <w:t>¨¨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能源目标指标完成情况：</w:t>
            </w:r>
          </w:p>
          <w:tbl>
            <w:tblPr>
              <w:tblStyle w:val="10"/>
              <w:tblW w:w="978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06"/>
              <w:gridCol w:w="2258"/>
              <w:gridCol w:w="452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能耗指标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完成情况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国家限额指标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地方政府下达的指标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集团或上一级部门下达的指标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本单位制定的目标指标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  <w:highlight w:val="none"/>
                    </w:rPr>
                  </w:pPr>
                  <w:r>
                    <w:rPr>
                      <w:rFonts w:ascii="Wingdings" w:hAnsi="Wingdings"/>
                      <w:szCs w:val="21"/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  <w:highlight w:val="none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  <w:highlight w:val="none"/>
                    </w:rPr>
                    <w:t>¨</w:t>
                  </w:r>
                  <w:r>
                    <w:rPr>
                      <w:rFonts w:hint="eastAsia"/>
                      <w:szCs w:val="21"/>
                      <w:highlight w:val="none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hint="default" w:ascii="宋体" w:hAnsi="宋体" w:eastAsia="宋体" w:cs="宋体"/>
                      <w:szCs w:val="21"/>
                      <w:highlight w:val="no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highlight w:val="none"/>
                      <w:lang w:val="en-US" w:eastAsia="zh-CN"/>
                    </w:rPr>
                    <w:t>2021年指标完成</w:t>
                  </w:r>
                </w:p>
              </w:tc>
            </w:tr>
          </w:tbl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现有产量与能源评估的产能的对比</w:t>
            </w:r>
          </w:p>
          <w:p>
            <w:pPr>
              <w:rPr>
                <w:rFonts w:hint="default" w:ascii="Wingdings" w:hAnsi="Wingdings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现有产量：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  <w:lang w:val="en-US" w:eastAsia="zh-CN"/>
              </w:rPr>
              <w:t>2021年产量PVC7183.74吨，PE8202.28吨，PPE356.41吨</w:t>
            </w:r>
            <w:r>
              <w:rPr>
                <w:rFonts w:hint="eastAsia"/>
                <w:color w:val="000000"/>
                <w:szCs w:val="18"/>
                <w:highlight w:val="none"/>
                <w:u w:val="single"/>
              </w:rPr>
              <w:t>；</w:t>
            </w:r>
            <w:r>
              <w:rPr>
                <w:rFonts w:hint="eastAsia"/>
                <w:color w:val="000000"/>
                <w:szCs w:val="18"/>
                <w:highlight w:val="none"/>
              </w:rPr>
              <w:t xml:space="preserve"> 能评的产能：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无节能评估。</w:t>
            </w:r>
          </w:p>
          <w:p>
            <w:pPr>
              <w:rPr>
                <w:rFonts w:hint="eastAsia"/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  <w:szCs w:val="18"/>
              </w:rPr>
              <w:t>未超出产能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已</w:t>
            </w:r>
            <w:r>
              <w:rPr>
                <w:rFonts w:hint="eastAsia"/>
                <w:color w:val="000000"/>
                <w:szCs w:val="18"/>
              </w:rPr>
              <w:t>超出产能</w:t>
            </w:r>
            <w:r>
              <w:rPr>
                <w:rFonts w:hint="eastAsia"/>
                <w:color w:val="000000"/>
              </w:rPr>
              <w:t>，说明：</w:t>
            </w:r>
          </w:p>
          <w:p>
            <w:pPr>
              <w:pStyle w:val="8"/>
              <w:ind w:left="0" w:leftChars="0" w:firstLine="0" w:firstLineChars="0"/>
              <w:rPr>
                <w:color w:val="000000"/>
              </w:rPr>
            </w:pPr>
            <w:r>
              <w:drawing>
                <wp:inline distT="0" distB="0" distL="114300" distR="114300">
                  <wp:extent cx="2048510" cy="1539240"/>
                  <wp:effectExtent l="0" t="0" r="8890" b="1016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color w:val="000000"/>
                <w:szCs w:val="18"/>
                <w:lang w:val="en-US" w:eastAsia="zh-CN"/>
              </w:rPr>
            </w:pPr>
            <w:r>
              <w:rPr>
                <w:color w:val="000000"/>
                <w:szCs w:val="18"/>
              </w:rPr>
              <w:t>查看</w:t>
            </w:r>
            <w:r>
              <w:rPr>
                <w:rFonts w:hint="eastAsia"/>
                <w:color w:val="000000"/>
                <w:szCs w:val="18"/>
              </w:rPr>
              <w:t>合规性证明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节能评估报告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节能项目验收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能源审计报告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查看主要能源使用的识别的充分性</w:t>
            </w:r>
          </w:p>
          <w:p>
            <w:pPr>
              <w:ind w:firstLine="420" w:firstLineChars="200"/>
              <w:rPr>
                <w:rFonts w:hint="default" w:eastAsia="宋体"/>
                <w:color w:val="000000"/>
                <w:highlight w:val="yellow"/>
                <w:u w:val="single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00"/>
                <w:highlight w:val="none"/>
                <w:lang w:val="en-US" w:eastAsia="zh-CN"/>
              </w:rPr>
              <w:t>未统计食堂使用的液化气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</w:rPr>
              <w:t xml:space="preserve">了解能源基准和能源绩效参数确定的合理性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pStyle w:val="17"/>
              <w:numPr>
                <w:ilvl w:val="0"/>
                <w:numId w:val="2"/>
              </w:numPr>
              <w:ind w:firstLineChars="0"/>
              <w:rPr>
                <w:color w:val="000000"/>
                <w:sz w:val="21"/>
                <w:szCs w:val="18"/>
              </w:rPr>
            </w:pPr>
            <w:r>
              <w:rPr>
                <w:rFonts w:hint="eastAsia"/>
                <w:color w:val="000000"/>
                <w:sz w:val="21"/>
                <w:szCs w:val="18"/>
              </w:rPr>
              <w:t xml:space="preserve">了解能源数据收集的策划的合理性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-了解适用的能源法律和其他要求的获取、识别和实施情况</w:t>
            </w:r>
          </w:p>
          <w:p>
            <w:pPr>
              <w:pStyle w:val="7"/>
              <w:pBdr>
                <w:bottom w:val="none" w:color="auto" w:sz="0" w:space="0"/>
              </w:pBdr>
              <w:tabs>
                <w:tab w:val="center" w:pos="5737"/>
                <w:tab w:val="clear" w:pos="4153"/>
              </w:tabs>
              <w:jc w:val="both"/>
              <w:rPr>
                <w:rFonts w:hint="default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kern w:val="2"/>
                <w:sz w:val="21"/>
                <w:szCs w:val="18"/>
                <w:lang w:val="en-US" w:eastAsia="zh-CN" w:bidi="ar-SA"/>
              </w:rPr>
              <w:t>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18"/>
                <w:lang w:val="en-US" w:eastAsia="zh-CN" w:bidi="ar-SA"/>
              </w:rPr>
              <w:t xml:space="preserve">充分  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18"/>
                <w:lang w:val="en-US" w:eastAsia="zh-CN" w:bidi="ar-SA"/>
              </w:rPr>
              <w:sym w:font="Wingdings" w:char="00FE"/>
            </w: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18"/>
                <w:lang w:val="en-US" w:eastAsia="zh-CN" w:bidi="ar-SA"/>
              </w:rPr>
              <w:t xml:space="preserve">不充分，需要完善： 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法律法规清单：1）未更新、节约能源法、节能量计算方法标准；2）未识别RB/T 114-2014能源管理体系　纯碱、焦化、橡塑制品、制药等化工企业认证要求和GBT 36713-2018能源管理体系 能源基准及能源绩效参数；以及当地政府的能源管理政策；</w:t>
            </w:r>
          </w:p>
          <w:p>
            <w:pPr>
              <w:ind w:firstLine="420" w:firstLineChars="200"/>
              <w:rPr>
                <w:rFonts w:hint="eastAsia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了解企业进行合规性评价的有效性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了解组织能源评审报告的完成情况 </w:t>
            </w:r>
          </w:p>
          <w:p>
            <w:pPr>
              <w:ind w:firstLine="420" w:firstLineChars="200"/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-近一年是否进行了技术改进？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szCs w:val="18"/>
              </w:rPr>
              <w:t>：</w:t>
            </w:r>
          </w:p>
          <w:p>
            <w:pPr>
              <w:rPr>
                <w:color w:val="000000"/>
                <w:szCs w:val="18"/>
                <w:highlight w:val="red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-能源采购包括：</w:t>
            </w:r>
          </w:p>
          <w:p>
            <w:pPr>
              <w:ind w:firstLine="420" w:firstLineChars="200"/>
              <w:rPr>
                <w:rFonts w:hint="eastAsia"/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 w:ascii="Wingdings" w:hAnsi="Wingdings"/>
                <w:color w:val="000000"/>
                <w:lang w:val="en-US" w:eastAsia="zh-CN"/>
              </w:rPr>
              <w:t>新鲜</w:t>
            </w:r>
            <w:r>
              <w:rPr>
                <w:rFonts w:hint="eastAsia"/>
                <w:color w:val="000000"/>
              </w:rPr>
              <w:t xml:space="preserve">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  <w:highlight w:val="none"/>
              </w:rPr>
              <w:sym w:font="Wingdings" w:char="00A8"/>
            </w:r>
            <w:r>
              <w:rPr>
                <w:rFonts w:hint="eastAsia"/>
                <w:color w:val="000000"/>
                <w:highlight w:val="none"/>
              </w:rPr>
              <w:t xml:space="preserve">天然气  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压缩气体  </w:t>
            </w:r>
          </w:p>
          <w:p>
            <w:pPr>
              <w:rPr>
                <w:rFonts w:hint="default" w:eastAsia="宋体"/>
                <w:color w:val="000000"/>
                <w:u w:val="single"/>
                <w:lang w:val="en-US" w:eastAsia="zh-CN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 xml:space="preserve"> </w:t>
            </w:r>
          </w:p>
          <w:p>
            <w:pPr>
              <w:rPr>
                <w:color w:val="000000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了解节能知识和技能教育的实施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已实施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不充分，需要完善：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— 了解主要能源使用情况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 w:ascii="Wingdings" w:hAnsi="Wingdings"/>
                <w:color w:val="000000"/>
                <w:lang w:val="en-US" w:eastAsia="zh-CN"/>
              </w:rPr>
              <w:t>新</w:t>
            </w:r>
            <w:r>
              <w:rPr>
                <w:rFonts w:hint="eastAsia"/>
                <w:color w:val="000000"/>
              </w:rPr>
              <w:t xml:space="preserve">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  <w:highlight w:val="none"/>
              </w:rPr>
              <w:sym w:font="Wingdings" w:char="00A8"/>
            </w:r>
            <w:r>
              <w:rPr>
                <w:rFonts w:hint="eastAsia"/>
                <w:color w:val="000000"/>
                <w:highlight w:val="none"/>
              </w:rPr>
              <w:t>天然气</w:t>
            </w: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气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/>
          <w:p>
            <w:r>
              <w:rPr>
                <w:rFonts w:hint="eastAsia"/>
              </w:rPr>
              <w:t>- 了解节水情况</w:t>
            </w:r>
          </w:p>
          <w:p>
            <w:pPr>
              <w:ind w:left="210" w:leftChars="100"/>
            </w:pPr>
            <w:r>
              <w:rPr/>
              <w:sym w:font="Wingdings" w:char="00FE"/>
            </w:r>
            <w:r>
              <w:rPr>
                <w:rFonts w:hint="eastAsia"/>
              </w:rPr>
              <w:t xml:space="preserve">新鲜水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循环水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化学水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除盐水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其他——  </w:t>
            </w:r>
          </w:p>
          <w:p>
            <w:pPr>
              <w:ind w:left="210" w:leftChars="100"/>
            </w:pPr>
          </w:p>
          <w:p>
            <w:r>
              <w:rPr>
                <w:rFonts w:hint="eastAsia"/>
              </w:rPr>
              <w:t>- 了解主要耗能设备的识别状况</w:t>
            </w:r>
          </w:p>
          <w:p>
            <w:pPr>
              <w:ind w:left="210" w:leftChars="100"/>
            </w:pPr>
            <w:r>
              <w:rPr/>
              <w:sym w:font="Wingdings" w:char="00FE"/>
            </w:r>
            <w:r>
              <w:rPr>
                <w:rFonts w:hint="eastAsia"/>
              </w:rPr>
              <w:t xml:space="preserve">电力    </w:t>
            </w:r>
            <w:r>
              <w:rPr/>
              <w:sym w:font="Wingdings" w:char="00FE"/>
            </w:r>
            <w:r>
              <w:rPr>
                <w:rFonts w:hint="eastAsia"/>
                <w:lang w:val="en-US" w:eastAsia="zh-CN"/>
              </w:rPr>
              <w:t>新</w:t>
            </w:r>
            <w:r>
              <w:rPr>
                <w:rFonts w:hint="eastAsia"/>
              </w:rPr>
              <w:t xml:space="preserve">水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煤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天然气   </w:t>
            </w:r>
            <w:r>
              <w:rPr/>
              <w:sym w:font="Wingdings" w:char="00FE"/>
            </w:r>
            <w:r>
              <w:t>燃料</w:t>
            </w:r>
            <w:r>
              <w:rPr>
                <w:rFonts w:hint="eastAsia"/>
              </w:rPr>
              <w:t xml:space="preserve">油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蒸汽 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压缩空气   </w:t>
            </w:r>
            <w:r>
              <w:rPr>
                <w:rFonts w:hint="eastAsia"/>
                <w:lang w:eastAsia="zh-CN"/>
              </w:rPr>
              <w:t></w:t>
            </w:r>
            <w:r>
              <w:rPr>
                <w:rFonts w:hint="eastAsia"/>
              </w:rPr>
              <w:t xml:space="preserve">其他—— </w:t>
            </w:r>
          </w:p>
          <w:p>
            <w:pPr>
              <w:ind w:left="210" w:leftChars="100"/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 了解主要耗能设备的运行效率</w:t>
            </w:r>
            <w:r>
              <w:rPr>
                <w:rFonts w:hint="eastAsia"/>
                <w:lang w:eastAsia="zh-CN"/>
              </w:rPr>
              <w:t>——</w:t>
            </w:r>
            <w:r>
              <w:rPr>
                <w:rFonts w:hint="eastAsia"/>
                <w:lang w:val="en-US" w:eastAsia="zh-CN"/>
              </w:rPr>
              <w:t>未测试，功率较小</w:t>
            </w:r>
          </w:p>
          <w:p>
            <w:pPr>
              <w:ind w:left="210" w:leftChars="100"/>
            </w:pPr>
            <w:r>
              <w:rPr/>
              <w:sym w:font="Wingdings" w:char="00FE"/>
            </w:r>
            <w:r>
              <w:rPr>
                <w:rFonts w:hint="eastAsia"/>
              </w:rPr>
              <w:t xml:space="preserve">机泵  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电机   </w:t>
            </w:r>
            <w:r>
              <w:rPr/>
              <w:sym w:font="Wingdings" w:char="00FE"/>
            </w:r>
            <w:r>
              <w:rPr>
                <w:rFonts w:hint="eastAsia"/>
                <w:lang w:val="en-US" w:eastAsia="zh-CN"/>
              </w:rPr>
              <w:t>配电箱</w:t>
            </w:r>
            <w:r>
              <w:rPr>
                <w:rFonts w:hint="eastAsia"/>
              </w:rPr>
              <w:t xml:space="preserve">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电器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锅炉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机床 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锻压设备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其他—— </w:t>
            </w:r>
          </w:p>
          <w:p>
            <w:pPr>
              <w:ind w:left="210" w:leftChars="100"/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 了解淘汰落后设备的识别情况</w:t>
            </w:r>
            <w:r>
              <w:rPr>
                <w:rFonts w:hint="eastAsia"/>
                <w:lang w:eastAsia="zh-CN"/>
              </w:rPr>
              <w:t>——</w:t>
            </w:r>
            <w:r>
              <w:rPr>
                <w:rFonts w:hint="eastAsia"/>
                <w:lang w:val="en-US" w:eastAsia="zh-CN"/>
              </w:rPr>
              <w:t>无淘汰落后设备</w:t>
            </w:r>
          </w:p>
          <w:p>
            <w:pPr>
              <w:ind w:left="210" w:leftChars="100"/>
            </w:pP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机泵    </w:t>
            </w:r>
            <w:r>
              <w:rPr/>
              <w:sym w:font="Wingdings" w:char="00A8"/>
            </w:r>
            <w:r>
              <w:rPr>
                <w:rFonts w:hint="eastAsia"/>
                <w:lang w:eastAsia="zh-CN"/>
              </w:rPr>
              <w:t></w:t>
            </w:r>
            <w:r>
              <w:rPr>
                <w:rFonts w:hint="eastAsia"/>
              </w:rPr>
              <w:t xml:space="preserve">电机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变压器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电器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锅炉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机床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锻压设备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其他—— </w:t>
            </w:r>
          </w:p>
          <w:p>
            <w:pPr>
              <w:ind w:left="210" w:leftChars="100"/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 xml:space="preserve">- </w:t>
            </w:r>
            <w:r>
              <w:t>了解能耗限值达标情况</w:t>
            </w:r>
            <w:r>
              <w:rPr>
                <w:rFonts w:hint="eastAsia"/>
                <w:lang w:eastAsia="zh-CN"/>
              </w:rPr>
              <w:t>——</w:t>
            </w:r>
            <w:r>
              <w:rPr>
                <w:rFonts w:hint="eastAsia"/>
                <w:lang w:val="en-US" w:eastAsia="zh-CN"/>
              </w:rPr>
              <w:t>不涉及</w:t>
            </w:r>
          </w:p>
          <w:p>
            <w:pPr>
              <w:ind w:firstLine="210" w:firstLineChars="100"/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达标    </w:t>
            </w:r>
            <w:r>
              <w:rPr>
                <w:rFonts w:hint="eastAsia"/>
                <w:lang w:eastAsia="zh-CN"/>
              </w:rPr>
              <w:t></w:t>
            </w:r>
            <w:r>
              <w:rPr/>
              <w:sym w:font="Wingdings" w:char="00A8"/>
            </w:r>
            <w:r>
              <w:rPr>
                <w:rFonts w:hint="eastAsia"/>
              </w:rPr>
              <w:t>不达标，原因：————————</w:t>
            </w:r>
          </w:p>
          <w:p>
            <w:pPr>
              <w:ind w:firstLine="210" w:firstLineChars="100"/>
            </w:pP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- 了解能源计量器具配备情况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电表由供电公司供应，水自采（未安装计量表），食堂用液化气（瓶装），</w:t>
            </w:r>
            <w:r>
              <w:rPr>
                <w:rFonts w:hint="eastAsia"/>
                <w:highlight w:val="none"/>
                <w:lang w:val="en-US" w:eastAsia="zh-CN"/>
              </w:rPr>
              <w:t>叉车有柴油(加油站计量）</w:t>
            </w:r>
          </w:p>
          <w:p>
            <w:r>
              <w:rPr/>
              <w:sym w:font="Wingdings" w:char="00FE"/>
            </w:r>
            <w:r>
              <w:rPr>
                <w:rFonts w:hint="eastAsia"/>
              </w:rPr>
              <w:t xml:space="preserve">用能单位            配备率  </w:t>
            </w:r>
            <w:r>
              <w:rPr/>
              <w:sym w:font="Wingdings" w:char="00FE"/>
            </w:r>
            <w:r>
              <w:t>符合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/>
              <w:sym w:font="Wingdings" w:char="00A8"/>
            </w:r>
            <w:r>
              <w:t>不符合</w:t>
            </w:r>
            <w:r>
              <w:rPr>
                <w:rFonts w:hint="eastAsia"/>
              </w:rPr>
              <w:t xml:space="preserve">    配备等级 </w:t>
            </w:r>
            <w:r>
              <w:rPr/>
              <w:sym w:font="Wingdings" w:char="00FE"/>
            </w:r>
            <w:r>
              <w:t>符合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/>
              <w:sym w:font="Wingdings" w:char="00A8"/>
            </w:r>
            <w:r>
              <w:t>不符合</w:t>
            </w:r>
          </w:p>
          <w:p>
            <w:r>
              <w:rPr/>
              <w:sym w:font="Wingdings" w:char="00FE"/>
            </w:r>
            <w:r>
              <w:t>主要次级用能单位</w:t>
            </w:r>
            <w:r>
              <w:rPr>
                <w:rFonts w:hint="eastAsia"/>
              </w:rPr>
              <w:t xml:space="preserve">    配备率  </w:t>
            </w:r>
            <w:r>
              <w:rPr/>
              <w:sym w:font="Wingdings" w:char="00FE"/>
            </w:r>
            <w:r>
              <w:t>符合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/>
              <w:sym w:font="Wingdings" w:char="00A8"/>
            </w:r>
            <w:r>
              <w:t>不符合</w:t>
            </w:r>
            <w:r>
              <w:rPr>
                <w:rFonts w:hint="eastAsia"/>
              </w:rPr>
              <w:t xml:space="preserve">    配备等级 </w:t>
            </w:r>
            <w:r>
              <w:rPr/>
              <w:sym w:font="Wingdings" w:char="00FE"/>
            </w:r>
            <w:r>
              <w:t>符合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/>
              <w:sym w:font="Wingdings" w:char="00A8"/>
            </w:r>
            <w:r>
              <w:t>不符合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主要用能设备        配备率  </w:t>
            </w:r>
            <w:r>
              <w:rPr/>
              <w:sym w:font="Wingdings" w:char="00A8"/>
            </w:r>
            <w:r>
              <w:t>符合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/>
              <w:sym w:font="Wingdings" w:char="00A8"/>
            </w:r>
            <w:r>
              <w:t>不符合</w:t>
            </w:r>
            <w:r>
              <w:rPr>
                <w:rFonts w:hint="eastAsia"/>
              </w:rPr>
              <w:t xml:space="preserve">    配备等级 </w:t>
            </w:r>
            <w:r>
              <w:rPr/>
              <w:sym w:font="Wingdings" w:char="00A8"/>
            </w:r>
            <w:r>
              <w:t>符合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/>
              <w:sym w:font="Wingdings" w:char="00A8"/>
            </w:r>
            <w:r>
              <w:t>不符合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pStyle w:val="8"/>
              <w:ind w:left="0" w:leftChars="0" w:firstLine="0" w:firstLineChars="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879600" cy="1962785"/>
                  <wp:effectExtent l="0" t="0" r="0" b="5715"/>
                  <wp:docPr id="39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ind w:firstLine="960" w:firstLineChars="4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 xml:space="preserve">电流表电压表等  </w:t>
            </w:r>
            <w:r>
              <w:rPr>
                <w:rFonts w:hint="eastAsia"/>
                <w:lang w:val="en-US" w:eastAsia="zh-CN"/>
              </w:rPr>
              <w:t xml:space="preserve">     </w:t>
            </w: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相关方的反馈及</w:t>
            </w:r>
            <w:r>
              <w:rPr>
                <w:rFonts w:hint="eastAsia"/>
                <w:color w:val="000000"/>
              </w:rPr>
              <w:t>投诉处理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近一年相关方反馈处理情况，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近一年处罚整改情况，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近一年重大能源事故情况，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</w:t>
            </w:r>
            <w:r>
              <w:rPr>
                <w:rFonts w:hint="eastAsia"/>
                <w:color w:val="000000"/>
                <w:shd w:val="pct10" w:color="auto" w:fill="FFFFFF"/>
              </w:rPr>
              <w:t>场所巡查</w:t>
            </w:r>
            <w:r>
              <w:rPr>
                <w:color w:val="000000"/>
                <w:shd w:val="pct10" w:color="auto" w:fill="FFFFFF"/>
              </w:rPr>
              <w:t>: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rFonts w:hint="eastAsia"/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巡视厂区，</w:t>
            </w:r>
            <w:r>
              <w:rPr>
                <w:rFonts w:hint="eastAsia"/>
                <w:color w:val="000000"/>
                <w:szCs w:val="18"/>
              </w:rPr>
              <w:t>查看地理位置图、厂区平面图（适用时）</w:t>
            </w:r>
          </w:p>
          <w:p>
            <w:pPr>
              <w:rPr>
                <w:rFonts w:hint="eastAsia"/>
                <w:color w:val="000000"/>
                <w:szCs w:val="18"/>
              </w:rPr>
            </w:pPr>
          </w:p>
          <w:p>
            <w:pPr>
              <w:ind w:firstLine="210" w:firstLine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t>þ</w:t>
            </w:r>
            <w:r>
              <w:rPr>
                <w:rFonts w:hint="eastAsia"/>
                <w:color w:val="000000"/>
              </w:rPr>
              <w:t xml:space="preserve">工业区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商业区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生态保护区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/>
          <w:p>
            <w:pPr>
              <w:pStyle w:val="8"/>
            </w:pPr>
            <w:r>
              <w:drawing>
                <wp:inline distT="0" distB="0" distL="114300" distR="114300">
                  <wp:extent cx="2693670" cy="1563370"/>
                  <wp:effectExtent l="0" t="0" r="11430" b="11430"/>
                  <wp:docPr id="4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667000" cy="1537335"/>
                  <wp:effectExtent l="0" t="0" r="0" b="12065"/>
                  <wp:docPr id="4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ind w:firstLine="1920" w:firstLineChars="800"/>
            </w:pPr>
            <w:r>
              <w:rPr>
                <w:rFonts w:hint="eastAsia"/>
                <w:lang w:val="en-US" w:eastAsia="zh-CN"/>
              </w:rPr>
              <w:t>产品PVC管                       PE生产线</w:t>
            </w:r>
          </w:p>
          <w:p>
            <w:pPr>
              <w:pStyle w:val="8"/>
              <w:rPr>
                <w:color w:val="000000"/>
              </w:rPr>
            </w:pPr>
            <w:r>
              <w:drawing>
                <wp:inline distT="0" distB="0" distL="114300" distR="114300">
                  <wp:extent cx="2692400" cy="1613535"/>
                  <wp:effectExtent l="0" t="0" r="0" b="12065"/>
                  <wp:docPr id="4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641600" cy="1664335"/>
                  <wp:effectExtent l="0" t="0" r="0" b="12065"/>
                  <wp:docPr id="5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巡视办公区域和生产区域的能源管理情况，是否存在：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font="Wingdings" w:char="00FE"/>
            </w:r>
            <w:r>
              <w:rPr>
                <w:rFonts w:hint="eastAsia" w:ascii="宋体" w:hAnsi="宋体" w:cs="宋体"/>
                <w:kern w:val="0"/>
                <w:szCs w:val="21"/>
              </w:rPr>
              <w:t>空调温度控制，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长明灯，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长流水；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天然气使用开关关闭；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巡视生产区域（厂区、车间、公用工程等），</w:t>
            </w:r>
            <w:r>
              <w:rPr>
                <w:rFonts w:hint="eastAsia"/>
                <w:color w:val="000000"/>
                <w:szCs w:val="18"/>
              </w:rPr>
              <w:t>了解能源使用的种类：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资源能源消耗类：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燃料气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热水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燃料油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巡视动力设施和辅助设施的状况，关注主要用能场所：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锅炉房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加热炉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color w:val="000000"/>
              </w:rPr>
              <w:t>汽轮机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color w:val="000000"/>
              </w:rPr>
              <w:t>空压机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highlight w:val="none"/>
              </w:rPr>
              <w:t>高压配电室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低压配电室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空压</w:t>
            </w:r>
            <w:r>
              <w:rPr>
                <w:rFonts w:hint="eastAsia"/>
                <w:color w:val="000000"/>
                <w:lang w:val="en-US" w:eastAsia="zh-CN"/>
              </w:rPr>
              <w:t>机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制冷站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污水处理站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改建/扩建施工现场    </w:t>
            </w:r>
            <w:r>
              <w:rPr>
                <w:rFonts w:hint="eastAsia"/>
                <w:color w:val="000000"/>
                <w:highlight w:val="none"/>
              </w:rPr>
              <w:t xml:space="preserve"> </w:t>
            </w:r>
            <w:r>
              <w:rPr>
                <w:rFonts w:ascii="Wingdings" w:hAnsi="Wingdings"/>
                <w:color w:val="000000"/>
                <w:highlight w:val="none"/>
              </w:rPr>
              <w:sym w:font="Wingdings" w:char="00FE"/>
            </w:r>
            <w:r>
              <w:rPr>
                <w:rFonts w:hint="eastAsia"/>
                <w:color w:val="000000"/>
                <w:highlight w:val="none"/>
              </w:rPr>
              <w:t xml:space="preserve">食堂 </w:t>
            </w:r>
            <w:r>
              <w:rPr>
                <w:rFonts w:hint="eastAsia"/>
                <w:color w:val="000000"/>
              </w:rPr>
              <w:t xml:space="preserve"> 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pStyle w:val="8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pStyle w:val="8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874520" cy="1550035"/>
                  <wp:effectExtent l="0" t="0" r="5080" b="12065"/>
                  <wp:docPr id="5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645285" cy="1581150"/>
                  <wp:effectExtent l="0" t="0" r="5715" b="6350"/>
                  <wp:docPr id="59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79600" cy="1581150"/>
                  <wp:effectExtent l="0" t="0" r="0" b="6350"/>
                  <wp:docPr id="60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确认生产/服务流程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与提供流程图一致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与提供流程图不一致，说明：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观察基础设施（高耗能设备）运行完好：是否存在低负荷运行——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电动机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工业锅炉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工业炉窑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反应釜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热处理设备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泵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观察能源相关的监视和测量设备的种类并了解检定/校准情况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流量计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温度计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氧化锆测定仪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压力表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电表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电流表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电压表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 xml:space="preserve">-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与申请信息变更的说明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7"/>
              <w:numPr>
                <w:ilvl w:val="0"/>
                <w:numId w:val="3"/>
              </w:numPr>
              <w:ind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注册地址变更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经营地址变更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认证范围变更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员工人数变更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临时现场变更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其他                                            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Cs w:val="18"/>
              </w:rPr>
              <w:t>识别二阶段审核的资源配置情况和可行性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 识别二阶段审核的资源配置情况</w:t>
            </w: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有生产/服务现场   </w:t>
            </w: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领导层可以迎审  □交通食宿  □劳保用品  </w:t>
            </w: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□ 其他：</w:t>
            </w: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识别二阶段审核的可行性</w:t>
            </w: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二阶段日期的可接受性  </w:t>
            </w: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审核组成员的可接受性  </w:t>
            </w: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>一阶段的问题已整改</w:t>
            </w:r>
          </w:p>
          <w:p>
            <w:pPr>
              <w:pStyle w:val="17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不存在影响二阶段审核的问题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</w:tbl>
    <w:p>
      <w:pPr>
        <w:pStyle w:val="6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6"/>
        <w:rFonts w:hint="defaul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-140335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37.9pt;margin-top:2.6pt;height:20.2pt;width:85.7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</w:t>
                </w:r>
                <w:r>
                  <w:rPr>
                    <w:sz w:val="18"/>
                    <w:szCs w:val="18"/>
                  </w:rPr>
                  <w:t>13</w:t>
                </w:r>
                <w:r>
                  <w:rPr>
                    <w:rFonts w:hint="eastAsia"/>
                    <w:sz w:val="18"/>
                    <w:szCs w:val="18"/>
                  </w:rPr>
                  <w:t>(05版)</w:t>
                </w:r>
              </w:p>
            </w:txbxContent>
          </v:textbox>
        </v:shape>
      </w:pict>
    </w:r>
    <w:r>
      <w:rPr>
        <w:rStyle w:val="16"/>
        <w:rFonts w:hint="default"/>
      </w:rPr>
      <w:t>北京国标联合认证有限公司</w:t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</w:p>
  <w:p>
    <w:pPr>
      <w:pStyle w:val="7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6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C6C60"/>
    <w:multiLevelType w:val="multilevel"/>
    <w:tmpl w:val="31EC6C60"/>
    <w:lvl w:ilvl="0" w:tentative="0">
      <w:start w:val="0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7A16B35"/>
    <w:multiLevelType w:val="multilevel"/>
    <w:tmpl w:val="37A16B35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C457D56"/>
    <w:multiLevelType w:val="singleLevel"/>
    <w:tmpl w:val="7C457D56"/>
    <w:lvl w:ilvl="0" w:tentative="0">
      <w:start w:val="1"/>
      <w:numFmt w:val="bullet"/>
      <w:pStyle w:val="4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5D2C74"/>
    <w:rsid w:val="02C653AC"/>
    <w:rsid w:val="0B886922"/>
    <w:rsid w:val="0EDB0AD9"/>
    <w:rsid w:val="0FF973DF"/>
    <w:rsid w:val="14EA1D2B"/>
    <w:rsid w:val="183E00B4"/>
    <w:rsid w:val="19D8558F"/>
    <w:rsid w:val="1AE842EE"/>
    <w:rsid w:val="2019494B"/>
    <w:rsid w:val="248E3F12"/>
    <w:rsid w:val="2F4569B0"/>
    <w:rsid w:val="4B6300A2"/>
    <w:rsid w:val="4D823FA6"/>
    <w:rsid w:val="4FC47062"/>
    <w:rsid w:val="54BC52EB"/>
    <w:rsid w:val="5838333F"/>
    <w:rsid w:val="60E15167"/>
    <w:rsid w:val="6D2F5E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ody Text"/>
    <w:basedOn w:val="1"/>
    <w:next w:val="4"/>
    <w:qFormat/>
    <w:uiPriority w:val="0"/>
    <w:rPr>
      <w:sz w:val="24"/>
    </w:rPr>
  </w:style>
  <w:style w:type="paragraph" w:styleId="4">
    <w:name w:val="List Bullet 5"/>
    <w:basedOn w:val="1"/>
    <w:semiHidden/>
    <w:unhideWhenUsed/>
    <w:uiPriority w:val="99"/>
    <w:pPr>
      <w:numPr>
        <w:ilvl w:val="0"/>
        <w:numId w:val="1"/>
      </w:numPr>
    </w:p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"/>
    <w:basedOn w:val="3"/>
    <w:unhideWhenUsed/>
    <w:qFormat/>
    <w:uiPriority w:val="99"/>
    <w:pPr>
      <w:ind w:firstLine="420" w:firstLineChars="100"/>
    </w:p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22"/>
    <w:rPr>
      <w:b/>
      <w:bCs/>
    </w:rPr>
  </w:style>
  <w:style w:type="character" w:customStyle="1" w:styleId="13">
    <w:name w:val="页眉 Char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Char"/>
    <w:basedOn w:val="11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1954</Words>
  <Characters>11144</Characters>
  <Lines>92</Lines>
  <Paragraphs>26</Paragraphs>
  <TotalTime>0</TotalTime>
  <ScaleCrop>false</ScaleCrop>
  <LinksUpToDate>false</LinksUpToDate>
  <CharactersWithSpaces>13072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丽英</cp:lastModifiedBy>
  <dcterms:modified xsi:type="dcterms:W3CDTF">2022-12-12T11:32:46Z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5F7C65144C2B4464A3804FF2E286B100</vt:lpwstr>
  </property>
  <property fmtid="{D5CDD505-2E9C-101B-9397-08002B2CF9AE}" pid="3" name="KSOProductBuildVer">
    <vt:lpwstr>2052-11.1.0.10314</vt:lpwstr>
  </property>
</Properties>
</file>