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p>
      <w:pPr>
        <w:pStyle w:val="14"/>
      </w:pPr>
      <w:bookmarkStart w:id="0" w:name="_GoBack"/>
      <w:bookmarkEnd w:id="0"/>
    </w:p>
    <w:tbl>
      <w:tblPr>
        <w:tblStyle w:val="12"/>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9"/>
        <w:gridCol w:w="989"/>
        <w:gridCol w:w="10852"/>
        <w:gridCol w:w="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049" w:type="dxa"/>
            <w:vMerge w:val="restart"/>
            <w:vAlign w:val="center"/>
          </w:tcPr>
          <w:p>
            <w:pPr>
              <w:spacing w:before="120" w:line="360" w:lineRule="auto"/>
              <w:jc w:val="center"/>
              <w:rPr>
                <w:sz w:val="24"/>
                <w:szCs w:val="24"/>
              </w:rPr>
            </w:pPr>
            <w:r>
              <w:rPr>
                <w:rFonts w:hint="eastAsia"/>
                <w:sz w:val="24"/>
                <w:szCs w:val="24"/>
              </w:rPr>
              <w:t>过程与活动、</w:t>
            </w:r>
          </w:p>
          <w:p>
            <w:pPr>
              <w:spacing w:line="360" w:lineRule="auto"/>
              <w:jc w:val="center"/>
            </w:pPr>
            <w:r>
              <w:rPr>
                <w:rFonts w:hint="eastAsia"/>
                <w:sz w:val="24"/>
                <w:szCs w:val="24"/>
              </w:rPr>
              <w:t>抽样计划</w:t>
            </w:r>
          </w:p>
        </w:tc>
        <w:tc>
          <w:tcPr>
            <w:tcW w:w="989" w:type="dxa"/>
            <w:vMerge w:val="restart"/>
            <w:vAlign w:val="center"/>
          </w:tcPr>
          <w:p>
            <w:pPr>
              <w:spacing w:line="360" w:lineRule="auto"/>
              <w:rPr>
                <w:sz w:val="24"/>
                <w:szCs w:val="24"/>
              </w:rPr>
            </w:pPr>
            <w:r>
              <w:rPr>
                <w:rFonts w:hint="eastAsia"/>
                <w:sz w:val="24"/>
                <w:szCs w:val="24"/>
              </w:rPr>
              <w:t>涉及</w:t>
            </w:r>
          </w:p>
          <w:p>
            <w:pPr>
              <w:spacing w:line="360" w:lineRule="auto"/>
            </w:pPr>
            <w:r>
              <w:rPr>
                <w:rFonts w:hint="eastAsia"/>
                <w:sz w:val="24"/>
                <w:szCs w:val="24"/>
              </w:rPr>
              <w:t>条款</w:t>
            </w:r>
          </w:p>
        </w:tc>
        <w:tc>
          <w:tcPr>
            <w:tcW w:w="10852" w:type="dxa"/>
            <w:vAlign w:val="center"/>
          </w:tcPr>
          <w:p>
            <w:pPr>
              <w:spacing w:line="360" w:lineRule="auto"/>
              <w:rPr>
                <w:rFonts w:hint="default" w:eastAsia="宋体"/>
                <w:sz w:val="24"/>
                <w:szCs w:val="24"/>
                <w:lang w:val="en-US" w:eastAsia="zh-CN"/>
              </w:rPr>
            </w:pPr>
            <w:r>
              <w:rPr>
                <w:rFonts w:hint="eastAsia"/>
                <w:sz w:val="24"/>
                <w:szCs w:val="24"/>
              </w:rPr>
              <w:t>受审核部门：</w:t>
            </w:r>
            <w:r>
              <w:rPr>
                <w:rFonts w:hint="eastAsia"/>
                <w:sz w:val="24"/>
                <w:szCs w:val="24"/>
                <w:lang w:val="en-US" w:eastAsia="zh-CN"/>
              </w:rPr>
              <w:t xml:space="preserve">工程部 </w:t>
            </w:r>
            <w:r>
              <w:rPr>
                <w:sz w:val="24"/>
                <w:szCs w:val="24"/>
              </w:rPr>
              <w:t xml:space="preserve">  </w:t>
            </w:r>
            <w:r>
              <w:rPr>
                <w:rFonts w:hint="eastAsia"/>
                <w:sz w:val="24"/>
                <w:szCs w:val="24"/>
              </w:rPr>
              <w:t>主管领导：</w:t>
            </w:r>
            <w:r>
              <w:rPr>
                <w:rFonts w:hint="eastAsia"/>
                <w:sz w:val="24"/>
                <w:szCs w:val="24"/>
                <w:lang w:val="en-US" w:eastAsia="zh-CN"/>
              </w:rPr>
              <w:t xml:space="preserve">王亚军  </w:t>
            </w:r>
            <w:r>
              <w:rPr>
                <w:sz w:val="24"/>
                <w:szCs w:val="24"/>
              </w:rPr>
              <w:t xml:space="preserve">      </w:t>
            </w:r>
            <w:r>
              <w:rPr>
                <w:rFonts w:hint="eastAsia"/>
                <w:sz w:val="24"/>
                <w:szCs w:val="24"/>
              </w:rPr>
              <w:t>陪同人员：</w:t>
            </w:r>
            <w:r>
              <w:rPr>
                <w:rFonts w:hint="eastAsia"/>
                <w:sz w:val="24"/>
                <w:szCs w:val="24"/>
                <w:lang w:val="en-US" w:eastAsia="zh-CN"/>
              </w:rPr>
              <w:t>谢旭</w:t>
            </w:r>
          </w:p>
        </w:tc>
        <w:tc>
          <w:tcPr>
            <w:tcW w:w="819" w:type="dxa"/>
            <w:vMerge w:val="restart"/>
            <w:vAlign w:val="center"/>
          </w:tcPr>
          <w:p>
            <w:pPr>
              <w:spacing w:line="360" w:lineRule="auto"/>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049" w:type="dxa"/>
            <w:vMerge w:val="continue"/>
            <w:vAlign w:val="center"/>
          </w:tcPr>
          <w:p>
            <w:pPr>
              <w:spacing w:line="360" w:lineRule="auto"/>
            </w:pPr>
          </w:p>
        </w:tc>
        <w:tc>
          <w:tcPr>
            <w:tcW w:w="989" w:type="dxa"/>
            <w:vMerge w:val="continue"/>
            <w:vAlign w:val="center"/>
          </w:tcPr>
          <w:p>
            <w:pPr>
              <w:spacing w:line="360" w:lineRule="auto"/>
            </w:pPr>
          </w:p>
        </w:tc>
        <w:tc>
          <w:tcPr>
            <w:tcW w:w="10852" w:type="dxa"/>
            <w:vAlign w:val="center"/>
          </w:tcPr>
          <w:p>
            <w:pPr>
              <w:spacing w:before="120" w:line="360" w:lineRule="auto"/>
              <w:rPr>
                <w:rFonts w:hint="default" w:eastAsia="宋体"/>
                <w:lang w:val="en-US" w:eastAsia="zh-CN"/>
              </w:rPr>
            </w:pPr>
            <w:r>
              <w:rPr>
                <w:rFonts w:hint="eastAsia"/>
                <w:sz w:val="24"/>
                <w:szCs w:val="24"/>
              </w:rPr>
              <w:t>审核员：</w:t>
            </w:r>
            <w:r>
              <w:rPr>
                <w:rFonts w:hint="eastAsia"/>
                <w:sz w:val="24"/>
                <w:szCs w:val="24"/>
                <w:lang w:val="en-US" w:eastAsia="zh-CN"/>
              </w:rPr>
              <w:t>李俐</w:t>
            </w:r>
            <w:r>
              <w:rPr>
                <w:sz w:val="24"/>
                <w:szCs w:val="24"/>
              </w:rPr>
              <w:t xml:space="preserve">       </w:t>
            </w:r>
            <w:r>
              <w:rPr>
                <w:rFonts w:hint="eastAsia"/>
                <w:sz w:val="24"/>
                <w:szCs w:val="24"/>
                <w:lang w:val="en-US" w:eastAsia="zh-CN"/>
              </w:rPr>
              <w:t xml:space="preserve">    </w:t>
            </w:r>
            <w:r>
              <w:rPr>
                <w:rFonts w:hint="eastAsia"/>
                <w:sz w:val="24"/>
                <w:szCs w:val="24"/>
              </w:rPr>
              <w:t>审核时间：2</w:t>
            </w:r>
            <w:r>
              <w:rPr>
                <w:sz w:val="24"/>
                <w:szCs w:val="24"/>
              </w:rPr>
              <w:t>0</w:t>
            </w:r>
            <w:r>
              <w:rPr>
                <w:rFonts w:hint="eastAsia"/>
                <w:sz w:val="24"/>
                <w:szCs w:val="24"/>
                <w:lang w:val="en-US" w:eastAsia="zh-CN"/>
              </w:rPr>
              <w:t>22</w:t>
            </w:r>
            <w:r>
              <w:rPr>
                <w:sz w:val="24"/>
                <w:szCs w:val="24"/>
              </w:rPr>
              <w:t>.1</w:t>
            </w:r>
            <w:r>
              <w:rPr>
                <w:rFonts w:hint="eastAsia"/>
                <w:sz w:val="24"/>
                <w:szCs w:val="24"/>
                <w:lang w:val="en-US" w:eastAsia="zh-CN"/>
              </w:rPr>
              <w:t>2.14</w:t>
            </w:r>
          </w:p>
        </w:tc>
        <w:tc>
          <w:tcPr>
            <w:tcW w:w="819" w:type="dxa"/>
            <w:vMerge w:val="continue"/>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049" w:type="dxa"/>
            <w:vMerge w:val="continue"/>
            <w:vAlign w:val="center"/>
          </w:tcPr>
          <w:p>
            <w:pPr>
              <w:spacing w:line="360" w:lineRule="auto"/>
            </w:pPr>
          </w:p>
        </w:tc>
        <w:tc>
          <w:tcPr>
            <w:tcW w:w="989" w:type="dxa"/>
            <w:vMerge w:val="continue"/>
            <w:vAlign w:val="center"/>
          </w:tcPr>
          <w:p>
            <w:pPr>
              <w:spacing w:line="360" w:lineRule="auto"/>
            </w:pPr>
          </w:p>
        </w:tc>
        <w:tc>
          <w:tcPr>
            <w:tcW w:w="10852" w:type="dxa"/>
            <w:vAlign w:val="center"/>
          </w:tcPr>
          <w:p>
            <w:pPr>
              <w:spacing w:line="360" w:lineRule="auto"/>
              <w:rPr>
                <w:sz w:val="24"/>
                <w:szCs w:val="24"/>
              </w:rPr>
            </w:pPr>
            <w:r>
              <w:rPr>
                <w:rFonts w:hint="eastAsia"/>
                <w:sz w:val="24"/>
                <w:szCs w:val="24"/>
              </w:rPr>
              <w:t>审核条款：</w:t>
            </w:r>
            <w:r>
              <w:rPr>
                <w:rFonts w:hint="eastAsia" w:ascii="宋体" w:hAnsi="宋体" w:eastAsia="宋体" w:cs="Arial"/>
                <w:b w:val="0"/>
                <w:bCs w:val="0"/>
                <w:sz w:val="21"/>
                <w:szCs w:val="21"/>
                <w:lang w:eastAsia="zh-CN"/>
              </w:rPr>
              <w:t>EMS</w:t>
            </w:r>
            <w:r>
              <w:rPr>
                <w:rFonts w:hint="eastAsia" w:ascii="宋体" w:hAnsi="宋体" w:eastAsia="宋体" w:cs="Arial"/>
                <w:b w:val="0"/>
                <w:bCs w:val="0"/>
                <w:sz w:val="21"/>
                <w:szCs w:val="21"/>
                <w:lang w:val="en-US" w:eastAsia="zh-CN"/>
              </w:rPr>
              <w:t>/</w:t>
            </w:r>
            <w:r>
              <w:rPr>
                <w:rFonts w:hint="eastAsia" w:ascii="宋体" w:hAnsi="宋体"/>
                <w:b w:val="0"/>
                <w:bCs w:val="0"/>
                <w:sz w:val="21"/>
                <w:szCs w:val="21"/>
                <w:lang w:val="de-DE"/>
              </w:rPr>
              <w:t>O</w:t>
            </w:r>
            <w:r>
              <w:rPr>
                <w:rFonts w:hint="eastAsia" w:ascii="宋体" w:hAnsi="宋体" w:eastAsia="宋体"/>
                <w:b w:val="0"/>
                <w:bCs w:val="0"/>
                <w:sz w:val="21"/>
                <w:szCs w:val="21"/>
                <w:lang w:val="en-US" w:eastAsia="zh-CN"/>
              </w:rPr>
              <w:t>M</w:t>
            </w:r>
            <w:r>
              <w:rPr>
                <w:rFonts w:hint="eastAsia" w:ascii="宋体" w:hAnsi="宋体"/>
                <w:b w:val="0"/>
                <w:bCs w:val="0"/>
                <w:sz w:val="21"/>
                <w:szCs w:val="21"/>
                <w:lang w:val="de-DE"/>
              </w:rPr>
              <w:t>S</w:t>
            </w:r>
            <w:r>
              <w:rPr>
                <w:rFonts w:hint="eastAsia" w:ascii="宋体" w:hAnsi="宋体" w:eastAsia="宋体" w:cs="Arial"/>
                <w:b w:val="0"/>
                <w:bCs w:val="0"/>
                <w:sz w:val="21"/>
                <w:szCs w:val="21"/>
                <w:u w:val="none"/>
                <w:lang w:eastAsia="zh-CN"/>
              </w:rPr>
              <w:t>:</w:t>
            </w:r>
            <w:r>
              <w:rPr>
                <w:rFonts w:hint="eastAsia" w:ascii="宋体" w:hAnsi="宋体" w:cs="Arial"/>
                <w:b w:val="0"/>
                <w:bCs w:val="0"/>
                <w:sz w:val="21"/>
                <w:szCs w:val="21"/>
                <w:u w:val="none"/>
              </w:rPr>
              <w:t>5.3</w:t>
            </w:r>
            <w:r>
              <w:rPr>
                <w:rFonts w:hint="eastAsia" w:ascii="宋体" w:hAnsi="宋体" w:eastAsia="宋体" w:cs="Arial"/>
                <w:b w:val="0"/>
                <w:bCs w:val="0"/>
                <w:sz w:val="21"/>
                <w:szCs w:val="21"/>
                <w:u w:val="none"/>
                <w:lang w:eastAsia="zh-CN"/>
              </w:rPr>
              <w:t>，</w:t>
            </w:r>
            <w:r>
              <w:rPr>
                <w:rFonts w:hint="eastAsia" w:ascii="宋体" w:hAnsi="宋体" w:cs="Arial"/>
                <w:b w:val="0"/>
                <w:bCs w:val="0"/>
                <w:sz w:val="21"/>
                <w:szCs w:val="21"/>
                <w:u w:val="none"/>
              </w:rPr>
              <w:t>6.2</w:t>
            </w:r>
            <w:r>
              <w:rPr>
                <w:rFonts w:hint="eastAsia" w:ascii="宋体" w:hAnsi="宋体" w:eastAsia="宋体" w:cs="Arial"/>
                <w:b w:val="0"/>
                <w:bCs w:val="0"/>
                <w:sz w:val="21"/>
                <w:szCs w:val="21"/>
                <w:u w:val="none"/>
                <w:lang w:eastAsia="zh-CN"/>
              </w:rPr>
              <w:t>，6.1.2,8.1,8.2,</w:t>
            </w:r>
            <w:r>
              <w:rPr>
                <w:rFonts w:hint="eastAsia" w:ascii="宋体" w:hAnsi="宋体" w:eastAsia="宋体" w:cs="Arial"/>
                <w:b w:val="0"/>
                <w:bCs w:val="0"/>
                <w:sz w:val="21"/>
                <w:szCs w:val="21"/>
                <w:u w:val="none"/>
                <w:lang w:val="en-US" w:eastAsia="zh-CN"/>
              </w:rPr>
              <w:t xml:space="preserve">   </w:t>
            </w:r>
            <w:r>
              <w:rPr>
                <w:rFonts w:hint="eastAsia" w:ascii="宋体" w:hAnsi="宋体" w:cs="Arial"/>
                <w:b w:val="0"/>
                <w:bCs w:val="0"/>
                <w:sz w:val="21"/>
                <w:szCs w:val="21"/>
                <w:u w:val="none"/>
                <w:lang w:val="en-US" w:eastAsia="zh-CN"/>
              </w:rPr>
              <w:t>在建项目：陕西西安雁塔小寨路街道长安路西八里社区有线宽带驻地网新建第二批工程,地址：陕西西安雁塔小寨路街道长安路西八里社区</w:t>
            </w:r>
          </w:p>
        </w:tc>
        <w:tc>
          <w:tcPr>
            <w:tcW w:w="819" w:type="dxa"/>
            <w:vMerge w:val="continue"/>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049" w:type="dxa"/>
          </w:tcPr>
          <w:p>
            <w:pPr>
              <w:spacing w:line="360" w:lineRule="auto"/>
              <w:rPr>
                <w:rFonts w:ascii="宋体" w:hAnsi="宋体" w:cs="宋体"/>
                <w:color w:val="000000"/>
                <w:kern w:val="0"/>
                <w:szCs w:val="21"/>
              </w:rPr>
            </w:pPr>
            <w:r>
              <w:rPr>
                <w:rFonts w:hint="eastAsia" w:ascii="宋体" w:hAnsi="宋体" w:cs="宋体"/>
                <w:color w:val="000000"/>
                <w:kern w:val="0"/>
                <w:szCs w:val="21"/>
              </w:rPr>
              <w:t>组织的岗位职责和权限</w:t>
            </w:r>
          </w:p>
          <w:p>
            <w:pPr>
              <w:spacing w:line="360" w:lineRule="auto"/>
              <w:rPr>
                <w:b/>
                <w:szCs w:val="21"/>
              </w:rPr>
            </w:pPr>
          </w:p>
        </w:tc>
        <w:tc>
          <w:tcPr>
            <w:tcW w:w="989" w:type="dxa"/>
          </w:tcPr>
          <w:p>
            <w:pPr>
              <w:spacing w:line="360" w:lineRule="auto"/>
              <w:rPr>
                <w:rFonts w:ascii="宋体" w:hAnsi="宋体" w:cs="宋体"/>
                <w:color w:val="000000"/>
                <w:kern w:val="0"/>
                <w:szCs w:val="21"/>
              </w:rPr>
            </w:pPr>
            <w:r>
              <w:rPr>
                <w:rFonts w:hint="eastAsia" w:ascii="宋体" w:hAnsi="宋体" w:cs="宋体"/>
                <w:color w:val="000000"/>
                <w:kern w:val="0"/>
                <w:szCs w:val="21"/>
              </w:rPr>
              <w:t>E</w:t>
            </w:r>
            <w:r>
              <w:rPr>
                <w:rFonts w:ascii="宋体" w:hAnsi="宋体" w:cs="宋体"/>
                <w:color w:val="000000"/>
                <w:kern w:val="0"/>
                <w:szCs w:val="21"/>
              </w:rPr>
              <w:t>O</w:t>
            </w:r>
            <w:r>
              <w:rPr>
                <w:rFonts w:hint="eastAsia" w:ascii="宋体" w:hAnsi="宋体" w:cs="宋体"/>
                <w:color w:val="000000"/>
                <w:kern w:val="0"/>
                <w:szCs w:val="21"/>
              </w:rPr>
              <w:t>5.3</w:t>
            </w:r>
          </w:p>
          <w:p>
            <w:pPr>
              <w:spacing w:line="360" w:lineRule="auto"/>
              <w:rPr>
                <w:b/>
                <w:szCs w:val="21"/>
              </w:rPr>
            </w:pPr>
          </w:p>
        </w:tc>
        <w:tc>
          <w:tcPr>
            <w:tcW w:w="10852" w:type="dxa"/>
            <w:vAlign w:val="center"/>
          </w:tcPr>
          <w:p>
            <w:pPr>
              <w:spacing w:line="360" w:lineRule="auto"/>
              <w:ind w:leftChars="200"/>
              <w:jc w:val="left"/>
            </w:pPr>
            <w:r>
              <w:rPr>
                <w:rFonts w:hint="eastAsia"/>
              </w:rPr>
              <w:t>本部门主要负责公司</w:t>
            </w:r>
            <w:r>
              <w:rPr>
                <w:rFonts w:hint="eastAsia"/>
                <w:lang w:val="en-US" w:eastAsia="zh-CN"/>
              </w:rPr>
              <w:t>安装施工</w:t>
            </w:r>
            <w:r>
              <w:rPr>
                <w:rFonts w:hint="eastAsia"/>
              </w:rPr>
              <w:t>过程的控制；基础设施的管理、设备的维护保养工作；工作环境的管理；产品实现的策划；施工</w:t>
            </w:r>
            <w:r>
              <w:rPr>
                <w:rFonts w:hint="eastAsia"/>
                <w:lang w:val="en-US" w:eastAsia="zh-CN"/>
              </w:rPr>
              <w:t>中</w:t>
            </w:r>
            <w:r>
              <w:rPr>
                <w:rFonts w:hint="eastAsia"/>
              </w:rPr>
              <w:t>的等相应环境和职业健康安全的运行控制。</w:t>
            </w:r>
          </w:p>
          <w:p>
            <w:pPr>
              <w:spacing w:line="360" w:lineRule="auto"/>
              <w:ind w:leftChars="200"/>
              <w:jc w:val="left"/>
              <w:rPr>
                <w:rFonts w:hint="default"/>
                <w:lang w:val="en-US"/>
              </w:rPr>
            </w:pPr>
            <w:r>
              <w:rPr>
                <w:rFonts w:hint="eastAsia"/>
              </w:rPr>
              <w:t>与部门负责人沟通，了解本部门的职责权限，暂无变化。</w:t>
            </w:r>
          </w:p>
        </w:tc>
        <w:tc>
          <w:tcPr>
            <w:tcW w:w="819" w:type="dxa"/>
          </w:tcPr>
          <w:p>
            <w:pPr>
              <w:spacing w:line="360" w:lineRule="auto"/>
              <w:rPr>
                <w:rFonts w:hint="eastAsia"/>
                <w:lang w:val="en-US" w:eastAsia="zh-CN"/>
              </w:rPr>
            </w:pPr>
          </w:p>
          <w:p>
            <w:pPr>
              <w:pStyle w:val="11"/>
              <w:ind w:left="0" w:leftChars="0" w:firstLine="210" w:firstLineChars="100"/>
              <w:rPr>
                <w:rFonts w:hint="default" w:eastAsia="宋体"/>
                <w:lang w:val="en-US" w:eastAsia="zh-CN"/>
              </w:rPr>
            </w:pPr>
            <w:r>
              <w:rPr>
                <w:rFonts w:hint="eastAsia" w:eastAsia="宋体"/>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49" w:type="dxa"/>
          </w:tcPr>
          <w:p>
            <w:pPr>
              <w:spacing w:line="360" w:lineRule="auto"/>
              <w:rPr>
                <w:b/>
                <w:szCs w:val="21"/>
              </w:rPr>
            </w:pPr>
            <w:r>
              <w:rPr>
                <w:rFonts w:hint="eastAsia" w:ascii="宋体" w:hAnsi="宋体" w:cs="宋体"/>
                <w:color w:val="000000"/>
                <w:kern w:val="0"/>
                <w:szCs w:val="21"/>
              </w:rPr>
              <w:t>目标及其实现的策划总要求</w:t>
            </w:r>
          </w:p>
        </w:tc>
        <w:tc>
          <w:tcPr>
            <w:tcW w:w="989" w:type="dxa"/>
          </w:tcPr>
          <w:p>
            <w:pPr>
              <w:spacing w:line="360" w:lineRule="auto"/>
              <w:rPr>
                <w:rFonts w:ascii="宋体" w:hAnsi="宋体" w:cs="宋体"/>
                <w:color w:val="000000"/>
                <w:kern w:val="0"/>
                <w:szCs w:val="21"/>
              </w:rPr>
            </w:pPr>
            <w:r>
              <w:rPr>
                <w:rFonts w:hint="eastAsia" w:ascii="宋体" w:hAnsi="宋体" w:cs="宋体"/>
                <w:color w:val="000000"/>
                <w:kern w:val="0"/>
                <w:szCs w:val="21"/>
              </w:rPr>
              <w:t>E</w:t>
            </w:r>
            <w:r>
              <w:rPr>
                <w:rFonts w:ascii="宋体" w:hAnsi="宋体" w:cs="宋体"/>
                <w:color w:val="000000"/>
                <w:kern w:val="0"/>
                <w:szCs w:val="21"/>
              </w:rPr>
              <w:t>O</w:t>
            </w:r>
            <w:r>
              <w:rPr>
                <w:rFonts w:hint="eastAsia" w:ascii="宋体" w:hAnsi="宋体" w:cs="宋体"/>
                <w:color w:val="000000"/>
                <w:kern w:val="0"/>
                <w:szCs w:val="21"/>
              </w:rPr>
              <w:t>6.2</w:t>
            </w:r>
          </w:p>
          <w:p>
            <w:pPr>
              <w:spacing w:line="360" w:lineRule="auto"/>
              <w:rPr>
                <w:b/>
                <w:szCs w:val="21"/>
              </w:rPr>
            </w:pPr>
          </w:p>
        </w:tc>
        <w:tc>
          <w:tcPr>
            <w:tcW w:w="10852" w:type="dxa"/>
            <w:vAlign w:val="center"/>
          </w:tcPr>
          <w:p>
            <w:pPr>
              <w:spacing w:line="360" w:lineRule="auto"/>
              <w:ind w:firstLine="420" w:firstLineChars="200"/>
            </w:pPr>
            <w:r>
              <w:rPr>
                <w:rFonts w:hint="eastAsia"/>
              </w:rPr>
              <w:t>提供《目标分解表》，其中涉及本部门的目标有:</w:t>
            </w:r>
          </w:p>
          <w:p>
            <w:pPr>
              <w:spacing w:line="360" w:lineRule="auto"/>
              <w:ind w:firstLine="420" w:firstLineChars="200"/>
              <w:rPr>
                <w:rFonts w:hint="default" w:eastAsia="宋体"/>
                <w:lang w:val="en-US" w:eastAsia="zh-CN"/>
              </w:rPr>
            </w:pPr>
            <w:r>
              <w:rPr>
                <w:rFonts w:hint="eastAsia"/>
              </w:rPr>
              <w:t>固废合规排放率100%</w:t>
            </w:r>
            <w:r>
              <w:rPr>
                <w:rFonts w:hint="eastAsia"/>
                <w:lang w:val="en-US" w:eastAsia="zh-CN"/>
              </w:rPr>
              <w:t xml:space="preserve">             </w:t>
            </w:r>
            <w:r>
              <w:rPr>
                <w:rFonts w:hint="eastAsia"/>
              </w:rPr>
              <w:t>100%</w:t>
            </w:r>
          </w:p>
          <w:p>
            <w:pPr>
              <w:spacing w:line="360" w:lineRule="auto"/>
              <w:ind w:firstLine="420" w:firstLineChars="200"/>
              <w:rPr>
                <w:rFonts w:hint="eastAsia"/>
              </w:rPr>
            </w:pPr>
            <w:r>
              <w:rPr>
                <w:rFonts w:hint="eastAsia"/>
              </w:rPr>
              <w:t>火灾事故为0</w:t>
            </w:r>
            <w:r>
              <w:rPr>
                <w:rFonts w:hint="eastAsia"/>
                <w:lang w:val="en-US" w:eastAsia="zh-CN"/>
              </w:rPr>
              <w:t xml:space="preserve">                     0</w:t>
            </w:r>
          </w:p>
          <w:p>
            <w:pPr>
              <w:spacing w:line="360" w:lineRule="auto"/>
              <w:ind w:firstLine="420" w:firstLineChars="200"/>
              <w:rPr>
                <w:rFonts w:hint="eastAsia"/>
              </w:rPr>
            </w:pPr>
            <w:r>
              <w:rPr>
                <w:rFonts w:hint="eastAsia"/>
              </w:rPr>
              <w:t>相关方噪声投诉为0</w:t>
            </w:r>
            <w:r>
              <w:rPr>
                <w:rFonts w:hint="eastAsia"/>
                <w:lang w:val="en-US" w:eastAsia="zh-CN"/>
              </w:rPr>
              <w:t xml:space="preserve">               0</w:t>
            </w:r>
          </w:p>
          <w:p>
            <w:pPr>
              <w:spacing w:line="360" w:lineRule="auto"/>
              <w:ind w:firstLine="420" w:firstLineChars="200"/>
              <w:rPr>
                <w:rFonts w:hint="eastAsia"/>
              </w:rPr>
            </w:pPr>
            <w:r>
              <w:rPr>
                <w:rFonts w:hint="eastAsia"/>
              </w:rPr>
              <w:t>死亡和重伤人数为0</w:t>
            </w:r>
            <w:r>
              <w:rPr>
                <w:rFonts w:hint="eastAsia"/>
                <w:lang w:val="en-US" w:eastAsia="zh-CN"/>
              </w:rPr>
              <w:t xml:space="preserve">               0</w:t>
            </w:r>
          </w:p>
          <w:p>
            <w:pPr>
              <w:spacing w:line="360" w:lineRule="auto"/>
              <w:ind w:firstLine="420" w:firstLineChars="200"/>
            </w:pPr>
            <w:r>
              <w:rPr>
                <w:rFonts w:hint="eastAsia"/>
              </w:rPr>
              <w:t>人员轻伤率≤2</w:t>
            </w:r>
            <w:r>
              <w:rPr>
                <w:rFonts w:hint="eastAsia"/>
                <w:lang w:val="en-US" w:eastAsia="zh-CN"/>
              </w:rPr>
              <w:t xml:space="preserve">                    0</w:t>
            </w:r>
          </w:p>
          <w:p>
            <w:pPr>
              <w:spacing w:line="360" w:lineRule="auto"/>
              <w:ind w:firstLine="420" w:firstLineChars="200"/>
            </w:pPr>
            <w:r>
              <w:rPr>
                <w:rFonts w:hint="eastAsia"/>
              </w:rPr>
              <w:t>部门分解目标与公司方针一致，可测量，并传达到部门相关人员，必要时适时更新，目前无变化。</w:t>
            </w:r>
          </w:p>
          <w:p>
            <w:pPr>
              <w:spacing w:line="360" w:lineRule="auto"/>
              <w:ind w:firstLine="420" w:firstLineChars="200"/>
            </w:pPr>
            <w:r>
              <w:rPr>
                <w:rFonts w:hint="eastAsia"/>
              </w:rPr>
              <w:t>提供《各部门分解目标完成情况考核表</w:t>
            </w:r>
            <w:r>
              <w:rPr>
                <w:rFonts w:hint="eastAsia"/>
              </w:rPr>
              <w:t>》，抽考核20</w:t>
            </w:r>
            <w:r>
              <w:rPr>
                <w:rFonts w:hint="eastAsia"/>
                <w:lang w:val="en-US" w:eastAsia="zh-CN"/>
              </w:rPr>
              <w:t>22</w:t>
            </w:r>
            <w:r>
              <w:rPr>
                <w:rFonts w:hint="eastAsia"/>
              </w:rPr>
              <w:t>.</w:t>
            </w:r>
            <w:r>
              <w:rPr>
                <w:rFonts w:hint="eastAsia"/>
                <w:lang w:val="en-US" w:eastAsia="zh-CN"/>
              </w:rPr>
              <w:t>10</w:t>
            </w:r>
            <w:r>
              <w:rPr>
                <w:rFonts w:hint="eastAsia"/>
              </w:rPr>
              <w:t>.</w:t>
            </w:r>
            <w:r>
              <w:rPr>
                <w:rFonts w:hint="eastAsia"/>
                <w:lang w:val="en-US" w:eastAsia="zh-CN"/>
              </w:rPr>
              <w:t>12</w:t>
            </w:r>
            <w:r>
              <w:rPr>
                <w:rFonts w:hint="eastAsia"/>
              </w:rPr>
              <w:t>，考核统计:</w:t>
            </w:r>
            <w:r>
              <w:rPr>
                <w:rFonts w:hint="eastAsia"/>
                <w:lang w:eastAsia="zh-CN"/>
              </w:rPr>
              <w:t>综合办公室</w:t>
            </w:r>
            <w:r>
              <w:rPr>
                <w:rFonts w:hint="eastAsia"/>
              </w:rPr>
              <w:t>。完成情况：以上各</w:t>
            </w:r>
            <w:r>
              <w:rPr>
                <w:rFonts w:hint="eastAsia"/>
                <w:lang w:val="en-US" w:eastAsia="zh-CN"/>
              </w:rPr>
              <w:t>目</w:t>
            </w:r>
            <w:r>
              <w:rPr>
                <w:rFonts w:hint="eastAsia"/>
              </w:rPr>
              <w:t>标均已达成。</w:t>
            </w:r>
          </w:p>
          <w:p>
            <w:pPr>
              <w:spacing w:line="360" w:lineRule="auto"/>
              <w:ind w:firstLine="420" w:firstLineChars="200"/>
            </w:pPr>
            <w:r>
              <w:rPr>
                <w:rFonts w:hint="eastAsia"/>
              </w:rPr>
              <w:t>针对以上环境、职业健康安全目标，公司制定了相应的《管理方案》，内容涉及方法措施、执行部门、预算资金、启动/完成时间、完成情况等。如工作中的废弃物严格按废弃物控制规范进行处理。配备有效的灭火器6个等消防设施；安全操作隐患检查每月至少1次</w:t>
            </w:r>
            <w:r>
              <w:rPr>
                <w:rFonts w:hint="eastAsia"/>
                <w:lang w:eastAsia="zh-CN"/>
              </w:rPr>
              <w:t>；</w:t>
            </w:r>
            <w:r>
              <w:rPr>
                <w:rFonts w:hint="eastAsia"/>
              </w:rPr>
              <w:t>防止影响环境和造成职业健康安全隐患的操作,等……</w:t>
            </w:r>
          </w:p>
          <w:p>
            <w:pPr>
              <w:spacing w:line="360" w:lineRule="auto"/>
              <w:ind w:firstLine="420" w:firstLineChars="200"/>
            </w:pPr>
            <w:r>
              <w:rPr>
                <w:rFonts w:hint="eastAsia"/>
              </w:rPr>
              <w:t>时间表：自管理体系运行以来持续进行，抽查20</w:t>
            </w:r>
            <w:r>
              <w:rPr>
                <w:rFonts w:hint="eastAsia"/>
                <w:lang w:val="en-US" w:eastAsia="zh-CN"/>
              </w:rPr>
              <w:t>22</w:t>
            </w:r>
            <w:r>
              <w:rPr>
                <w:rFonts w:hint="eastAsia"/>
              </w:rPr>
              <w:t>年</w:t>
            </w:r>
            <w:r>
              <w:rPr>
                <w:rFonts w:hint="eastAsia"/>
                <w:lang w:val="en-US" w:eastAsia="zh-CN"/>
              </w:rPr>
              <w:t>6、8、</w:t>
            </w:r>
            <w:r>
              <w:t>10</w:t>
            </w:r>
            <w:r>
              <w:rPr>
                <w:rFonts w:hint="eastAsia"/>
              </w:rPr>
              <w:t>月检查记录，检查人：</w:t>
            </w:r>
            <w:r>
              <w:rPr>
                <w:rFonts w:hint="eastAsia"/>
                <w:lang w:eastAsia="zh-CN"/>
              </w:rPr>
              <w:t>谢旭</w:t>
            </w:r>
            <w:r>
              <w:rPr>
                <w:rFonts w:hint="eastAsia"/>
              </w:rPr>
              <w:t>等，已按管理方案要求实施。</w:t>
            </w:r>
          </w:p>
        </w:tc>
        <w:tc>
          <w:tcPr>
            <w:tcW w:w="819" w:type="dxa"/>
            <w:vAlign w:val="top"/>
          </w:tcPr>
          <w:p>
            <w:pPr>
              <w:spacing w:line="360" w:lineRule="auto"/>
              <w:rPr>
                <w:rFonts w:hint="eastAsia"/>
                <w:lang w:val="en-US" w:eastAsia="zh-CN"/>
              </w:rPr>
            </w:pPr>
          </w:p>
          <w:p>
            <w:pPr>
              <w:pStyle w:val="11"/>
              <w:rPr>
                <w:rFonts w:hint="eastAsia"/>
                <w:lang w:val="en-US" w:eastAsia="zh-CN"/>
              </w:rPr>
            </w:pPr>
          </w:p>
          <w:p>
            <w:pPr>
              <w:pStyle w:val="11"/>
              <w:rPr>
                <w:rFonts w:hint="eastAsia"/>
                <w:lang w:val="en-US" w:eastAsia="zh-CN"/>
              </w:rPr>
            </w:pPr>
          </w:p>
          <w:p>
            <w:pPr>
              <w:pStyle w:val="11"/>
              <w:rPr>
                <w:rFonts w:hint="eastAsia"/>
                <w:lang w:val="en-US" w:eastAsia="zh-CN"/>
              </w:rPr>
            </w:pPr>
          </w:p>
          <w:p>
            <w:pPr>
              <w:pStyle w:val="11"/>
              <w:rPr>
                <w:rFonts w:hint="eastAsia"/>
                <w:lang w:val="en-US" w:eastAsia="zh-CN"/>
              </w:rPr>
            </w:pPr>
          </w:p>
          <w:p>
            <w:pPr>
              <w:pStyle w:val="11"/>
              <w:rPr>
                <w:rFonts w:hint="eastAsia"/>
                <w:lang w:val="en-US" w:eastAsia="zh-CN"/>
              </w:rPr>
            </w:pPr>
          </w:p>
          <w:p>
            <w:pPr>
              <w:pStyle w:val="11"/>
              <w:rPr>
                <w:rFonts w:hint="eastAsia"/>
                <w:lang w:val="en-US" w:eastAsia="zh-CN"/>
              </w:rPr>
            </w:pPr>
          </w:p>
          <w:p>
            <w:pPr>
              <w:pStyle w:val="11"/>
              <w:rPr>
                <w:rFonts w:hint="eastAsia"/>
                <w:lang w:val="en-US" w:eastAsia="zh-CN"/>
              </w:rPr>
            </w:pPr>
          </w:p>
          <w:p>
            <w:pPr>
              <w:pStyle w:val="11"/>
              <w:rPr>
                <w:rFonts w:hint="eastAsia"/>
                <w:lang w:val="en-US" w:eastAsia="zh-CN"/>
              </w:rPr>
            </w:pPr>
          </w:p>
          <w:p>
            <w:pPr>
              <w:pStyle w:val="11"/>
              <w:ind w:left="0" w:leftChars="0" w:firstLine="210" w:firstLineChars="100"/>
            </w:pPr>
            <w:r>
              <w:rPr>
                <w:rFonts w:hint="eastAsia" w:eastAsia="宋体"/>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5" w:hRule="atLeast"/>
        </w:trPr>
        <w:tc>
          <w:tcPr>
            <w:tcW w:w="2049" w:type="dxa"/>
          </w:tcPr>
          <w:p>
            <w:pPr>
              <w:spacing w:line="360" w:lineRule="auto"/>
              <w:rPr>
                <w:bCs/>
                <w:szCs w:val="21"/>
              </w:rPr>
            </w:pPr>
            <w:r>
              <w:rPr>
                <w:rFonts w:hint="eastAsia"/>
                <w:bCs/>
                <w:szCs w:val="21"/>
              </w:rPr>
              <w:t>环境因素</w:t>
            </w:r>
          </w:p>
          <w:p>
            <w:pPr>
              <w:spacing w:line="360" w:lineRule="auto"/>
              <w:rPr>
                <w:b/>
                <w:szCs w:val="21"/>
              </w:rPr>
            </w:pPr>
            <w:r>
              <w:rPr>
                <w:rFonts w:hint="eastAsia"/>
                <w:bCs/>
                <w:szCs w:val="21"/>
              </w:rPr>
              <w:t>危险源</w:t>
            </w:r>
          </w:p>
        </w:tc>
        <w:tc>
          <w:tcPr>
            <w:tcW w:w="989" w:type="dxa"/>
          </w:tcPr>
          <w:p>
            <w:pPr>
              <w:spacing w:line="360" w:lineRule="auto"/>
              <w:rPr>
                <w:bCs/>
                <w:szCs w:val="21"/>
              </w:rPr>
            </w:pPr>
            <w:r>
              <w:rPr>
                <w:rFonts w:hint="eastAsia"/>
                <w:bCs/>
                <w:szCs w:val="21"/>
              </w:rPr>
              <w:t>E</w:t>
            </w:r>
            <w:r>
              <w:rPr>
                <w:bCs/>
                <w:szCs w:val="21"/>
              </w:rPr>
              <w:t>O</w:t>
            </w:r>
            <w:r>
              <w:rPr>
                <w:rFonts w:hint="eastAsia"/>
                <w:bCs/>
                <w:szCs w:val="21"/>
              </w:rPr>
              <w:t>6.1.2</w:t>
            </w:r>
          </w:p>
          <w:p>
            <w:pPr>
              <w:spacing w:line="360" w:lineRule="auto"/>
              <w:rPr>
                <w:b/>
                <w:szCs w:val="21"/>
              </w:rPr>
            </w:pPr>
          </w:p>
        </w:tc>
        <w:tc>
          <w:tcPr>
            <w:tcW w:w="10852" w:type="dxa"/>
            <w:vAlign w:val="center"/>
          </w:tcPr>
          <w:p>
            <w:pPr>
              <w:spacing w:line="360" w:lineRule="auto"/>
              <w:ind w:firstLine="420" w:firstLineChars="200"/>
            </w:pPr>
            <w:r>
              <w:rPr>
                <w:rFonts w:hint="eastAsia"/>
              </w:rPr>
              <w:t>1）提供了</w:t>
            </w:r>
            <w:r>
              <w:rPr>
                <w:rFonts w:hint="eastAsia"/>
                <w:lang w:eastAsia="zh-CN"/>
              </w:rPr>
              <w:t>《</w:t>
            </w:r>
            <w:r>
              <w:rPr>
                <w:rFonts w:hint="eastAsia"/>
              </w:rPr>
              <w:t>环境因素识别评价管理程序</w:t>
            </w:r>
            <w:r>
              <w:rPr>
                <w:rFonts w:hint="eastAsia"/>
                <w:lang w:eastAsia="zh-CN"/>
              </w:rPr>
              <w:t>》</w:t>
            </w:r>
            <w:r>
              <w:rPr>
                <w:rFonts w:hint="eastAsia"/>
              </w:rPr>
              <w:t>用以指导进行环境因素的识别、登记评价，以确定重要环境因素，以及对环境因素的定期更新，环境因素的识别和确定考虑生命周期观点。</w:t>
            </w:r>
          </w:p>
          <w:p>
            <w:pPr>
              <w:spacing w:line="360" w:lineRule="auto"/>
              <w:ind w:firstLine="420" w:firstLineChars="200"/>
            </w:pPr>
            <w:r>
              <w:rPr>
                <w:rFonts w:hint="eastAsia"/>
              </w:rPr>
              <w:t>提供了</w:t>
            </w:r>
            <w:r>
              <w:rPr>
                <w:rFonts w:hint="eastAsia"/>
                <w:lang w:eastAsia="zh-CN"/>
              </w:rPr>
              <w:t>202</w:t>
            </w:r>
            <w:r>
              <w:rPr>
                <w:rFonts w:hint="eastAsia"/>
                <w:lang w:val="en-US" w:eastAsia="zh-CN"/>
              </w:rPr>
              <w:t>2</w:t>
            </w:r>
            <w:r>
              <w:rPr>
                <w:rFonts w:hint="eastAsia"/>
              </w:rPr>
              <w:t>年“环境因素调查表”，识别的环境因素标明时态、状态和对环境的影响；经查阅识别出对在</w:t>
            </w:r>
            <w:r>
              <w:rPr>
                <w:rFonts w:hint="eastAsia"/>
                <w:lang w:val="en-US" w:eastAsia="zh-CN"/>
              </w:rPr>
              <w:t>施工</w:t>
            </w:r>
            <w:r>
              <w:rPr>
                <w:rFonts w:hint="eastAsia"/>
              </w:rPr>
              <w:t>中产生的固废排放</w:t>
            </w:r>
            <w:r>
              <w:rPr>
                <w:rFonts w:hint="eastAsia"/>
                <w:lang w:eastAsia="zh-CN"/>
              </w:rPr>
              <w:t>、</w:t>
            </w:r>
            <w:r>
              <w:rPr>
                <w:rFonts w:hint="eastAsia"/>
              </w:rPr>
              <w:t>噪声等环境因素及考虑到环境管理体系发生变更时可能产生的环境因素。</w:t>
            </w:r>
          </w:p>
          <w:p>
            <w:pPr>
              <w:spacing w:line="360" w:lineRule="auto"/>
              <w:ind w:firstLine="420" w:firstLineChars="200"/>
              <w:rPr>
                <w:rFonts w:hint="default"/>
                <w:lang w:val="en-US" w:eastAsia="zh-CN"/>
              </w:rPr>
            </w:pPr>
            <w:r>
              <w:rPr>
                <w:rFonts w:hint="eastAsia"/>
              </w:rPr>
              <w:t>编制：</w:t>
            </w:r>
            <w:r>
              <w:rPr>
                <w:rFonts w:hint="eastAsia"/>
                <w:lang w:val="en-US" w:eastAsia="zh-CN"/>
              </w:rPr>
              <w:t>王亚军    审核：谢旭</w:t>
            </w:r>
            <w:r>
              <w:rPr>
                <w:rFonts w:hint="eastAsia"/>
              </w:rPr>
              <w:t xml:space="preserve">    批准：</w:t>
            </w:r>
            <w:r>
              <w:rPr>
                <w:rFonts w:hint="eastAsia"/>
                <w:lang w:eastAsia="zh-CN"/>
              </w:rPr>
              <w:t>屈永刚</w:t>
            </w:r>
            <w:r>
              <w:rPr>
                <w:rFonts w:hint="eastAsia"/>
              </w:rPr>
              <w:t xml:space="preserve">       日期：</w:t>
            </w:r>
            <w:r>
              <w:rPr>
                <w:rFonts w:hint="eastAsia"/>
                <w:lang w:eastAsia="zh-CN"/>
              </w:rPr>
              <w:t>2022.5.5</w:t>
            </w:r>
          </w:p>
          <w:p>
            <w:pPr>
              <w:spacing w:line="360" w:lineRule="auto"/>
              <w:ind w:firstLine="420" w:firstLineChars="200"/>
            </w:pPr>
            <w:r>
              <w:rPr>
                <w:rFonts w:hint="eastAsia"/>
              </w:rPr>
              <w:t>重要环境因素采用经验/直接判断法，由各部门有管理经验的人员共同讨论、采用直接判断的方法确定重要环境因素，提供了“重要环境因素清单”：本公司的重要环境因素为：固废</w:t>
            </w:r>
            <w:r>
              <w:rPr>
                <w:rFonts w:hint="eastAsia"/>
                <w:lang w:eastAsia="zh-CN"/>
              </w:rPr>
              <w:t>、</w:t>
            </w:r>
            <w:r>
              <w:rPr>
                <w:rFonts w:hint="eastAsia"/>
                <w:lang w:val="en-US" w:eastAsia="zh-CN"/>
              </w:rPr>
              <w:t>火灾</w:t>
            </w:r>
            <w:r>
              <w:rPr>
                <w:rFonts w:hint="eastAsia"/>
              </w:rPr>
              <w:t>，评价基本合理。</w:t>
            </w:r>
          </w:p>
          <w:p>
            <w:pPr>
              <w:spacing w:line="360" w:lineRule="auto"/>
              <w:ind w:firstLine="420" w:firstLineChars="200"/>
            </w:pPr>
            <w:r>
              <w:rPr>
                <w:rFonts w:hint="eastAsia"/>
              </w:rPr>
              <w:t>提供了针对重要环境因素，编的环境目标、指标及管理方案，内容包括：目标、指标、管理措施、完成时间、资金投入等。</w:t>
            </w:r>
          </w:p>
          <w:p>
            <w:pPr>
              <w:spacing w:line="360" w:lineRule="auto"/>
              <w:ind w:firstLine="420" w:firstLineChars="200"/>
              <w:rPr>
                <w:rFonts w:hint="default"/>
                <w:lang w:val="en-US" w:eastAsia="zh-CN"/>
              </w:rPr>
            </w:pPr>
            <w:r>
              <w:rPr>
                <w:rFonts w:hint="eastAsia"/>
              </w:rPr>
              <w:t>编制：</w:t>
            </w:r>
            <w:r>
              <w:rPr>
                <w:rFonts w:hint="eastAsia"/>
                <w:lang w:val="en-US" w:eastAsia="zh-CN"/>
              </w:rPr>
              <w:t>王亚军    审核：</w:t>
            </w:r>
            <w:r>
              <w:rPr>
                <w:rFonts w:hint="eastAsia"/>
                <w:lang w:eastAsia="zh-CN"/>
              </w:rPr>
              <w:t>谢旭</w:t>
            </w:r>
            <w:r>
              <w:rPr>
                <w:rFonts w:hint="eastAsia"/>
              </w:rPr>
              <w:t xml:space="preserve">    批准：</w:t>
            </w:r>
            <w:r>
              <w:rPr>
                <w:rFonts w:hint="eastAsia"/>
                <w:lang w:eastAsia="zh-CN"/>
              </w:rPr>
              <w:t>屈永刚</w:t>
            </w:r>
            <w:r>
              <w:rPr>
                <w:rFonts w:hint="eastAsia"/>
              </w:rPr>
              <w:t xml:space="preserve">      日期：</w:t>
            </w:r>
            <w:r>
              <w:rPr>
                <w:rFonts w:hint="eastAsia"/>
                <w:lang w:eastAsia="zh-CN"/>
              </w:rPr>
              <w:t>2022.5.5</w:t>
            </w:r>
          </w:p>
          <w:p>
            <w:pPr>
              <w:spacing w:line="360" w:lineRule="auto"/>
              <w:ind w:firstLine="420" w:firstLineChars="200"/>
            </w:pPr>
            <w:r>
              <w:rPr>
                <w:rFonts w:hint="eastAsia"/>
              </w:rPr>
              <w:t>2）提供了公司制定</w:t>
            </w:r>
            <w:r>
              <w:rPr>
                <w:rFonts w:hint="eastAsia"/>
                <w:lang w:eastAsia="zh-CN"/>
              </w:rPr>
              <w:t>《</w:t>
            </w:r>
            <w:r>
              <w:rPr>
                <w:rFonts w:hint="eastAsia"/>
              </w:rPr>
              <w:t>危险源辨识和风险评价控制程序</w:t>
            </w:r>
            <w:r>
              <w:rPr>
                <w:rFonts w:hint="eastAsia"/>
                <w:lang w:eastAsia="zh-CN"/>
              </w:rPr>
              <w:t>》</w:t>
            </w:r>
            <w:r>
              <w:rPr>
                <w:rFonts w:hint="eastAsia"/>
              </w:rPr>
              <w:t>确保公司在所有管理活动或服务过程中能最大限度、充分地进行危险源辨识与风险性评价，确定不可接受风险并及时更新，实现对危险源与不可接受风险的有效控制。</w:t>
            </w:r>
          </w:p>
          <w:p>
            <w:pPr>
              <w:spacing w:line="360" w:lineRule="auto"/>
              <w:ind w:firstLine="420" w:firstLineChars="200"/>
              <w:rPr>
                <w:rFonts w:hint="eastAsia"/>
              </w:rPr>
            </w:pPr>
            <w:r>
              <w:rPr>
                <w:rFonts w:hint="eastAsia"/>
              </w:rPr>
              <w:t>提供了</w:t>
            </w:r>
            <w:r>
              <w:rPr>
                <w:rFonts w:hint="eastAsia"/>
                <w:lang w:eastAsia="zh-CN"/>
              </w:rPr>
              <w:t>2022</w:t>
            </w:r>
            <w:r>
              <w:rPr>
                <w:rFonts w:hint="eastAsia"/>
              </w:rPr>
              <w:t>年“危险源辨识和风险评价表”，对活动场所产生的危险源辨识并进行风险评价，以确定控制措施，经查阅已辨识出线路老化、短路隐患，电线漏电、设备或金属材料伤人、高空坠物、高空坠落等情况产生的火灾、触电、意外伤害等危险因素。编制：编制：</w:t>
            </w:r>
            <w:r>
              <w:rPr>
                <w:rFonts w:hint="eastAsia"/>
                <w:lang w:val="en-US" w:eastAsia="zh-CN"/>
              </w:rPr>
              <w:t>谢旭    审核：</w:t>
            </w:r>
            <w:r>
              <w:rPr>
                <w:rFonts w:hint="eastAsia"/>
                <w:lang w:eastAsia="zh-CN"/>
              </w:rPr>
              <w:t>谢旭</w:t>
            </w:r>
            <w:r>
              <w:rPr>
                <w:rFonts w:hint="eastAsia"/>
              </w:rPr>
              <w:t xml:space="preserve">    批准：</w:t>
            </w:r>
            <w:r>
              <w:rPr>
                <w:rFonts w:hint="eastAsia"/>
                <w:lang w:eastAsia="zh-CN"/>
              </w:rPr>
              <w:t>屈永刚</w:t>
            </w:r>
            <w:r>
              <w:rPr>
                <w:rFonts w:hint="eastAsia"/>
              </w:rPr>
              <w:t xml:space="preserve">    </w:t>
            </w:r>
          </w:p>
          <w:p>
            <w:pPr>
              <w:spacing w:line="360" w:lineRule="auto"/>
              <w:ind w:firstLine="420" w:firstLineChars="200"/>
            </w:pPr>
            <w:r>
              <w:rPr>
                <w:rFonts w:hint="eastAsia"/>
              </w:rPr>
              <w:t>由各部门有管理经验的人员共同讨论、采用直接判断的方法确定不可接受风险。提供了“不可接受风险清单”公司不可接收风险：火灾、触电、高空坠落、机械伤害等，评价基本合理。涉及本部门的不可接受风险有：火灾，触电、高空坠落、机械伤害；</w:t>
            </w:r>
          </w:p>
          <w:p>
            <w:pPr>
              <w:spacing w:line="360" w:lineRule="auto"/>
              <w:ind w:firstLine="420" w:firstLineChars="200"/>
              <w:rPr>
                <w:rFonts w:hint="eastAsia"/>
                <w:lang w:val="en-US" w:eastAsia="zh-CN"/>
              </w:rPr>
            </w:pPr>
            <w:r>
              <w:rPr>
                <w:rFonts w:hint="eastAsia"/>
              </w:rPr>
              <w:t>公司针对不可接受风险编制了职业健康安全目标、指标及管理方案，内容包括：目标、指标、管理措施、完成时间、资金投入等；编制：</w:t>
            </w:r>
            <w:r>
              <w:rPr>
                <w:rFonts w:hint="eastAsia"/>
                <w:lang w:val="en-US" w:eastAsia="zh-CN"/>
              </w:rPr>
              <w:t>王亚军    审核：</w:t>
            </w:r>
            <w:r>
              <w:rPr>
                <w:rFonts w:hint="eastAsia"/>
                <w:lang w:eastAsia="zh-CN"/>
              </w:rPr>
              <w:t>谢旭</w:t>
            </w:r>
            <w:r>
              <w:rPr>
                <w:rFonts w:hint="eastAsia"/>
              </w:rPr>
              <w:t xml:space="preserve">    批准：</w:t>
            </w:r>
            <w:r>
              <w:rPr>
                <w:rFonts w:hint="eastAsia"/>
                <w:lang w:eastAsia="zh-CN"/>
              </w:rPr>
              <w:t>屈永刚</w:t>
            </w:r>
            <w:r>
              <w:rPr>
                <w:rFonts w:hint="eastAsia"/>
              </w:rPr>
              <w:t xml:space="preserve">     日期：</w:t>
            </w:r>
            <w:r>
              <w:rPr>
                <w:rFonts w:hint="eastAsia"/>
                <w:lang w:eastAsia="zh-CN"/>
              </w:rPr>
              <w:t>2022.5.5</w:t>
            </w:r>
          </w:p>
          <w:p>
            <w:pPr>
              <w:spacing w:line="360" w:lineRule="auto"/>
              <w:ind w:firstLine="420" w:firstLineChars="200"/>
            </w:pPr>
            <w:r>
              <w:rPr>
                <w:rFonts w:hint="eastAsia"/>
              </w:rPr>
              <w:t>以上这些基本</w:t>
            </w:r>
            <w:r>
              <w:rPr>
                <w:rFonts w:hint="eastAsia"/>
                <w:lang w:val="en-US" w:eastAsia="zh-CN"/>
              </w:rPr>
              <w:t>符合实际情况</w:t>
            </w:r>
            <w:r>
              <w:rPr>
                <w:rFonts w:hint="eastAsia"/>
              </w:rPr>
              <w:t>。</w:t>
            </w:r>
          </w:p>
        </w:tc>
        <w:tc>
          <w:tcPr>
            <w:tcW w:w="819" w:type="dxa"/>
            <w:vAlign w:val="top"/>
          </w:tcPr>
          <w:p>
            <w:pPr>
              <w:spacing w:line="360" w:lineRule="auto"/>
              <w:rPr>
                <w:rFonts w:hint="eastAsia"/>
                <w:lang w:val="en-US" w:eastAsia="zh-CN"/>
              </w:rPr>
            </w:pPr>
          </w:p>
          <w:p>
            <w:pPr>
              <w:pStyle w:val="11"/>
              <w:rPr>
                <w:rFonts w:hint="eastAsia"/>
                <w:lang w:val="en-US" w:eastAsia="zh-CN"/>
              </w:rPr>
            </w:pPr>
          </w:p>
          <w:p>
            <w:pPr>
              <w:pStyle w:val="11"/>
              <w:rPr>
                <w:rFonts w:hint="eastAsia"/>
                <w:lang w:val="en-US" w:eastAsia="zh-CN"/>
              </w:rPr>
            </w:pPr>
          </w:p>
          <w:p>
            <w:pPr>
              <w:pStyle w:val="11"/>
              <w:rPr>
                <w:rFonts w:hint="eastAsia"/>
                <w:lang w:val="en-US" w:eastAsia="zh-CN"/>
              </w:rPr>
            </w:pPr>
          </w:p>
          <w:p>
            <w:pPr>
              <w:pStyle w:val="11"/>
              <w:rPr>
                <w:rFonts w:hint="eastAsia"/>
                <w:lang w:val="en-US" w:eastAsia="zh-CN"/>
              </w:rPr>
            </w:pPr>
          </w:p>
          <w:p>
            <w:pPr>
              <w:pStyle w:val="11"/>
              <w:rPr>
                <w:rFonts w:hint="eastAsia"/>
                <w:lang w:val="en-US" w:eastAsia="zh-CN"/>
              </w:rPr>
            </w:pPr>
          </w:p>
          <w:p>
            <w:pPr>
              <w:pStyle w:val="11"/>
              <w:rPr>
                <w:rFonts w:hint="eastAsia"/>
                <w:lang w:val="en-US" w:eastAsia="zh-CN"/>
              </w:rPr>
            </w:pPr>
          </w:p>
          <w:p>
            <w:pPr>
              <w:pStyle w:val="11"/>
              <w:rPr>
                <w:rFonts w:hint="eastAsia"/>
                <w:lang w:val="en-US" w:eastAsia="zh-CN"/>
              </w:rPr>
            </w:pPr>
          </w:p>
          <w:p>
            <w:pPr>
              <w:pStyle w:val="11"/>
              <w:rPr>
                <w:rFonts w:hint="eastAsia"/>
                <w:lang w:val="en-US" w:eastAsia="zh-CN"/>
              </w:rPr>
            </w:pPr>
          </w:p>
          <w:p>
            <w:pPr>
              <w:pStyle w:val="11"/>
              <w:ind w:left="0" w:leftChars="0" w:firstLine="210" w:firstLineChars="100"/>
            </w:pPr>
            <w:r>
              <w:rPr>
                <w:rFonts w:hint="eastAsia" w:eastAsia="宋体"/>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2049" w:type="dxa"/>
          </w:tcPr>
          <w:p>
            <w:pPr>
              <w:spacing w:line="360" w:lineRule="auto"/>
              <w:rPr>
                <w:b/>
                <w:szCs w:val="21"/>
              </w:rPr>
            </w:pPr>
            <w:r>
              <w:rPr>
                <w:rFonts w:hint="eastAsia"/>
                <w:bCs/>
                <w:szCs w:val="21"/>
              </w:rPr>
              <w:t>运行控制</w:t>
            </w:r>
          </w:p>
        </w:tc>
        <w:tc>
          <w:tcPr>
            <w:tcW w:w="989" w:type="dxa"/>
          </w:tcPr>
          <w:p>
            <w:pPr>
              <w:spacing w:line="360" w:lineRule="auto"/>
              <w:rPr>
                <w:bCs/>
                <w:szCs w:val="21"/>
              </w:rPr>
            </w:pPr>
            <w:r>
              <w:rPr>
                <w:bCs/>
                <w:szCs w:val="21"/>
              </w:rPr>
              <w:t>EO8</w:t>
            </w:r>
            <w:r>
              <w:rPr>
                <w:rFonts w:hint="eastAsia"/>
                <w:bCs/>
                <w:szCs w:val="21"/>
              </w:rPr>
              <w:t>.1</w:t>
            </w:r>
          </w:p>
          <w:p>
            <w:pPr>
              <w:spacing w:line="360" w:lineRule="auto"/>
              <w:rPr>
                <w:b/>
                <w:szCs w:val="21"/>
              </w:rPr>
            </w:pPr>
          </w:p>
        </w:tc>
        <w:tc>
          <w:tcPr>
            <w:tcW w:w="10852" w:type="dxa"/>
          </w:tcPr>
          <w:p>
            <w:pPr>
              <w:spacing w:line="360" w:lineRule="auto"/>
              <w:rPr>
                <w:rFonts w:hint="eastAsia" w:ascii="Times New Roman" w:hAnsi="Times New Roman" w:eastAsia="宋体" w:cs="Times New Roman"/>
              </w:rPr>
            </w:pPr>
            <w:r>
              <w:rPr>
                <w:rFonts w:hint="eastAsia" w:ascii="Times New Roman" w:hAnsi="Times New Roman" w:eastAsia="宋体" w:cs="Times New Roman"/>
              </w:rPr>
              <w:t>资质范围内的计算机信息系统集成、软件开发、通讯工程的施工部分：</w:t>
            </w:r>
          </w:p>
          <w:p>
            <w:pPr>
              <w:spacing w:line="360" w:lineRule="auto"/>
              <w:rPr>
                <w:rFonts w:hint="default" w:ascii="Times New Roman" w:hAnsi="Times New Roman" w:eastAsia="宋体" w:cs="Times New Roman"/>
                <w:lang w:val="en-US" w:eastAsia="zh-CN"/>
              </w:rPr>
            </w:pPr>
            <w:r>
              <w:rPr>
                <w:rFonts w:hint="eastAsia" w:ascii="Times New Roman" w:hAnsi="Times New Roman" w:eastAsia="宋体" w:cs="Times New Roman"/>
              </w:rPr>
              <w:t>计算机信息系统集成</w:t>
            </w:r>
            <w:r>
              <w:rPr>
                <w:rFonts w:hint="eastAsia" w:ascii="Times New Roman" w:hAnsi="Times New Roman" w:eastAsia="宋体" w:cs="Times New Roman"/>
                <w:lang w:eastAsia="zh-CN"/>
              </w:rPr>
              <w:t>、</w:t>
            </w:r>
            <w:r>
              <w:rPr>
                <w:rFonts w:hint="eastAsia" w:ascii="Times New Roman" w:hAnsi="Times New Roman" w:eastAsia="宋体" w:cs="Times New Roman"/>
              </w:rPr>
              <w:t>通讯工程</w:t>
            </w:r>
            <w:r>
              <w:rPr>
                <w:rFonts w:hint="eastAsia" w:ascii="Times New Roman" w:hAnsi="Times New Roman" w:eastAsia="宋体" w:cs="Times New Roman"/>
              </w:rPr>
              <w:t>施工部分：</w:t>
            </w:r>
            <w:r>
              <w:rPr>
                <w:rFonts w:hint="eastAsia" w:ascii="Times New Roman" w:hAnsi="Times New Roman" w:eastAsia="宋体" w:cs="Times New Roman"/>
                <w:lang w:val="en-US" w:eastAsia="zh-CN"/>
              </w:rPr>
              <w:t>经</w:t>
            </w:r>
            <w:r>
              <w:rPr>
                <w:rFonts w:hint="eastAsia" w:cs="Times New Roman"/>
                <w:lang w:val="en-US" w:eastAsia="zh-CN"/>
              </w:rPr>
              <w:t>现场</w:t>
            </w:r>
            <w:r>
              <w:rPr>
                <w:rFonts w:hint="eastAsia" w:ascii="Times New Roman" w:hAnsi="Times New Roman" w:eastAsia="宋体" w:cs="Times New Roman"/>
                <w:lang w:val="en-US" w:eastAsia="zh-CN"/>
              </w:rPr>
              <w:t>查看：</w:t>
            </w:r>
          </w:p>
          <w:p>
            <w:pPr>
              <w:spacing w:line="360" w:lineRule="auto"/>
              <w:rPr>
                <w:rFonts w:hint="eastAsia" w:ascii="Times New Roman" w:hAnsi="Times New Roman" w:eastAsia="宋体" w:cs="Times New Roman"/>
              </w:rPr>
            </w:pPr>
            <w:r>
              <w:rPr>
                <w:rFonts w:hint="eastAsia" w:ascii="Times New Roman" w:hAnsi="Times New Roman" w:eastAsia="宋体" w:cs="Times New Roman"/>
              </w:rPr>
              <w:t>查到的名称：陕西西安雁塔小寨路街道长安路西八里社区有线宽带驻地网新建第二批工程,地址：陕西西安雁塔小寨路街道长安路西八里社区，工期</w:t>
            </w:r>
            <w:r>
              <w:rPr>
                <w:rFonts w:hint="eastAsia" w:cs="Times New Roman"/>
                <w:lang w:eastAsia="zh-CN"/>
              </w:rPr>
              <w:t>2022</w:t>
            </w:r>
            <w:r>
              <w:rPr>
                <w:rFonts w:hint="eastAsia" w:ascii="Times New Roman" w:hAnsi="Times New Roman" w:eastAsia="宋体" w:cs="Times New Roman"/>
              </w:rPr>
              <w:t>-</w:t>
            </w:r>
            <w:r>
              <w:rPr>
                <w:rFonts w:hint="eastAsia" w:ascii="Times New Roman" w:hAnsi="Times New Roman" w:eastAsia="宋体" w:cs="Times New Roman"/>
                <w:lang w:val="en-US" w:eastAsia="zh-CN"/>
              </w:rPr>
              <w:t>11</w:t>
            </w:r>
            <w:r>
              <w:rPr>
                <w:rFonts w:hint="eastAsia" w:ascii="Times New Roman" w:hAnsi="Times New Roman" w:eastAsia="宋体" w:cs="Times New Roman"/>
              </w:rPr>
              <w:t>-</w:t>
            </w:r>
            <w:r>
              <w:rPr>
                <w:rFonts w:hint="eastAsia" w:ascii="Times New Roman" w:hAnsi="Times New Roman" w:eastAsia="宋体" w:cs="Times New Roman"/>
                <w:lang w:val="en-US" w:eastAsia="zh-CN"/>
              </w:rPr>
              <w:t>8</w:t>
            </w:r>
            <w:r>
              <w:rPr>
                <w:rFonts w:hint="eastAsia" w:ascii="Times New Roman" w:hAnsi="Times New Roman" w:eastAsia="宋体" w:cs="Times New Roman"/>
              </w:rPr>
              <w:t>至20</w:t>
            </w:r>
            <w:r>
              <w:rPr>
                <w:rFonts w:hint="eastAsia" w:ascii="Times New Roman" w:hAnsi="Times New Roman" w:eastAsia="宋体" w:cs="Times New Roman"/>
                <w:lang w:val="en-US" w:eastAsia="zh-CN"/>
              </w:rPr>
              <w:t>2</w:t>
            </w:r>
            <w:r>
              <w:rPr>
                <w:rFonts w:hint="eastAsia" w:cs="Times New Roman"/>
                <w:lang w:val="en-US" w:eastAsia="zh-CN"/>
              </w:rPr>
              <w:t>3</w:t>
            </w:r>
            <w:r>
              <w:rPr>
                <w:rFonts w:hint="eastAsia" w:ascii="Times New Roman" w:hAnsi="Times New Roman" w:eastAsia="宋体" w:cs="Times New Roman"/>
              </w:rPr>
              <w:t>-</w:t>
            </w:r>
            <w:r>
              <w:rPr>
                <w:rFonts w:hint="eastAsia" w:cs="Times New Roman"/>
                <w:lang w:val="en-US" w:eastAsia="zh-CN"/>
              </w:rPr>
              <w:t>4</w:t>
            </w:r>
            <w:r>
              <w:rPr>
                <w:rFonts w:hint="eastAsia" w:ascii="Times New Roman" w:hAnsi="Times New Roman" w:eastAsia="宋体" w:cs="Times New Roman"/>
              </w:rPr>
              <w:t>-</w:t>
            </w:r>
            <w:r>
              <w:rPr>
                <w:rFonts w:hint="eastAsia" w:cs="Times New Roman"/>
                <w:lang w:val="en-US" w:eastAsia="zh-CN"/>
              </w:rPr>
              <w:t>30</w:t>
            </w:r>
            <w:r>
              <w:rPr>
                <w:rFonts w:hint="eastAsia" w:ascii="Times New Roman" w:hAnsi="Times New Roman" w:eastAsia="宋体" w:cs="Times New Roman"/>
              </w:rPr>
              <w:t>。</w:t>
            </w:r>
          </w:p>
          <w:p>
            <w:pPr>
              <w:spacing w:line="360" w:lineRule="auto"/>
              <w:rPr>
                <w:rFonts w:hint="default" w:ascii="Times New Roman" w:hAnsi="Times New Roman" w:eastAsia="宋体" w:cs="Times New Roman"/>
                <w:lang w:val="en-US" w:eastAsia="zh-CN"/>
              </w:rPr>
            </w:pPr>
            <w:r>
              <w:rPr>
                <w:rFonts w:hint="eastAsia" w:ascii="Times New Roman" w:hAnsi="Times New Roman" w:eastAsia="宋体" w:cs="Times New Roman"/>
              </w:rPr>
              <w:t>工程概</w:t>
            </w:r>
            <w:r>
              <w:rPr>
                <w:rFonts w:hint="eastAsia" w:ascii="Times New Roman" w:hAnsi="Times New Roman" w:eastAsia="宋体" w:cs="Times New Roman"/>
              </w:rPr>
              <w:t>况：</w:t>
            </w:r>
            <w:r>
              <w:rPr>
                <w:rFonts w:hint="eastAsia" w:ascii="Times New Roman" w:hAnsi="Times New Roman" w:eastAsia="宋体" w:cs="Times New Roman"/>
                <w:lang w:val="en-US" w:eastAsia="zh-CN"/>
              </w:rPr>
              <w:t>对</w:t>
            </w:r>
            <w:r>
              <w:rPr>
                <w:rFonts w:hint="eastAsia" w:ascii="Times New Roman" w:hAnsi="Times New Roman" w:eastAsia="宋体" w:cs="Times New Roman"/>
              </w:rPr>
              <w:t>陕西西安雁塔小寨路街道长安路西八里社区</w:t>
            </w:r>
            <w:r>
              <w:rPr>
                <w:rFonts w:hint="eastAsia" w:ascii="Times New Roman" w:hAnsi="Times New Roman" w:eastAsia="宋体" w:cs="Times New Roman"/>
                <w:lang w:val="en-US" w:eastAsia="zh-CN"/>
              </w:rPr>
              <w:t>进行</w:t>
            </w:r>
            <w:r>
              <w:rPr>
                <w:rFonts w:hint="eastAsia" w:ascii="Times New Roman" w:hAnsi="Times New Roman" w:eastAsia="宋体" w:cs="Times New Roman"/>
              </w:rPr>
              <w:t>有线宽带驻地网</w:t>
            </w:r>
            <w:r>
              <w:rPr>
                <w:rFonts w:hint="eastAsia" w:ascii="Times New Roman" w:hAnsi="Times New Roman" w:eastAsia="宋体" w:cs="Times New Roman"/>
                <w:lang w:val="en-US" w:eastAsia="zh-CN"/>
              </w:rPr>
              <w:t>建设，共计38幢单元楼，8个</w:t>
            </w:r>
            <w:r>
              <w:rPr>
                <w:rFonts w:hint="eastAsia" w:ascii="Times New Roman" w:hAnsi="Times New Roman" w:eastAsia="宋体" w:cs="Times New Roman"/>
                <w:lang w:eastAsia="zh-CN"/>
              </w:rPr>
              <w:t>分纤箱、</w:t>
            </w:r>
            <w:r>
              <w:rPr>
                <w:rFonts w:hint="eastAsia" w:ascii="Times New Roman" w:hAnsi="Times New Roman" w:eastAsia="宋体" w:cs="Times New Roman"/>
                <w:lang w:val="en-US" w:eastAsia="zh-CN"/>
              </w:rPr>
              <w:t>38个</w:t>
            </w:r>
            <w:r>
              <w:rPr>
                <w:rFonts w:hint="eastAsia" w:ascii="Times New Roman" w:hAnsi="Times New Roman" w:eastAsia="宋体" w:cs="Times New Roman"/>
                <w:lang w:eastAsia="zh-CN"/>
              </w:rPr>
              <w:t>分光器、</w:t>
            </w:r>
            <w:r>
              <w:rPr>
                <w:rFonts w:hint="eastAsia" w:ascii="Times New Roman" w:hAnsi="Times New Roman" w:eastAsia="宋体" w:cs="Times New Roman"/>
                <w:lang w:val="en-US" w:eastAsia="zh-CN"/>
              </w:rPr>
              <w:t>206个</w:t>
            </w:r>
            <w:r>
              <w:rPr>
                <w:rFonts w:hint="eastAsia" w:ascii="Times New Roman" w:hAnsi="Times New Roman" w:eastAsia="宋体" w:cs="Times New Roman"/>
                <w:lang w:eastAsia="zh-CN"/>
              </w:rPr>
              <w:t>接头盒；</w:t>
            </w:r>
            <w:r>
              <w:rPr>
                <w:rFonts w:hint="eastAsia" w:ascii="Times New Roman" w:hAnsi="Times New Roman" w:eastAsia="宋体" w:cs="Times New Roman"/>
                <w:lang w:val="en-US" w:eastAsia="zh-CN"/>
              </w:rPr>
              <w:t>包含类别：布放12芯光缆、布放24芯光缆、布放48芯光缆、安装16芯光分纤箱、安装24芯光分纤箱、安装32芯光分纤箱、安装盒式分光器1:8、安装插片式分光器1:8、接头盒12芯、接头盒24芯、接头盒48芯。</w:t>
            </w:r>
          </w:p>
          <w:p>
            <w:pPr>
              <w:spacing w:line="360" w:lineRule="auto"/>
              <w:rPr>
                <w:rFonts w:hint="eastAsia" w:ascii="Times New Roman" w:hAnsi="Times New Roman" w:eastAsia="宋体" w:cs="Times New Roman"/>
              </w:rPr>
            </w:pPr>
            <w:r>
              <w:rPr>
                <w:rFonts w:hint="eastAsia" w:ascii="Times New Roman" w:hAnsi="Times New Roman" w:eastAsia="宋体" w:cs="Times New Roman"/>
                <w:lang w:val="en-US" w:eastAsia="zh-CN"/>
              </w:rPr>
              <w:t>（</w:t>
            </w:r>
            <w:r>
              <w:rPr>
                <w:rFonts w:hint="eastAsia" w:ascii="Times New Roman" w:hAnsi="Times New Roman" w:eastAsia="宋体" w:cs="Times New Roman"/>
                <w:lang w:val="en-US" w:eastAsia="zh-CN"/>
              </w:rPr>
              <w:t>2）工程施工包含了：分纤箱安装、分光器安装、光缆布放、标签、采集、拍照、接头盒安装，按照完成后，由随身电脑使用软件对光纤进行检验，合格后验收等。</w:t>
            </w:r>
          </w:p>
          <w:p>
            <w:pPr>
              <w:spacing w:line="360" w:lineRule="auto"/>
              <w:rPr>
                <w:rFonts w:hint="eastAsia" w:ascii="Times New Roman" w:hAnsi="Times New Roman" w:eastAsia="宋体" w:cs="Times New Roman"/>
                <w:lang w:val="en-US" w:eastAsia="zh-CN"/>
              </w:rPr>
            </w:pPr>
            <w:r>
              <w:rPr>
                <w:rFonts w:hint="eastAsia" w:ascii="Times New Roman" w:hAnsi="Times New Roman" w:eastAsia="宋体" w:cs="Times New Roman"/>
              </w:rPr>
              <w:t>该工程项目经理：</w:t>
            </w:r>
            <w:r>
              <w:rPr>
                <w:rFonts w:hint="eastAsia"/>
                <w:highlight w:val="none"/>
                <w:lang w:val="en-US" w:eastAsia="zh-CN"/>
              </w:rPr>
              <w:t>邵振雄</w:t>
            </w:r>
            <w:r>
              <w:rPr>
                <w:rFonts w:hint="eastAsia" w:ascii="Times New Roman" w:hAnsi="Times New Roman" w:eastAsia="宋体" w:cs="Times New Roman"/>
              </w:rPr>
              <w:t>，注册编号：</w:t>
            </w:r>
            <w:r>
              <w:rPr>
                <w:rFonts w:hint="eastAsia" w:ascii="Times New Roman" w:hAnsi="Times New Roman" w:eastAsia="宋体" w:cs="Times New Roman"/>
                <w:lang w:val="en-US" w:eastAsia="zh-CN"/>
              </w:rPr>
              <w:t>陕261192139529</w:t>
            </w:r>
          </w:p>
          <w:p>
            <w:pPr>
              <w:spacing w:line="360" w:lineRule="auto"/>
              <w:rPr>
                <w:rFonts w:hint="eastAsia" w:ascii="Times New Roman" w:hAnsi="Times New Roman" w:cs="Times New Roman"/>
                <w:lang w:val="en-US" w:eastAsia="zh-CN"/>
              </w:rPr>
            </w:pPr>
            <w:r>
              <w:rPr>
                <w:rFonts w:hint="eastAsia" w:ascii="Times New Roman" w:hAnsi="Times New Roman" w:eastAsia="宋体" w:cs="Times New Roman"/>
              </w:rPr>
              <w:t>安全员：</w:t>
            </w:r>
            <w:r>
              <w:rPr>
                <w:rFonts w:hint="eastAsia"/>
                <w:highlight w:val="none"/>
                <w:lang w:val="en-US" w:eastAsia="zh-CN"/>
              </w:rPr>
              <w:t>邵振雄</w:t>
            </w:r>
            <w:r>
              <w:rPr>
                <w:rFonts w:hint="eastAsia" w:ascii="Times New Roman" w:hAnsi="Times New Roman" w:eastAsia="宋体" w:cs="Times New Roman"/>
              </w:rPr>
              <w:t>，</w:t>
            </w:r>
            <w:r>
              <w:rPr>
                <w:rFonts w:hint="eastAsia" w:ascii="Times New Roman" w:hAnsi="Times New Roman" w:eastAsia="宋体" w:cs="Times New Roman"/>
              </w:rPr>
              <w:t>施工员：</w:t>
            </w:r>
            <w:r>
              <w:rPr>
                <w:rFonts w:hint="eastAsia" w:ascii="Times New Roman" w:hAnsi="Times New Roman" w:eastAsia="宋体" w:cs="Times New Roman"/>
                <w:lang w:val="en-US" w:eastAsia="zh-CN"/>
              </w:rPr>
              <w:t>薛科</w:t>
            </w:r>
            <w:r>
              <w:rPr>
                <w:rFonts w:hint="eastAsia" w:ascii="Times New Roman" w:hAnsi="Times New Roman" w:eastAsia="宋体" w:cs="Times New Roman"/>
                <w:lang w:eastAsia="zh-CN"/>
              </w:rPr>
              <w:t>、</w:t>
            </w:r>
            <w:r>
              <w:rPr>
                <w:rFonts w:hint="eastAsia" w:ascii="Times New Roman" w:hAnsi="Times New Roman" w:eastAsia="宋体" w:cs="Times New Roman"/>
                <w:lang w:val="en-US" w:eastAsia="zh-CN"/>
              </w:rPr>
              <w:t>安亮</w:t>
            </w:r>
            <w:r>
              <w:rPr>
                <w:rFonts w:hint="eastAsia" w:ascii="Times New Roman" w:hAnsi="Times New Roman" w:eastAsia="宋体" w:cs="Times New Roman"/>
              </w:rPr>
              <w:t>，电</w:t>
            </w:r>
            <w:r>
              <w:rPr>
                <w:rFonts w:hint="eastAsia" w:ascii="Times New Roman" w:hAnsi="Times New Roman" w:eastAsia="宋体" w:cs="Times New Roman"/>
              </w:rPr>
              <w:t>工</w:t>
            </w:r>
            <w:r>
              <w:rPr>
                <w:rFonts w:hint="eastAsia" w:cs="Times New Roman"/>
                <w:lang w:eastAsia="zh-CN"/>
              </w:rPr>
              <w:t>、</w:t>
            </w:r>
            <w:r>
              <w:rPr>
                <w:rFonts w:hint="eastAsia" w:ascii="Times New Roman" w:hAnsi="Times New Roman" w:eastAsia="宋体" w:cs="Times New Roman"/>
              </w:rPr>
              <w:t>电气焊工</w:t>
            </w:r>
            <w:r>
              <w:rPr>
                <w:rFonts w:hint="eastAsia" w:cs="Times New Roman"/>
                <w:lang w:eastAsia="zh-CN"/>
              </w:rPr>
              <w:t>、</w:t>
            </w:r>
            <w:r>
              <w:rPr>
                <w:rFonts w:hint="eastAsia" w:cs="Times New Roman"/>
                <w:lang w:val="en-US" w:eastAsia="zh-CN"/>
              </w:rPr>
              <w:t>登</w:t>
            </w:r>
            <w:r>
              <w:rPr>
                <w:rFonts w:hint="eastAsia" w:ascii="Times New Roman" w:hAnsi="Times New Roman" w:cs="Times New Roman"/>
                <w:lang w:val="en-US" w:eastAsia="zh-CN"/>
              </w:rPr>
              <w:t>高工：储军、贺少飞、李平、梁华波等人员持证上岗。</w:t>
            </w:r>
          </w:p>
          <w:p>
            <w:pPr>
              <w:spacing w:line="360" w:lineRule="auto"/>
              <w:rPr>
                <w:rFonts w:hint="eastAsia" w:ascii="Times New Roman" w:hAnsi="Times New Roman" w:eastAsia="宋体" w:cs="Times New Roman"/>
              </w:rPr>
            </w:pPr>
            <w:r>
              <w:rPr>
                <w:rFonts w:hint="eastAsia" w:ascii="Times New Roman" w:hAnsi="Times New Roman" w:eastAsia="宋体" w:cs="Times New Roman"/>
              </w:rPr>
              <w:t>使用主要设备：熔接机、车辆、网线钳、各类起子、扳手、螺丝刀等。</w:t>
            </w:r>
          </w:p>
          <w:p>
            <w:pPr>
              <w:spacing w:line="360" w:lineRule="auto"/>
              <w:rPr>
                <w:rFonts w:hint="eastAsia" w:ascii="Times New Roman" w:hAnsi="Times New Roman" w:eastAsia="宋体" w:cs="Times New Roman"/>
                <w:lang w:val="en-US" w:eastAsia="zh-CN"/>
              </w:rPr>
            </w:pPr>
            <w:r>
              <w:rPr>
                <w:rFonts w:hint="eastAsia" w:ascii="Times New Roman" w:hAnsi="Times New Roman" w:eastAsia="宋体" w:cs="Times New Roman"/>
              </w:rPr>
              <w:t>编制《施工组织设</w:t>
            </w:r>
            <w:r>
              <w:rPr>
                <w:rFonts w:hint="eastAsia" w:ascii="Times New Roman" w:hAnsi="Times New Roman" w:eastAsia="宋体" w:cs="Times New Roman"/>
                <w:lang w:val="en-US" w:eastAsia="zh-CN"/>
              </w:rPr>
              <w:t>计》、《安全生产责任制度》、《应急救援预案》等。</w:t>
            </w:r>
          </w:p>
          <w:p>
            <w:pPr>
              <w:spacing w:line="360" w:lineRule="auto"/>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现场查看软件开发项目为：电气工程管线优化设计系统，正处于代码编写阶段，软件工程师：肖雄、冯红伟等，使用的设备主要为计算机、软件研发平台。</w:t>
            </w:r>
          </w:p>
          <w:p>
            <w:pPr>
              <w:spacing w:line="360" w:lineRule="auto"/>
              <w:rPr>
                <w:rFonts w:hint="eastAsia" w:ascii="Times New Roman" w:hAnsi="Times New Roman" w:eastAsia="宋体" w:cs="Times New Roman"/>
              </w:rPr>
            </w:pPr>
            <w:r>
              <w:rPr>
                <w:rFonts w:hint="eastAsia" w:ascii="Times New Roman" w:hAnsi="Times New Roman" w:eastAsia="宋体" w:cs="Times New Roman"/>
              </w:rPr>
              <w:t>1、查见开工报告、施工组织设计报审表、开工条件备案表等。具备施工条件，开工日期：</w:t>
            </w:r>
            <w:r>
              <w:rPr>
                <w:rFonts w:hint="eastAsia" w:cs="Times New Roman"/>
                <w:lang w:eastAsia="zh-CN"/>
              </w:rPr>
              <w:t>2022</w:t>
            </w:r>
            <w:r>
              <w:rPr>
                <w:rFonts w:hint="eastAsia" w:ascii="Times New Roman" w:hAnsi="Times New Roman" w:eastAsia="宋体" w:cs="Times New Roman"/>
              </w:rPr>
              <w:t>年</w:t>
            </w:r>
            <w:r>
              <w:rPr>
                <w:rFonts w:hint="eastAsia" w:cs="Times New Roman"/>
                <w:lang w:val="en-US" w:eastAsia="zh-CN"/>
              </w:rPr>
              <w:t>11</w:t>
            </w:r>
            <w:r>
              <w:rPr>
                <w:rFonts w:hint="eastAsia" w:ascii="Times New Roman" w:hAnsi="Times New Roman" w:eastAsia="宋体" w:cs="Times New Roman"/>
              </w:rPr>
              <w:t>月</w:t>
            </w:r>
            <w:r>
              <w:rPr>
                <w:rFonts w:hint="eastAsia" w:cs="Times New Roman"/>
                <w:lang w:val="en-US" w:eastAsia="zh-CN"/>
              </w:rPr>
              <w:t>5</w:t>
            </w:r>
            <w:r>
              <w:rPr>
                <w:rFonts w:hint="eastAsia" w:ascii="Times New Roman" w:hAnsi="Times New Roman" w:eastAsia="宋体" w:cs="Times New Roman"/>
              </w:rPr>
              <w:t>日。相关部门负责人签字盖章齐全。</w:t>
            </w:r>
          </w:p>
          <w:p>
            <w:pPr>
              <w:spacing w:line="360" w:lineRule="auto"/>
              <w:rPr>
                <w:rFonts w:hint="eastAsia" w:ascii="Times New Roman" w:hAnsi="Times New Roman" w:eastAsia="宋体" w:cs="Times New Roman"/>
              </w:rPr>
            </w:pPr>
            <w:r>
              <w:rPr>
                <w:rFonts w:hint="eastAsia" w:ascii="Times New Roman" w:hAnsi="Times New Roman" w:eastAsia="宋体" w:cs="Times New Roman"/>
                <w:lang w:val="en-US" w:eastAsia="zh-CN"/>
              </w:rPr>
              <w:t>2</w:t>
            </w:r>
            <w:r>
              <w:rPr>
                <w:rFonts w:hint="eastAsia" w:ascii="Times New Roman" w:hAnsi="Times New Roman" w:eastAsia="宋体" w:cs="Times New Roman"/>
              </w:rPr>
              <w:t>、废水管控</w:t>
            </w:r>
          </w:p>
          <w:p>
            <w:pPr>
              <w:spacing w:line="360" w:lineRule="auto"/>
              <w:rPr>
                <w:rFonts w:hint="eastAsia" w:ascii="Times New Roman" w:hAnsi="Times New Roman" w:eastAsia="宋体" w:cs="Times New Roman"/>
              </w:rPr>
            </w:pPr>
            <w:r>
              <w:rPr>
                <w:rFonts w:hint="eastAsia" w:ascii="Times New Roman" w:hAnsi="Times New Roman" w:eastAsia="宋体" w:cs="Times New Roman"/>
              </w:rPr>
              <w:t>施工过程不产生废</w:t>
            </w:r>
            <w:r>
              <w:rPr>
                <w:rFonts w:hint="eastAsia" w:ascii="Times New Roman" w:hAnsi="Times New Roman" w:eastAsia="宋体" w:cs="Times New Roman"/>
                <w:lang w:val="en-US" w:eastAsia="zh-CN"/>
              </w:rPr>
              <w:t>水</w:t>
            </w:r>
            <w:r>
              <w:rPr>
                <w:rFonts w:hint="eastAsia" w:ascii="Times New Roman" w:hAnsi="Times New Roman" w:eastAsia="宋体" w:cs="Times New Roman"/>
              </w:rPr>
              <w:t>。</w:t>
            </w:r>
          </w:p>
          <w:p>
            <w:pPr>
              <w:spacing w:line="360" w:lineRule="auto"/>
              <w:rPr>
                <w:rFonts w:hint="eastAsia" w:ascii="Times New Roman" w:hAnsi="Times New Roman" w:eastAsia="宋体" w:cs="Times New Roman"/>
              </w:rPr>
            </w:pPr>
            <w:r>
              <w:rPr>
                <w:rFonts w:hint="eastAsia" w:cs="Times New Roman"/>
                <w:lang w:val="en-US" w:eastAsia="zh-CN"/>
              </w:rPr>
              <w:t>3</w:t>
            </w:r>
            <w:r>
              <w:rPr>
                <w:rFonts w:hint="eastAsia" w:ascii="Times New Roman" w:hAnsi="Times New Roman" w:eastAsia="宋体" w:cs="Times New Roman"/>
              </w:rPr>
              <w:t>、废气管控</w:t>
            </w:r>
          </w:p>
          <w:p>
            <w:pPr>
              <w:spacing w:line="360" w:lineRule="auto"/>
              <w:rPr>
                <w:rFonts w:hint="eastAsia" w:ascii="Times New Roman" w:hAnsi="Times New Roman" w:eastAsia="宋体" w:cs="Times New Roman"/>
              </w:rPr>
            </w:pPr>
            <w:r>
              <w:rPr>
                <w:rFonts w:hint="eastAsia" w:ascii="Times New Roman" w:hAnsi="Times New Roman" w:eastAsia="宋体" w:cs="Times New Roman"/>
              </w:rPr>
              <w:t>施工过程不产生废</w:t>
            </w:r>
            <w:r>
              <w:rPr>
                <w:rFonts w:hint="eastAsia" w:ascii="Times New Roman" w:hAnsi="Times New Roman" w:eastAsia="宋体" w:cs="Times New Roman"/>
                <w:lang w:val="en-US" w:eastAsia="zh-CN"/>
              </w:rPr>
              <w:t>气</w:t>
            </w:r>
            <w:r>
              <w:rPr>
                <w:rFonts w:hint="eastAsia" w:ascii="Times New Roman" w:hAnsi="Times New Roman" w:eastAsia="宋体" w:cs="Times New Roman"/>
              </w:rPr>
              <w:t>。</w:t>
            </w:r>
          </w:p>
          <w:p>
            <w:pPr>
              <w:spacing w:line="360" w:lineRule="auto"/>
              <w:rPr>
                <w:rFonts w:hint="eastAsia" w:ascii="Times New Roman" w:hAnsi="Times New Roman" w:eastAsia="宋体" w:cs="Times New Roman"/>
              </w:rPr>
            </w:pPr>
            <w:r>
              <w:rPr>
                <w:rFonts w:hint="eastAsia" w:cs="Times New Roman"/>
                <w:lang w:val="en-US" w:eastAsia="zh-CN"/>
              </w:rPr>
              <w:t>4</w:t>
            </w:r>
            <w:r>
              <w:rPr>
                <w:rFonts w:hint="eastAsia" w:ascii="Times New Roman" w:hAnsi="Times New Roman" w:eastAsia="宋体" w:cs="Times New Roman"/>
              </w:rPr>
              <w:t>、噪声管控</w:t>
            </w:r>
          </w:p>
          <w:p>
            <w:pPr>
              <w:spacing w:line="360" w:lineRule="auto"/>
              <w:rPr>
                <w:rFonts w:hint="eastAsia" w:ascii="Times New Roman" w:hAnsi="Times New Roman" w:eastAsia="宋体" w:cs="Times New Roman"/>
              </w:rPr>
            </w:pPr>
            <w:r>
              <w:rPr>
                <w:rFonts w:hint="eastAsia" w:ascii="Times New Roman" w:hAnsi="Times New Roman" w:eastAsia="宋体" w:cs="Times New Roman"/>
              </w:rPr>
              <w:t>施工过程</w:t>
            </w:r>
            <w:r>
              <w:rPr>
                <w:rFonts w:hint="eastAsia" w:ascii="Times New Roman" w:hAnsi="Times New Roman" w:eastAsia="宋体" w:cs="Times New Roman"/>
                <w:lang w:val="en-US" w:eastAsia="zh-CN"/>
              </w:rPr>
              <w:t>中没有噪声</w:t>
            </w:r>
            <w:r>
              <w:rPr>
                <w:rFonts w:hint="eastAsia" w:ascii="Times New Roman" w:hAnsi="Times New Roman" w:eastAsia="宋体" w:cs="Times New Roman"/>
              </w:rPr>
              <w:t>。</w:t>
            </w:r>
          </w:p>
          <w:p>
            <w:pPr>
              <w:spacing w:line="360" w:lineRule="auto"/>
              <w:rPr>
                <w:rFonts w:hint="eastAsia" w:ascii="Times New Roman" w:hAnsi="Times New Roman" w:eastAsia="宋体" w:cs="Times New Roman"/>
              </w:rPr>
            </w:pPr>
            <w:r>
              <w:rPr>
                <w:rFonts w:hint="eastAsia" w:cs="Times New Roman"/>
                <w:lang w:val="en-US" w:eastAsia="zh-CN"/>
              </w:rPr>
              <w:t>5</w:t>
            </w:r>
            <w:r>
              <w:rPr>
                <w:rFonts w:hint="eastAsia" w:ascii="Times New Roman" w:hAnsi="Times New Roman" w:eastAsia="宋体" w:cs="Times New Roman"/>
              </w:rPr>
              <w:t>、固废管控</w:t>
            </w:r>
          </w:p>
          <w:p>
            <w:pPr>
              <w:spacing w:line="360" w:lineRule="auto"/>
              <w:rPr>
                <w:rFonts w:hint="eastAsia" w:ascii="Times New Roman" w:hAnsi="Times New Roman" w:eastAsia="宋体" w:cs="Times New Roman"/>
              </w:rPr>
            </w:pPr>
            <w:r>
              <w:rPr>
                <w:rFonts w:hint="eastAsia" w:ascii="Times New Roman" w:hAnsi="Times New Roman" w:eastAsia="宋体" w:cs="Times New Roman"/>
              </w:rPr>
              <w:t>施工过程中产生废边角余料、废包装。</w:t>
            </w:r>
            <w:r>
              <w:rPr>
                <w:rFonts w:hint="eastAsia" w:ascii="Times New Roman" w:hAnsi="Times New Roman" w:eastAsia="宋体" w:cs="Times New Roman"/>
                <w:lang w:val="en-US" w:eastAsia="zh-CN"/>
              </w:rPr>
              <w:t>彩板边角料</w:t>
            </w:r>
            <w:r>
              <w:rPr>
                <w:rFonts w:hint="eastAsia" w:ascii="Times New Roman" w:hAnsi="Times New Roman" w:eastAsia="宋体" w:cs="Times New Roman"/>
              </w:rPr>
              <w:t>，积攒一定量后出售有处理能力的单位回收再利用。</w:t>
            </w:r>
          </w:p>
          <w:p>
            <w:pPr>
              <w:spacing w:line="360" w:lineRule="auto"/>
              <w:rPr>
                <w:rFonts w:hint="eastAsia" w:ascii="Times New Roman" w:hAnsi="Times New Roman" w:eastAsia="宋体" w:cs="Times New Roman"/>
              </w:rPr>
            </w:pPr>
            <w:r>
              <w:rPr>
                <w:rFonts w:hint="eastAsia" w:cs="Times New Roman"/>
                <w:lang w:val="en-US" w:eastAsia="zh-CN"/>
              </w:rPr>
              <w:t>6</w:t>
            </w:r>
            <w:r>
              <w:rPr>
                <w:rFonts w:hint="eastAsia" w:ascii="Times New Roman" w:hAnsi="Times New Roman" w:eastAsia="宋体" w:cs="Times New Roman"/>
              </w:rPr>
              <w:t>、能源资源管控</w:t>
            </w:r>
          </w:p>
          <w:p>
            <w:pPr>
              <w:spacing w:line="360" w:lineRule="auto"/>
              <w:rPr>
                <w:rFonts w:hint="eastAsia" w:ascii="Times New Roman" w:hAnsi="Times New Roman" w:eastAsia="宋体" w:cs="Times New Roman"/>
              </w:rPr>
            </w:pPr>
            <w:r>
              <w:rPr>
                <w:rFonts w:hint="eastAsia" w:ascii="Times New Roman" w:hAnsi="Times New Roman" w:eastAsia="宋体" w:cs="Times New Roman"/>
              </w:rPr>
              <w:t>生产过程注意节电，现场未发现有浪费电能的现象。</w:t>
            </w:r>
          </w:p>
          <w:p>
            <w:pPr>
              <w:spacing w:line="360" w:lineRule="auto"/>
              <w:rPr>
                <w:rFonts w:hint="eastAsia" w:ascii="Times New Roman" w:hAnsi="Times New Roman" w:eastAsia="宋体" w:cs="Times New Roman"/>
              </w:rPr>
            </w:pPr>
            <w:r>
              <w:rPr>
                <w:rFonts w:hint="eastAsia" w:cs="Times New Roman"/>
                <w:lang w:val="en-US" w:eastAsia="zh-CN"/>
              </w:rPr>
              <w:t>7</w:t>
            </w:r>
            <w:r>
              <w:rPr>
                <w:rFonts w:hint="eastAsia" w:ascii="Times New Roman" w:hAnsi="Times New Roman" w:eastAsia="宋体" w:cs="Times New Roman"/>
              </w:rPr>
              <w:t>、产品周期的环境管控</w:t>
            </w:r>
          </w:p>
          <w:p>
            <w:pPr>
              <w:spacing w:line="360" w:lineRule="auto"/>
              <w:rPr>
                <w:rFonts w:hint="eastAsia" w:ascii="Times New Roman" w:hAnsi="Times New Roman" w:eastAsia="宋体" w:cs="Times New Roman"/>
              </w:rPr>
            </w:pPr>
            <w:r>
              <w:rPr>
                <w:rFonts w:hint="eastAsia" w:ascii="Times New Roman" w:hAnsi="Times New Roman" w:eastAsia="宋体" w:cs="Times New Roman"/>
              </w:rPr>
              <w:t>公司从</w:t>
            </w:r>
            <w:r>
              <w:rPr>
                <w:rFonts w:hint="eastAsia" w:ascii="Times New Roman" w:hAnsi="Times New Roman" w:eastAsia="宋体" w:cs="Times New Roman"/>
                <w:lang w:val="en-US" w:eastAsia="zh-CN"/>
              </w:rPr>
              <w:t>施工开始</w:t>
            </w:r>
            <w:r>
              <w:rPr>
                <w:rFonts w:hint="eastAsia" w:ascii="Times New Roman" w:hAnsi="Times New Roman" w:eastAsia="宋体" w:cs="Times New Roman"/>
              </w:rPr>
              <w:t>采用产品时已考虑了产品的环保性（包括其包装），生产过程中，严格按照环保等管理制度实施，控制好辅助材料的计量，避免浪费。</w:t>
            </w:r>
          </w:p>
          <w:p>
            <w:pPr>
              <w:spacing w:line="360" w:lineRule="auto"/>
              <w:rPr>
                <w:rFonts w:hint="eastAsia" w:ascii="Times New Roman" w:hAnsi="Times New Roman" w:eastAsia="宋体" w:cs="Times New Roman"/>
              </w:rPr>
            </w:pPr>
            <w:r>
              <w:rPr>
                <w:rFonts w:hint="eastAsia" w:cs="Times New Roman"/>
                <w:lang w:val="en-US" w:eastAsia="zh-CN"/>
              </w:rPr>
              <w:t>8</w:t>
            </w:r>
            <w:r>
              <w:rPr>
                <w:rFonts w:hint="eastAsia" w:ascii="Times New Roman" w:hAnsi="Times New Roman" w:eastAsia="宋体" w:cs="Times New Roman"/>
              </w:rPr>
              <w:t>、现场运行情况</w:t>
            </w:r>
          </w:p>
          <w:p>
            <w:pPr>
              <w:spacing w:line="360" w:lineRule="auto"/>
              <w:rPr>
                <w:rFonts w:hint="eastAsia" w:ascii="Times New Roman" w:hAnsi="Times New Roman" w:eastAsia="宋体" w:cs="Times New Roman"/>
              </w:rPr>
            </w:pPr>
            <w:r>
              <w:rPr>
                <w:rFonts w:hint="eastAsia" w:ascii="Times New Roman" w:hAnsi="Times New Roman" w:eastAsia="宋体" w:cs="Times New Roman"/>
              </w:rPr>
              <w:t>施工现场用电安全、</w:t>
            </w:r>
            <w:r>
              <w:rPr>
                <w:rFonts w:hint="eastAsia" w:ascii="Times New Roman" w:hAnsi="Times New Roman" w:eastAsia="宋体" w:cs="Times New Roman"/>
                <w:lang w:val="en-US" w:eastAsia="zh-CN"/>
              </w:rPr>
              <w:t>低压配电柜安装时的</w:t>
            </w:r>
            <w:r>
              <w:rPr>
                <w:rFonts w:hint="eastAsia" w:ascii="Times New Roman" w:hAnsi="Times New Roman" w:eastAsia="宋体" w:cs="Times New Roman"/>
              </w:rPr>
              <w:t>环境因素控制</w:t>
            </w:r>
            <w:r>
              <w:rPr>
                <w:rFonts w:hint="eastAsia" w:ascii="Times New Roman" w:hAnsi="Times New Roman" w:eastAsia="宋体" w:cs="Times New Roman"/>
                <w:lang w:val="en-US" w:eastAsia="zh-CN"/>
              </w:rPr>
              <w:t>及危险源</w:t>
            </w:r>
            <w:r>
              <w:rPr>
                <w:rFonts w:hint="eastAsia" w:ascii="Times New Roman" w:hAnsi="Times New Roman" w:eastAsia="宋体" w:cs="Times New Roman"/>
              </w:rPr>
              <w:t>，节电、废弃物管理、安全防护等均良好，无设备放置不当现象发生。</w:t>
            </w:r>
          </w:p>
          <w:p>
            <w:pPr>
              <w:spacing w:line="360" w:lineRule="auto"/>
              <w:rPr>
                <w:rFonts w:hint="eastAsia" w:ascii="Times New Roman" w:hAnsi="Times New Roman" w:eastAsia="宋体" w:cs="Times New Roman"/>
              </w:rPr>
            </w:pPr>
            <w:r>
              <w:rPr>
                <w:rFonts w:hint="eastAsia" w:cs="Times New Roman"/>
                <w:lang w:val="en-US" w:eastAsia="zh-CN"/>
              </w:rPr>
              <w:t>9</w:t>
            </w:r>
            <w:r>
              <w:rPr>
                <w:rFonts w:hint="eastAsia" w:ascii="Times New Roman" w:hAnsi="Times New Roman" w:eastAsia="宋体" w:cs="Times New Roman"/>
              </w:rPr>
              <w:t>、高空坠落：制定管理方案，岗前培训，三级安全教育，签订安全生产责任状等措施，并发放劳保用品。</w:t>
            </w:r>
          </w:p>
          <w:p>
            <w:pPr>
              <w:spacing w:line="360" w:lineRule="auto"/>
              <w:rPr>
                <w:rFonts w:hint="eastAsia" w:ascii="Times New Roman" w:hAnsi="Times New Roman" w:eastAsia="宋体" w:cs="Times New Roman"/>
              </w:rPr>
            </w:pPr>
            <w:r>
              <w:rPr>
                <w:rFonts w:hint="eastAsia" w:ascii="Times New Roman" w:hAnsi="Times New Roman" w:eastAsia="宋体" w:cs="Times New Roman"/>
              </w:rPr>
              <w:t>1</w:t>
            </w:r>
            <w:r>
              <w:rPr>
                <w:rFonts w:hint="eastAsia" w:cs="Times New Roman"/>
                <w:lang w:val="en-US" w:eastAsia="zh-CN"/>
              </w:rPr>
              <w:t>0</w:t>
            </w:r>
            <w:r>
              <w:rPr>
                <w:rFonts w:hint="eastAsia" w:ascii="Times New Roman" w:hAnsi="Times New Roman" w:eastAsia="宋体" w:cs="Times New Roman"/>
              </w:rPr>
              <w:t>、机械伤害：制定管理方案，岗前培训，三级安全教育，机械正常维护保养，防护装置齐全牢固。签订安全生产责任状等措施，并发放劳保用品。</w:t>
            </w:r>
          </w:p>
          <w:p>
            <w:pPr>
              <w:spacing w:line="360" w:lineRule="auto"/>
              <w:rPr>
                <w:rFonts w:hint="eastAsia" w:ascii="Times New Roman" w:hAnsi="Times New Roman" w:eastAsia="宋体" w:cs="Times New Roman"/>
              </w:rPr>
            </w:pPr>
            <w:r>
              <w:rPr>
                <w:rFonts w:hint="eastAsia" w:ascii="Times New Roman" w:hAnsi="Times New Roman" w:eastAsia="宋体" w:cs="Times New Roman"/>
              </w:rPr>
              <w:t>1</w:t>
            </w:r>
            <w:r>
              <w:rPr>
                <w:rFonts w:hint="eastAsia" w:cs="Times New Roman"/>
                <w:lang w:val="en-US" w:eastAsia="zh-CN"/>
              </w:rPr>
              <w:t>1</w:t>
            </w:r>
            <w:r>
              <w:rPr>
                <w:rFonts w:hint="eastAsia" w:ascii="Times New Roman" w:hAnsi="Times New Roman" w:eastAsia="宋体" w:cs="Times New Roman"/>
              </w:rPr>
              <w:t>、为主要长期员工上社保</w:t>
            </w:r>
            <w:r>
              <w:rPr>
                <w:rFonts w:hint="eastAsia" w:ascii="Times New Roman" w:hAnsi="Times New Roman" w:eastAsia="宋体" w:cs="Times New Roman"/>
                <w:lang w:val="en-US" w:eastAsia="zh-CN"/>
              </w:rPr>
              <w:t>和安责保险</w:t>
            </w:r>
            <w:r>
              <w:rPr>
                <w:rFonts w:hint="eastAsia" w:ascii="Times New Roman" w:hAnsi="Times New Roman" w:eastAsia="宋体" w:cs="Times New Roman"/>
              </w:rPr>
              <w:t>。</w:t>
            </w:r>
          </w:p>
          <w:p>
            <w:pPr>
              <w:spacing w:line="360" w:lineRule="auto"/>
              <w:rPr>
                <w:rFonts w:hint="default" w:ascii="Times New Roman" w:hAnsi="Times New Roman" w:eastAsia="宋体" w:cs="Times New Roman"/>
                <w:lang w:val="en-US" w:eastAsia="zh-CN"/>
              </w:rPr>
            </w:pPr>
            <w:r>
              <w:rPr>
                <w:rFonts w:hint="eastAsia" w:ascii="Times New Roman" w:hAnsi="Times New Roman" w:eastAsia="宋体" w:cs="Times New Roman"/>
              </w:rPr>
              <w:t>计算机信息系统集成、软件开发、通讯工程的施工在建项目环境和职业健康安全运行控制基本符合要求。</w:t>
            </w:r>
          </w:p>
        </w:tc>
        <w:tc>
          <w:tcPr>
            <w:tcW w:w="819" w:type="dxa"/>
            <w:vAlign w:val="top"/>
          </w:tcPr>
          <w:p>
            <w:pPr>
              <w:spacing w:line="360" w:lineRule="auto"/>
              <w:rPr>
                <w:rFonts w:hint="eastAsia"/>
                <w:lang w:val="en-US" w:eastAsia="zh-CN"/>
              </w:rPr>
            </w:pPr>
          </w:p>
          <w:p>
            <w:pPr>
              <w:pStyle w:val="11"/>
              <w:rPr>
                <w:rFonts w:hint="eastAsia"/>
                <w:lang w:val="en-US" w:eastAsia="zh-CN"/>
              </w:rPr>
            </w:pPr>
          </w:p>
          <w:p>
            <w:pPr>
              <w:pStyle w:val="11"/>
              <w:rPr>
                <w:rFonts w:hint="eastAsia"/>
                <w:lang w:val="en-US" w:eastAsia="zh-CN"/>
              </w:rPr>
            </w:pPr>
          </w:p>
          <w:p>
            <w:pPr>
              <w:pStyle w:val="11"/>
              <w:rPr>
                <w:rFonts w:hint="eastAsia"/>
                <w:lang w:val="en-US" w:eastAsia="zh-CN"/>
              </w:rPr>
            </w:pPr>
          </w:p>
          <w:p>
            <w:pPr>
              <w:pStyle w:val="11"/>
              <w:rPr>
                <w:rFonts w:hint="eastAsia"/>
                <w:lang w:val="en-US" w:eastAsia="zh-CN"/>
              </w:rPr>
            </w:pPr>
          </w:p>
          <w:p>
            <w:pPr>
              <w:pStyle w:val="11"/>
              <w:rPr>
                <w:rFonts w:hint="eastAsia"/>
                <w:lang w:val="en-US" w:eastAsia="zh-CN"/>
              </w:rPr>
            </w:pPr>
          </w:p>
          <w:p>
            <w:pPr>
              <w:pStyle w:val="11"/>
              <w:rPr>
                <w:rFonts w:hint="eastAsia"/>
                <w:lang w:val="en-US" w:eastAsia="zh-CN"/>
              </w:rPr>
            </w:pPr>
          </w:p>
          <w:p>
            <w:pPr>
              <w:pStyle w:val="11"/>
              <w:rPr>
                <w:rFonts w:hint="eastAsia"/>
                <w:lang w:val="en-US" w:eastAsia="zh-CN"/>
              </w:rPr>
            </w:pPr>
          </w:p>
          <w:p>
            <w:pPr>
              <w:pStyle w:val="11"/>
              <w:rPr>
                <w:rFonts w:hint="eastAsia"/>
                <w:lang w:val="en-US" w:eastAsia="zh-CN"/>
              </w:rPr>
            </w:pPr>
          </w:p>
          <w:p>
            <w:pPr>
              <w:pStyle w:val="11"/>
              <w:ind w:left="0" w:leftChars="0" w:firstLine="210" w:firstLineChars="100"/>
              <w:rPr>
                <w:rFonts w:hint="eastAsia" w:eastAsia="宋体"/>
                <w:lang w:val="en-US" w:eastAsia="zh-CN"/>
              </w:rPr>
            </w:pPr>
            <w:r>
              <w:rPr>
                <w:rFonts w:hint="eastAsia" w:eastAsia="宋体"/>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049" w:type="dxa"/>
            <w:vAlign w:val="top"/>
          </w:tcPr>
          <w:p>
            <w:pPr>
              <w:adjustRightInd w:val="0"/>
              <w:snapToGrid w:val="0"/>
              <w:spacing w:line="360" w:lineRule="auto"/>
              <w:jc w:val="left"/>
              <w:rPr>
                <w:rFonts w:hint="eastAsia" w:ascii="宋体" w:hAnsi="宋体" w:cs="新宋体"/>
                <w:szCs w:val="21"/>
              </w:rPr>
            </w:pPr>
          </w:p>
          <w:p>
            <w:pPr>
              <w:adjustRightInd w:val="0"/>
              <w:snapToGrid w:val="0"/>
              <w:spacing w:line="360" w:lineRule="auto"/>
              <w:jc w:val="left"/>
              <w:rPr>
                <w:rFonts w:hint="eastAsia" w:ascii="宋体" w:hAnsi="宋体" w:cs="新宋体"/>
                <w:szCs w:val="21"/>
              </w:rPr>
            </w:pPr>
          </w:p>
          <w:p>
            <w:pPr>
              <w:adjustRightInd w:val="0"/>
              <w:snapToGrid w:val="0"/>
              <w:spacing w:line="360" w:lineRule="auto"/>
              <w:jc w:val="left"/>
              <w:rPr>
                <w:rFonts w:hint="eastAsia" w:ascii="宋体" w:hAnsi="宋体" w:cs="新宋体"/>
                <w:szCs w:val="21"/>
              </w:rPr>
            </w:pPr>
          </w:p>
          <w:p>
            <w:pPr>
              <w:adjustRightInd w:val="0"/>
              <w:snapToGrid w:val="0"/>
              <w:spacing w:line="360" w:lineRule="auto"/>
              <w:jc w:val="left"/>
              <w:rPr>
                <w:b/>
                <w:szCs w:val="21"/>
              </w:rPr>
            </w:pPr>
            <w:r>
              <w:rPr>
                <w:rFonts w:hint="eastAsia" w:ascii="宋体" w:hAnsi="宋体" w:cs="新宋体"/>
                <w:szCs w:val="21"/>
              </w:rPr>
              <w:t>应急准备和响应</w:t>
            </w:r>
          </w:p>
        </w:tc>
        <w:tc>
          <w:tcPr>
            <w:tcW w:w="989" w:type="dxa"/>
            <w:vAlign w:val="top"/>
          </w:tcPr>
          <w:p>
            <w:pPr>
              <w:spacing w:line="360" w:lineRule="auto"/>
              <w:rPr>
                <w:rFonts w:hint="eastAsia" w:ascii="宋体" w:hAnsi="宋体" w:cs="新宋体"/>
                <w:szCs w:val="21"/>
              </w:rPr>
            </w:pPr>
          </w:p>
          <w:p>
            <w:pPr>
              <w:spacing w:line="360" w:lineRule="auto"/>
              <w:rPr>
                <w:rFonts w:hint="eastAsia" w:ascii="宋体" w:hAnsi="宋体" w:cs="新宋体"/>
                <w:szCs w:val="21"/>
              </w:rPr>
            </w:pPr>
          </w:p>
          <w:p>
            <w:pPr>
              <w:spacing w:line="360" w:lineRule="auto"/>
              <w:rPr>
                <w:rFonts w:hint="eastAsia" w:ascii="宋体" w:hAnsi="宋体" w:cs="新宋体"/>
                <w:szCs w:val="21"/>
              </w:rPr>
            </w:pPr>
          </w:p>
          <w:p>
            <w:pPr>
              <w:spacing w:line="360" w:lineRule="auto"/>
              <w:rPr>
                <w:rFonts w:ascii="宋体" w:hAnsi="宋体" w:cs="新宋体"/>
                <w:szCs w:val="21"/>
              </w:rPr>
            </w:pPr>
            <w:r>
              <w:rPr>
                <w:rFonts w:hint="eastAsia" w:ascii="宋体" w:hAnsi="宋体" w:cs="新宋体"/>
                <w:szCs w:val="21"/>
                <w:lang w:eastAsia="zh-CN"/>
              </w:rPr>
              <w:t>EO</w:t>
            </w:r>
            <w:r>
              <w:rPr>
                <w:rFonts w:hint="eastAsia" w:ascii="宋体" w:hAnsi="宋体" w:cs="新宋体"/>
                <w:szCs w:val="21"/>
                <w:lang w:val="en-US" w:eastAsia="zh-CN"/>
              </w:rPr>
              <w:t>:</w:t>
            </w:r>
            <w:r>
              <w:rPr>
                <w:rFonts w:hint="eastAsia" w:ascii="宋体" w:hAnsi="宋体" w:cs="新宋体"/>
                <w:szCs w:val="21"/>
              </w:rPr>
              <w:t>8.2</w:t>
            </w:r>
          </w:p>
          <w:p>
            <w:pPr>
              <w:spacing w:line="360" w:lineRule="auto"/>
              <w:rPr>
                <w:b/>
                <w:szCs w:val="21"/>
              </w:rPr>
            </w:pPr>
          </w:p>
        </w:tc>
        <w:tc>
          <w:tcPr>
            <w:tcW w:w="10852" w:type="dxa"/>
            <w:vAlign w:val="top"/>
          </w:tcPr>
          <w:p>
            <w:pPr>
              <w:spacing w:line="360" w:lineRule="auto"/>
            </w:pPr>
            <w:r>
              <w:rPr>
                <w:rFonts w:hint="eastAsia"/>
              </w:rPr>
              <w:t>查见：《</w:t>
            </w:r>
            <w:r>
              <w:rPr>
                <w:rFonts w:hint="eastAsia"/>
                <w:lang w:val="en-US" w:eastAsia="zh-CN"/>
              </w:rPr>
              <w:t>消防安全管理程序</w:t>
            </w:r>
            <w:r>
              <w:rPr>
                <w:rFonts w:hint="eastAsia"/>
              </w:rPr>
              <w:t>》、《消防应急预案》等。</w:t>
            </w:r>
          </w:p>
          <w:p>
            <w:pPr>
              <w:spacing w:line="360" w:lineRule="auto"/>
            </w:pPr>
            <w:r>
              <w:rPr>
                <w:rFonts w:hint="eastAsia"/>
              </w:rPr>
              <w:t>查见：消防演练实况记录：公司全体人员参加了20</w:t>
            </w:r>
            <w:r>
              <w:rPr>
                <w:rFonts w:hint="eastAsia"/>
                <w:lang w:val="en-US" w:eastAsia="zh-CN"/>
              </w:rPr>
              <w:t>22年6</w:t>
            </w:r>
            <w:r>
              <w:rPr>
                <w:rFonts w:hint="eastAsia"/>
              </w:rPr>
              <w:t>月</w:t>
            </w:r>
            <w:r>
              <w:rPr>
                <w:rFonts w:hint="eastAsia"/>
                <w:lang w:val="en-US" w:eastAsia="zh-CN"/>
              </w:rPr>
              <w:t>19</w:t>
            </w:r>
            <w:r>
              <w:rPr>
                <w:rFonts w:hint="eastAsia"/>
              </w:rPr>
              <w:t>日在公司由</w:t>
            </w:r>
            <w:r>
              <w:rPr>
                <w:rFonts w:hint="eastAsia"/>
                <w:lang w:eastAsia="zh-CN"/>
              </w:rPr>
              <w:t>综合办公室</w:t>
            </w:r>
            <w:r>
              <w:rPr>
                <w:rFonts w:hint="eastAsia"/>
              </w:rPr>
              <w:t>组织的因公司办公室火灾</w:t>
            </w:r>
            <w:r>
              <w:rPr>
                <w:rFonts w:hint="eastAsia"/>
                <w:lang w:val="en-US" w:eastAsia="zh-CN"/>
              </w:rPr>
              <w:t>逃生</w:t>
            </w:r>
            <w:r>
              <w:rPr>
                <w:rFonts w:hint="eastAsia"/>
              </w:rPr>
              <w:t>演练。</w:t>
            </w:r>
          </w:p>
          <w:p>
            <w:pPr>
              <w:spacing w:line="360" w:lineRule="auto"/>
              <w:ind w:firstLine="210" w:firstLineChars="100"/>
              <w:rPr>
                <w:rFonts w:hint="eastAsia"/>
                <w:lang w:eastAsia="zh-CN"/>
              </w:rPr>
            </w:pPr>
            <w:r>
              <w:rPr>
                <w:rFonts w:hint="eastAsia"/>
              </w:rPr>
              <w:t>现场能提供演练记录及消防安全演习总结报告。通过演练，检验了公司应对突发事件的能力、以及公司火灾事故应急预案的可操作性。有效降低事故危害，减少事故损失，确保公司安全、健康、有序的发展等。</w:t>
            </w:r>
          </w:p>
          <w:p>
            <w:pPr>
              <w:spacing w:line="360" w:lineRule="auto"/>
              <w:rPr>
                <w:rFonts w:hint="eastAsia"/>
              </w:rPr>
            </w:pPr>
            <w:r>
              <w:rPr>
                <w:rFonts w:hint="eastAsia"/>
              </w:rPr>
              <w:t>应急准备：在公司办公区域，按要求配置灭火器。</w:t>
            </w:r>
          </w:p>
          <w:p>
            <w:pPr>
              <w:spacing w:line="360" w:lineRule="auto"/>
              <w:jc w:val="left"/>
              <w:rPr>
                <w:rFonts w:hint="eastAsia" w:cs="宋体" w:asciiTheme="minorEastAsia" w:hAnsiTheme="minorEastAsia" w:eastAsiaTheme="minorEastAsia"/>
                <w:szCs w:val="21"/>
                <w:lang w:val="en-US" w:eastAsia="zh-CN"/>
              </w:rPr>
            </w:pPr>
            <w:r>
              <w:rPr>
                <w:rFonts w:hint="eastAsia" w:cs="宋体" w:asciiTheme="minorEastAsia" w:hAnsiTheme="minorEastAsia" w:eastAsiaTheme="minorEastAsia"/>
                <w:szCs w:val="21"/>
                <w:lang w:val="en-US" w:eastAsia="zh-CN"/>
              </w:rPr>
              <w:t>查</w:t>
            </w:r>
            <w:r>
              <w:rPr>
                <w:rFonts w:hint="eastAsia"/>
              </w:rPr>
              <w:t>20</w:t>
            </w:r>
            <w:r>
              <w:rPr>
                <w:rFonts w:hint="eastAsia"/>
                <w:lang w:val="en-US" w:eastAsia="zh-CN"/>
              </w:rPr>
              <w:t>22年6</w:t>
            </w:r>
            <w:r>
              <w:rPr>
                <w:rFonts w:hint="eastAsia"/>
              </w:rPr>
              <w:t>月</w:t>
            </w:r>
            <w:r>
              <w:rPr>
                <w:rFonts w:hint="eastAsia"/>
                <w:lang w:val="en-US" w:eastAsia="zh-CN"/>
              </w:rPr>
              <w:t>19</w:t>
            </w:r>
            <w:r>
              <w:rPr>
                <w:rFonts w:hint="eastAsia"/>
              </w:rPr>
              <w:t>日</w:t>
            </w:r>
            <w:r>
              <w:rPr>
                <w:rFonts w:hint="eastAsia"/>
                <w:lang w:val="en-US" w:eastAsia="zh-CN"/>
              </w:rPr>
              <w:t>并</w:t>
            </w:r>
            <w:r>
              <w:rPr>
                <w:rFonts w:hint="eastAsia" w:cs="宋体" w:asciiTheme="minorEastAsia" w:hAnsiTheme="minorEastAsia" w:eastAsiaTheme="minorEastAsia"/>
                <w:szCs w:val="21"/>
                <w:lang w:val="en-US" w:eastAsia="zh-CN"/>
              </w:rPr>
              <w:t>进行触电应急演练，有计划，演练后形成演习报告，有实施记录、有总结：本次触电演练使员工对造成事故原因“改正不良作业习惯”有了清醒的认识，同时现场工人了解了触电的危害、触电的基本应对措施和故障排除方法，使各个应急小组协同应急得到了提升；起到了很好的预防效果，总的来讲是比较成功的。</w:t>
            </w:r>
          </w:p>
          <w:p>
            <w:pPr>
              <w:spacing w:line="360" w:lineRule="auto"/>
              <w:ind w:left="357"/>
              <w:rPr>
                <w:rFonts w:hint="eastAsia" w:cs="宋体" w:asciiTheme="minorEastAsia" w:hAnsiTheme="minorEastAsia" w:eastAsiaTheme="minorEastAsia"/>
                <w:szCs w:val="21"/>
                <w:lang w:val="en-US" w:eastAsia="zh-CN"/>
              </w:rPr>
            </w:pPr>
            <w:r>
              <w:rPr>
                <w:rFonts w:hint="eastAsia" w:cs="宋体" w:asciiTheme="minorEastAsia" w:hAnsiTheme="minorEastAsia" w:eastAsiaTheme="minorEastAsia"/>
                <w:szCs w:val="21"/>
                <w:lang w:val="en-US" w:eastAsia="zh-CN"/>
              </w:rPr>
              <w:t>通过本次演习，验证了公司应急程序的可行性与适宜性，对应急文件的评审结论通过。</w:t>
            </w:r>
          </w:p>
          <w:p>
            <w:pPr>
              <w:pStyle w:val="2"/>
              <w:spacing w:line="360" w:lineRule="auto"/>
              <w:ind w:firstLine="420" w:firstLineChars="200"/>
            </w:pPr>
            <w:r>
              <w:rPr>
                <w:rFonts w:hint="eastAsia" w:ascii="宋体" w:hAnsi="宋体" w:eastAsia="宋体" w:cs="宋体"/>
                <w:b w:val="0"/>
                <w:bCs w:val="0"/>
                <w:kern w:val="2"/>
                <w:sz w:val="21"/>
                <w:szCs w:val="21"/>
                <w:lang w:val="en-US" w:eastAsia="zh-CN" w:bidi="ar-SA"/>
              </w:rPr>
              <w:t>自体系运行以来尚未发生紧急情况。</w:t>
            </w:r>
          </w:p>
        </w:tc>
        <w:tc>
          <w:tcPr>
            <w:tcW w:w="819" w:type="dxa"/>
          </w:tcPr>
          <w:p>
            <w:pPr>
              <w:spacing w:line="360" w:lineRule="auto"/>
            </w:pPr>
          </w:p>
          <w:p>
            <w:pPr>
              <w:pStyle w:val="4"/>
              <w:rPr>
                <w:rFonts w:hint="eastAsia" w:eastAsia="仿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trPr>
        <w:tc>
          <w:tcPr>
            <w:tcW w:w="2049" w:type="dxa"/>
          </w:tcPr>
          <w:p>
            <w:pPr>
              <w:spacing w:line="360" w:lineRule="auto"/>
              <w:rPr>
                <w:b/>
                <w:szCs w:val="21"/>
              </w:rPr>
            </w:pPr>
            <w:r>
              <w:rPr>
                <w:rFonts w:hint="eastAsia" w:ascii="宋体" w:hAnsi="宋体" w:cs="宋体"/>
                <w:szCs w:val="21"/>
              </w:rPr>
              <w:t>监视、测量、分析、评价</w:t>
            </w:r>
          </w:p>
        </w:tc>
        <w:tc>
          <w:tcPr>
            <w:tcW w:w="989" w:type="dxa"/>
          </w:tcPr>
          <w:p>
            <w:pPr>
              <w:spacing w:line="360" w:lineRule="auto"/>
              <w:rPr>
                <w:rFonts w:ascii="宋体" w:hAnsi="宋体" w:cs="宋体"/>
                <w:szCs w:val="21"/>
              </w:rPr>
            </w:pPr>
            <w:r>
              <w:rPr>
                <w:rFonts w:hint="eastAsia" w:ascii="宋体" w:hAnsi="宋体" w:cs="宋体"/>
                <w:szCs w:val="21"/>
              </w:rPr>
              <w:t>E</w:t>
            </w:r>
            <w:r>
              <w:rPr>
                <w:rFonts w:ascii="宋体" w:hAnsi="宋体" w:cs="宋体"/>
                <w:szCs w:val="21"/>
              </w:rPr>
              <w:t>O</w:t>
            </w:r>
            <w:r>
              <w:rPr>
                <w:rFonts w:hint="eastAsia" w:ascii="宋体" w:hAnsi="宋体" w:cs="宋体"/>
                <w:szCs w:val="21"/>
              </w:rPr>
              <w:t>9.1.1</w:t>
            </w:r>
          </w:p>
          <w:p>
            <w:pPr>
              <w:spacing w:line="360" w:lineRule="auto"/>
              <w:rPr>
                <w:b/>
                <w:szCs w:val="21"/>
              </w:rPr>
            </w:pPr>
            <w:r>
              <w:rPr>
                <w:rFonts w:hint="eastAsia"/>
                <w:b/>
                <w:szCs w:val="21"/>
              </w:rPr>
              <w:t>1</w:t>
            </w:r>
            <w:r>
              <w:rPr>
                <w:b/>
                <w:szCs w:val="21"/>
              </w:rPr>
              <w:t>0.2</w:t>
            </w:r>
          </w:p>
        </w:tc>
        <w:tc>
          <w:tcPr>
            <w:tcW w:w="10852" w:type="dxa"/>
            <w:vAlign w:val="center"/>
          </w:tcPr>
          <w:p>
            <w:pPr>
              <w:snapToGrid w:val="0"/>
              <w:spacing w:line="360" w:lineRule="auto"/>
              <w:ind w:firstLine="420" w:firstLineChars="200"/>
              <w:jc w:val="left"/>
            </w:pPr>
            <w:r>
              <w:rPr>
                <w:rFonts w:hint="eastAsia"/>
              </w:rPr>
              <w:t>提供《检查记录表》，检查项目内容涉及废弃物处理（垃圾是否分开堆放收集、如何处理）、消防设施（</w:t>
            </w:r>
            <w:r>
              <w:rPr>
                <w:rFonts w:hint="eastAsia"/>
                <w:lang w:val="en-US" w:eastAsia="zh-CN"/>
              </w:rPr>
              <w:t>灭火器，</w:t>
            </w:r>
            <w:r>
              <w:rPr>
                <w:rFonts w:hint="eastAsia"/>
              </w:rPr>
              <w:t>消防设施是否完好）、劳动保护用品佩戴情况；电气设备（检查本公司电气系统的使用情况，有无电线绝缘层破裂情况发生，有无漏电情况发生）、能源使用情况（在</w:t>
            </w:r>
            <w:r>
              <w:rPr>
                <w:rFonts w:hint="eastAsia"/>
                <w:lang w:val="en-US" w:eastAsia="zh-CN"/>
              </w:rPr>
              <w:t>施工</w:t>
            </w:r>
            <w:r>
              <w:rPr>
                <w:rFonts w:hint="eastAsia"/>
              </w:rPr>
              <w:t>过程中做到节约用电的基本原则）、施工现场高空坠落、高空坠物、触电、机械伤害等。</w:t>
            </w:r>
          </w:p>
          <w:p>
            <w:pPr>
              <w:snapToGrid w:val="0"/>
              <w:spacing w:line="360" w:lineRule="auto"/>
              <w:ind w:firstLine="420" w:firstLineChars="200"/>
              <w:jc w:val="left"/>
              <w:rPr>
                <w:rFonts w:hint="eastAsia" w:eastAsia="宋体"/>
                <w:lang w:eastAsia="zh-CN"/>
              </w:rPr>
            </w:pPr>
            <w:r>
              <w:rPr>
                <w:rFonts w:hint="eastAsia"/>
              </w:rPr>
              <w:t>每月安全员和部门领导检查管理体系运行情况</w:t>
            </w:r>
            <w:r>
              <w:rPr>
                <w:rFonts w:hint="eastAsia"/>
                <w:lang w:eastAsia="zh-CN"/>
              </w:rPr>
              <w:t>：</w:t>
            </w:r>
          </w:p>
          <w:p>
            <w:pPr>
              <w:snapToGrid w:val="0"/>
              <w:spacing w:line="360" w:lineRule="auto"/>
              <w:ind w:firstLine="420" w:firstLineChars="200"/>
              <w:jc w:val="left"/>
              <w:rPr>
                <w:rFonts w:hint="eastAsia" w:eastAsia="宋体"/>
                <w:lang w:eastAsia="zh-CN"/>
              </w:rPr>
            </w:pPr>
            <w:r>
              <w:rPr>
                <w:rFonts w:hint="eastAsia"/>
              </w:rPr>
              <w:t>检查结果未发现较大问题，小问题已要求当场纠正，下次注意防止再发生。检查人：</w:t>
            </w:r>
            <w:r>
              <w:rPr>
                <w:rFonts w:hint="eastAsia"/>
                <w:lang w:val="en-US" w:eastAsia="zh-CN"/>
              </w:rPr>
              <w:t>王亚军</w:t>
            </w:r>
            <w:r>
              <w:rPr>
                <w:rFonts w:hint="eastAsia"/>
              </w:rPr>
              <w:t>等</w:t>
            </w:r>
            <w:r>
              <w:rPr>
                <w:rFonts w:hint="eastAsia"/>
                <w:lang w:eastAsia="zh-CN"/>
              </w:rPr>
              <w:t>。</w:t>
            </w:r>
          </w:p>
          <w:p>
            <w:pPr>
              <w:snapToGrid w:val="0"/>
              <w:spacing w:line="360" w:lineRule="auto"/>
              <w:ind w:firstLine="420"/>
              <w:jc w:val="left"/>
            </w:pPr>
            <w:r>
              <w:rPr>
                <w:rFonts w:hint="eastAsia"/>
              </w:rPr>
              <w:t>无被动检查。</w:t>
            </w:r>
          </w:p>
          <w:p>
            <w:pPr>
              <w:spacing w:line="360" w:lineRule="auto"/>
              <w:ind w:firstLine="420" w:firstLineChars="200"/>
            </w:pPr>
            <w:r>
              <w:rPr>
                <w:rFonts w:hint="eastAsia"/>
              </w:rPr>
              <w:t>该</w:t>
            </w:r>
            <w:r>
              <w:rPr>
                <w:rFonts w:hint="eastAsia"/>
                <w:lang w:eastAsia="zh-CN"/>
              </w:rPr>
              <w:t>工程部</w:t>
            </w:r>
            <w:r>
              <w:rPr>
                <w:rFonts w:hint="eastAsia"/>
              </w:rPr>
              <w:t>能遵守相关的法律法规，没有违反环境、职业健康安全法律法规现象，近期没有发生环境与安全的事故和违法情况。</w:t>
            </w:r>
          </w:p>
          <w:p>
            <w:pPr>
              <w:spacing w:line="360" w:lineRule="auto"/>
              <w:ind w:firstLine="420" w:firstLineChars="200"/>
            </w:pPr>
            <w:r>
              <w:rPr>
                <w:rFonts w:hint="eastAsia"/>
              </w:rPr>
              <w:t>项目负责人介绍</w:t>
            </w:r>
            <w:r>
              <w:rPr>
                <w:rFonts w:hint="eastAsia"/>
                <w:lang w:eastAsia="zh-CN"/>
              </w:rPr>
              <w:t>工程部</w:t>
            </w:r>
            <w:r>
              <w:rPr>
                <w:rFonts w:hint="eastAsia"/>
              </w:rPr>
              <w:t>在项目实施环境和职业健康安全运行过程中对发现的不合格都会采取纠正、纠正措施以防止不合格或不符合再次发生，同时也会举一反三地看待其他部门或类似过程，采取预防措施以防止发生不合格或不符合。</w:t>
            </w:r>
            <w:r>
              <w:rPr>
                <w:rFonts w:hint="eastAsia"/>
                <w:lang w:eastAsia="zh-CN"/>
              </w:rPr>
              <w:t>工程部</w:t>
            </w:r>
            <w:r>
              <w:rPr>
                <w:rFonts w:hint="eastAsia"/>
              </w:rPr>
              <w:t>对纠正及预防措施的管理基本符合要求。</w:t>
            </w:r>
          </w:p>
        </w:tc>
        <w:tc>
          <w:tcPr>
            <w:tcW w:w="819" w:type="dxa"/>
          </w:tcPr>
          <w:p>
            <w:pPr>
              <w:spacing w:line="360" w:lineRule="auto"/>
            </w:pPr>
            <w:r>
              <w:rPr>
                <w:rFonts w:hint="eastAsia"/>
                <w:lang w:val="en-US" w:eastAsia="zh-CN"/>
              </w:rPr>
              <w:t>符合</w:t>
            </w:r>
          </w:p>
        </w:tc>
      </w:tr>
    </w:tbl>
    <w:p>
      <w:pPr>
        <w:pStyle w:val="14"/>
      </w:pPr>
    </w:p>
    <w:p>
      <w:pPr>
        <w:pStyle w:val="8"/>
      </w:pPr>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体">
    <w:altName w:val="宋体"/>
    <w:panose1 w:val="02010600030101010101"/>
    <w:charset w:val="86"/>
    <w:family w:val="roman"/>
    <w:pitch w:val="default"/>
    <w:sig w:usb0="00000000" w:usb1="00000000" w:usb2="00000010" w:usb3="00000000" w:csb0="00040001" w:csb1="00000000"/>
  </w:font>
  <w:font w:name="隶书">
    <w:panose1 w:val="0201050906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8"/>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tabs>
        <w:tab w:val="left" w:pos="8910"/>
        <w:tab w:val="left" w:pos="9142"/>
        <w:tab w:val="clear" w:pos="4153"/>
      </w:tabs>
      <w:spacing w:line="320" w:lineRule="exact"/>
      <w:ind w:left="-86" w:leftChars="-41" w:firstLine="810" w:firstLineChars="450"/>
      <w:jc w:val="left"/>
      <w:rPr>
        <w:rStyle w:val="18"/>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8"/>
        <w:rFonts w:hint="default"/>
      </w:rPr>
      <w:t>北京国标联合认证有限公司</w:t>
    </w:r>
    <w:r>
      <w:rPr>
        <w:rStyle w:val="18"/>
        <w:rFonts w:hint="default"/>
      </w:rPr>
      <w:tab/>
    </w:r>
    <w:r>
      <w:rPr>
        <w:rStyle w:val="18"/>
        <w:rFonts w:hint="default"/>
      </w:rPr>
      <w:tab/>
    </w:r>
    <w:r>
      <w:rPr>
        <w:rStyle w:val="18"/>
        <w:rFonts w:hint="default"/>
      </w:rPr>
      <w:tab/>
    </w:r>
  </w:p>
  <w:p>
    <w:pPr>
      <w:pStyle w:val="9"/>
      <w:pBdr>
        <w:bottom w:val="none" w:color="auto" w:sz="0" w:space="0"/>
      </w:pBdr>
      <w:spacing w:line="320" w:lineRule="exact"/>
      <w:ind w:firstLine="756" w:firstLineChars="400"/>
      <w:jc w:val="left"/>
    </w:pPr>
    <w:r>
      <w:rPr>
        <w:rStyle w:val="18"/>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DJhMzVmMjRhOTI3NTFjNmRlYmM5YzA2NWZhNjBiZTEifQ=="/>
  </w:docVars>
  <w:rsids>
    <w:rsidRoot w:val="00000000"/>
    <w:rsid w:val="03070335"/>
    <w:rsid w:val="050F54E2"/>
    <w:rsid w:val="1C32439A"/>
    <w:rsid w:val="277D1809"/>
    <w:rsid w:val="2B6D0B82"/>
    <w:rsid w:val="301B5E12"/>
    <w:rsid w:val="30885AAE"/>
    <w:rsid w:val="39B4306C"/>
    <w:rsid w:val="3D2519C6"/>
    <w:rsid w:val="3D6E6B65"/>
    <w:rsid w:val="455E5972"/>
    <w:rsid w:val="50E36816"/>
    <w:rsid w:val="5CF60E57"/>
    <w:rsid w:val="73E806CE"/>
    <w:rsid w:val="7DB5648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qFormat="1" w:unhideWhenUsed="0" w:uiPriority="0" w:semiHidden="0" w:name="toc 4"/>
    <w:lsdException w:qFormat="1" w:unhideWhenUsed="0" w:uiPriority="0"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3"/>
    <w:qFormat/>
    <w:uiPriority w:val="99"/>
    <w:pPr>
      <w:keepNext/>
      <w:tabs>
        <w:tab w:val="left" w:pos="3510"/>
        <w:tab w:val="left" w:pos="3585"/>
        <w:tab w:val="center" w:pos="4410"/>
        <w:tab w:val="left" w:pos="4620"/>
        <w:tab w:val="left" w:pos="4830"/>
        <w:tab w:val="left" w:pos="5580"/>
      </w:tabs>
      <w:outlineLvl w:val="1"/>
    </w:pPr>
    <w:rPr>
      <w:rFonts w:ascii="Calibri" w:hAnsi="Calibri"/>
      <w:b/>
      <w:bCs/>
      <w:sz w:val="32"/>
      <w:szCs w:val="20"/>
    </w:rPr>
  </w:style>
  <w:style w:type="character" w:default="1" w:styleId="13">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adjustRightInd w:val="0"/>
      <w:spacing w:line="360" w:lineRule="atLeast"/>
      <w:ind w:left="480"/>
      <w:textAlignment w:val="baseline"/>
    </w:pPr>
    <w:rPr>
      <w:kern w:val="0"/>
    </w:rPr>
  </w:style>
  <w:style w:type="paragraph" w:styleId="4">
    <w:name w:val="Body Text"/>
    <w:basedOn w:val="1"/>
    <w:next w:val="5"/>
    <w:qFormat/>
    <w:uiPriority w:val="0"/>
    <w:pPr>
      <w:spacing w:line="600" w:lineRule="atLeast"/>
      <w:jc w:val="center"/>
    </w:pPr>
    <w:rPr>
      <w:rFonts w:ascii="仿宋体" w:eastAsia="仿宋体"/>
      <w:sz w:val="28"/>
    </w:rPr>
  </w:style>
  <w:style w:type="paragraph" w:styleId="5">
    <w:name w:val="toc 5"/>
    <w:basedOn w:val="1"/>
    <w:next w:val="1"/>
    <w:qFormat/>
    <w:uiPriority w:val="0"/>
    <w:pPr>
      <w:wordWrap w:val="0"/>
      <w:spacing w:before="0" w:line="240" w:lineRule="auto"/>
      <w:ind w:left="1275"/>
      <w:jc w:val="both"/>
    </w:pPr>
    <w:rPr>
      <w:sz w:val="21"/>
    </w:rPr>
  </w:style>
  <w:style w:type="paragraph" w:styleId="6">
    <w:name w:val="Body Text Indent"/>
    <w:basedOn w:val="1"/>
    <w:unhideWhenUsed/>
    <w:qFormat/>
    <w:uiPriority w:val="99"/>
    <w:pPr>
      <w:widowControl w:val="0"/>
      <w:spacing w:after="120"/>
      <w:ind w:left="420" w:leftChars="200" w:firstLine="0"/>
      <w:jc w:val="both"/>
    </w:pPr>
    <w:rPr>
      <w:rFonts w:ascii="Times New Roman" w:hAnsi="Times New Roman"/>
      <w:kern w:val="2"/>
      <w:sz w:val="21"/>
      <w:szCs w:val="21"/>
      <w:lang w:bidi="ar-SA"/>
    </w:rPr>
  </w:style>
  <w:style w:type="paragraph" w:styleId="7">
    <w:name w:val="Balloon Text"/>
    <w:basedOn w:val="1"/>
    <w:link w:val="17"/>
    <w:semiHidden/>
    <w:unhideWhenUsed/>
    <w:qFormat/>
    <w:uiPriority w:val="99"/>
    <w:rPr>
      <w:sz w:val="18"/>
      <w:szCs w:val="18"/>
    </w:rPr>
  </w:style>
  <w:style w:type="paragraph" w:styleId="8">
    <w:name w:val="footer"/>
    <w:basedOn w:val="1"/>
    <w:link w:val="16"/>
    <w:unhideWhenUsed/>
    <w:qFormat/>
    <w:uiPriority w:val="99"/>
    <w:pPr>
      <w:tabs>
        <w:tab w:val="center" w:pos="4153"/>
        <w:tab w:val="right" w:pos="8306"/>
      </w:tabs>
      <w:snapToGrid w:val="0"/>
      <w:jc w:val="left"/>
    </w:pPr>
    <w:rPr>
      <w:sz w:val="18"/>
      <w:szCs w:val="18"/>
    </w:rPr>
  </w:style>
  <w:style w:type="paragraph" w:styleId="9">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10">
    <w:name w:val="toc 4"/>
    <w:next w:val="1"/>
    <w:qFormat/>
    <w:uiPriority w:val="0"/>
    <w:pPr>
      <w:wordWrap w:val="0"/>
      <w:ind w:left="850"/>
      <w:jc w:val="both"/>
    </w:pPr>
    <w:rPr>
      <w:rFonts w:ascii="Times New Roman" w:hAnsi="Times New Roman" w:eastAsia="宋体" w:cs="Times New Roman"/>
      <w:sz w:val="21"/>
      <w:lang w:val="en-US" w:eastAsia="zh-CN" w:bidi="ar-SA"/>
    </w:rPr>
  </w:style>
  <w:style w:type="paragraph" w:styleId="11">
    <w:name w:val="Body Text First Indent 2"/>
    <w:basedOn w:val="6"/>
    <w:qFormat/>
    <w:uiPriority w:val="99"/>
    <w:pPr>
      <w:spacing w:after="120" w:afterLines="0"/>
      <w:ind w:left="420" w:firstLine="210"/>
    </w:pPr>
    <w:rPr>
      <w:rFonts w:ascii="Times New Roman"/>
      <w:szCs w:val="24"/>
      <w:lang w:bidi="he-IL"/>
    </w:rPr>
  </w:style>
  <w:style w:type="paragraph" w:customStyle="1" w:styleId="14">
    <w:name w:val="表格文字"/>
    <w:basedOn w:val="1"/>
    <w:qFormat/>
    <w:uiPriority w:val="0"/>
    <w:pPr>
      <w:spacing w:before="25" w:after="25"/>
    </w:pPr>
    <w:rPr>
      <w:bCs/>
      <w:spacing w:val="10"/>
    </w:rPr>
  </w:style>
  <w:style w:type="character" w:customStyle="1" w:styleId="15">
    <w:name w:val="页眉 Char"/>
    <w:basedOn w:val="13"/>
    <w:link w:val="9"/>
    <w:qFormat/>
    <w:uiPriority w:val="99"/>
    <w:rPr>
      <w:rFonts w:ascii="Times New Roman" w:hAnsi="Times New Roman" w:eastAsia="宋体" w:cs="Times New Roman"/>
      <w:sz w:val="18"/>
      <w:szCs w:val="18"/>
    </w:rPr>
  </w:style>
  <w:style w:type="character" w:customStyle="1" w:styleId="16">
    <w:name w:val="页脚 Char"/>
    <w:basedOn w:val="13"/>
    <w:link w:val="8"/>
    <w:qFormat/>
    <w:uiPriority w:val="99"/>
    <w:rPr>
      <w:rFonts w:ascii="Times New Roman" w:hAnsi="Times New Roman" w:eastAsia="宋体" w:cs="Times New Roman"/>
      <w:sz w:val="18"/>
      <w:szCs w:val="18"/>
    </w:rPr>
  </w:style>
  <w:style w:type="character" w:customStyle="1" w:styleId="17">
    <w:name w:val="批注框文本 Char"/>
    <w:basedOn w:val="13"/>
    <w:link w:val="7"/>
    <w:semiHidden/>
    <w:qFormat/>
    <w:uiPriority w:val="99"/>
    <w:rPr>
      <w:rFonts w:ascii="Times New Roman" w:hAnsi="Times New Roman" w:eastAsia="宋体" w:cs="Times New Roman"/>
      <w:sz w:val="18"/>
      <w:szCs w:val="18"/>
    </w:rPr>
  </w:style>
  <w:style w:type="character" w:customStyle="1" w:styleId="18">
    <w:name w:val="Char Char1"/>
    <w:qFormat/>
    <w:locked/>
    <w:uiPriority w:val="0"/>
    <w:rPr>
      <w:rFonts w:hint="eastAsia" w:ascii="宋体" w:hAnsi="Courier New" w:eastAsia="宋体"/>
      <w:kern w:val="2"/>
      <w:sz w:val="21"/>
      <w:lang w:val="en-US" w:eastAsia="zh-CN" w:bidi="ar-SA"/>
    </w:rPr>
  </w:style>
  <w:style w:type="paragraph" w:styleId="19">
    <w:name w:val="List Paragraph"/>
    <w:basedOn w:val="1"/>
    <w:qFormat/>
    <w:uiPriority w:val="99"/>
    <w:pPr>
      <w:ind w:firstLine="420" w:firstLineChars="200"/>
    </w:pPr>
  </w:style>
  <w:style w:type="paragraph" w:customStyle="1" w:styleId="20">
    <w:name w:val="_Style 2"/>
    <w:basedOn w:val="1"/>
    <w:qFormat/>
    <w:uiPriority w:val="34"/>
    <w:pPr>
      <w:ind w:firstLine="420" w:firstLineChars="200"/>
    </w:pPr>
    <w:rPr>
      <w:rFonts w:ascii="Calibri" w:hAnsi="Calibri"/>
      <w:sz w:val="24"/>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87</Characters>
  <Lines>1</Lines>
  <Paragraphs>1</Paragraphs>
  <TotalTime>3</TotalTime>
  <ScaleCrop>false</ScaleCrop>
  <LinksUpToDate>false</LinksUpToDate>
  <CharactersWithSpaces>101</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郭力</cp:lastModifiedBy>
  <dcterms:modified xsi:type="dcterms:W3CDTF">2023-01-09T13:28:53Z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2052-11.1.0.12980</vt:lpwstr>
  </property>
</Properties>
</file>