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技术部       </w:t>
            </w:r>
            <w:r>
              <w:rPr>
                <w:rFonts w:hint="eastAsia"/>
                <w:color w:val="auto"/>
                <w:sz w:val="24"/>
                <w:szCs w:val="24"/>
              </w:rPr>
              <w:t>主管领导：杨杰</w:t>
            </w:r>
            <w:r>
              <w:rPr>
                <w:rFonts w:hint="eastAsia"/>
                <w:color w:val="auto"/>
                <w:sz w:val="24"/>
                <w:szCs w:val="24"/>
                <w:lang w:val="en-US" w:eastAsia="zh-CN"/>
              </w:rPr>
              <w:t xml:space="preserve">     </w:t>
            </w:r>
            <w:r>
              <w:rPr>
                <w:rFonts w:hint="eastAsia"/>
                <w:color w:val="auto"/>
                <w:sz w:val="24"/>
                <w:szCs w:val="24"/>
              </w:rPr>
              <w:t>陪同人员：王红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郭力          </w:t>
            </w:r>
            <w:r>
              <w:rPr>
                <w:rFonts w:hint="eastAsia"/>
                <w:color w:val="auto"/>
                <w:sz w:val="24"/>
                <w:szCs w:val="24"/>
              </w:rPr>
              <w:t>审核时间：</w:t>
            </w:r>
            <w:r>
              <w:rPr>
                <w:rFonts w:hint="eastAsia"/>
                <w:color w:val="auto"/>
                <w:sz w:val="24"/>
                <w:szCs w:val="24"/>
                <w:lang w:val="en-US" w:eastAsia="zh-CN"/>
              </w:rPr>
              <w:t>2022年12月6日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w:t>
            </w:r>
            <w:r>
              <w:rPr>
                <w:rFonts w:hint="eastAsia" w:ascii="Times New Roman" w:hAnsi="Times New Roman" w:cs="Times New Roman"/>
                <w:color w:val="auto"/>
                <w:sz w:val="24"/>
                <w:szCs w:val="24"/>
              </w:rPr>
              <w:t>款：Q：5.3；6.2；7.1.5；8.6；8.7；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查《各类人员上岗资格要求》，已经明确了</w:t>
            </w:r>
            <w:r>
              <w:rPr>
                <w:rFonts w:hint="eastAsia" w:ascii="宋体" w:hAnsi="宋体"/>
                <w:color w:val="auto"/>
                <w:szCs w:val="21"/>
                <w:lang w:eastAsia="zh-CN"/>
              </w:rPr>
              <w:t>技术部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420" w:firstLineChars="200"/>
              <w:rPr>
                <w:rFonts w:ascii="宋体" w:hAnsi="宋体"/>
                <w:color w:val="auto"/>
                <w:szCs w:val="21"/>
              </w:rPr>
            </w:pPr>
            <w:r>
              <w:rPr>
                <w:rFonts w:hint="eastAsia" w:ascii="宋体" w:hAnsi="宋体"/>
                <w:color w:val="auto"/>
                <w:szCs w:val="21"/>
              </w:rPr>
              <w:t>1.负责本公司产品质量管理工作；</w:t>
            </w:r>
          </w:p>
          <w:p>
            <w:pPr>
              <w:spacing w:line="440" w:lineRule="exact"/>
              <w:ind w:firstLine="420" w:firstLineChars="200"/>
              <w:rPr>
                <w:rFonts w:ascii="宋体" w:hAnsi="宋体"/>
                <w:color w:val="auto"/>
                <w:szCs w:val="21"/>
              </w:rPr>
            </w:pPr>
            <w:r>
              <w:rPr>
                <w:rFonts w:hint="eastAsia" w:ascii="宋体" w:hAnsi="宋体"/>
                <w:color w:val="auto"/>
                <w:szCs w:val="21"/>
              </w:rPr>
              <w:t>2.制订产品质量检验规范；</w:t>
            </w:r>
          </w:p>
          <w:p>
            <w:pPr>
              <w:spacing w:line="440" w:lineRule="exact"/>
              <w:ind w:firstLine="420" w:firstLineChars="200"/>
              <w:rPr>
                <w:rFonts w:ascii="宋体" w:hAnsi="宋体"/>
                <w:color w:val="auto"/>
                <w:szCs w:val="21"/>
              </w:rPr>
            </w:pPr>
            <w:r>
              <w:rPr>
                <w:rFonts w:hint="eastAsia" w:ascii="宋体" w:hAnsi="宋体"/>
                <w:color w:val="auto"/>
                <w:szCs w:val="21"/>
              </w:rPr>
              <w:t>3.建立原材料、在制品、外协品和成品检验记录及质量统计报表，每月进行质量总结分析，提出改进意见。</w:t>
            </w:r>
          </w:p>
          <w:p>
            <w:pPr>
              <w:spacing w:line="440" w:lineRule="exact"/>
              <w:ind w:firstLine="420" w:firstLineChars="200"/>
              <w:rPr>
                <w:rFonts w:ascii="宋体" w:hAnsi="宋体"/>
                <w:color w:val="auto"/>
                <w:szCs w:val="21"/>
              </w:rPr>
            </w:pPr>
            <w:r>
              <w:rPr>
                <w:rFonts w:hint="eastAsia" w:ascii="宋体" w:hAnsi="宋体"/>
                <w:color w:val="auto"/>
                <w:szCs w:val="21"/>
              </w:rPr>
              <w:t>4.及时收集产品在使用过程中质量异常反应信息，对影响产品质量的制造、审核结果、质量记录、服务报告和顾客投诉进行分析，以查明并消除不合格的潜在原因并提出解决办法。</w:t>
            </w:r>
          </w:p>
          <w:p>
            <w:pPr>
              <w:spacing w:line="440" w:lineRule="exact"/>
              <w:ind w:firstLine="420" w:firstLineChars="200"/>
              <w:rPr>
                <w:rFonts w:ascii="宋体" w:hAnsi="宋体"/>
                <w:color w:val="auto"/>
                <w:szCs w:val="21"/>
              </w:rPr>
            </w:pPr>
            <w:r>
              <w:rPr>
                <w:rFonts w:hint="eastAsia" w:ascii="宋体" w:hAnsi="宋体"/>
                <w:color w:val="auto"/>
                <w:szCs w:val="21"/>
              </w:rPr>
              <w:t>5.负责检验仪器的配置、使用、校正和维护保养，保证检验工作的正常进行。</w:t>
            </w:r>
          </w:p>
          <w:p>
            <w:pPr>
              <w:spacing w:line="440" w:lineRule="exact"/>
              <w:ind w:firstLine="420" w:firstLineChars="200"/>
              <w:rPr>
                <w:rFonts w:ascii="宋体" w:hAnsi="宋体"/>
                <w:color w:val="auto"/>
                <w:szCs w:val="21"/>
              </w:rPr>
            </w:pPr>
            <w:r>
              <w:rPr>
                <w:rFonts w:hint="eastAsia" w:ascii="宋体" w:hAnsi="宋体"/>
                <w:color w:val="auto"/>
                <w:szCs w:val="21"/>
              </w:rPr>
              <w:t>6.每月召开一次质量分析会，以团队精神共谋产品质量的改善，组织公司内各部门和生产骨干开展质量管理活动，提高全员质量管理意识，推动质量管理工作迈上新的台阶。</w:t>
            </w:r>
          </w:p>
          <w:p>
            <w:pPr>
              <w:spacing w:line="440" w:lineRule="exact"/>
              <w:ind w:left="420" w:leftChars="200"/>
              <w:rPr>
                <w:rFonts w:ascii="宋体" w:hAnsi="宋体"/>
                <w:color w:val="auto"/>
                <w:szCs w:val="21"/>
              </w:rPr>
            </w:pPr>
            <w:r>
              <w:rPr>
                <w:rFonts w:hint="eastAsia" w:ascii="宋体" w:hAnsi="宋体"/>
                <w:color w:val="auto"/>
                <w:szCs w:val="21"/>
              </w:rPr>
              <w:t>7.负责组织制定公司技术管理制度和技术工艺标准；</w:t>
            </w:r>
            <w:r>
              <w:rPr>
                <w:rFonts w:ascii="宋体" w:hAnsi="宋体"/>
                <w:color w:val="auto"/>
                <w:szCs w:val="21"/>
              </w:rPr>
              <w:br w:type="textWrapping"/>
            </w:r>
            <w:r>
              <w:rPr>
                <w:rFonts w:hint="eastAsia" w:ascii="宋体" w:hAnsi="宋体"/>
                <w:color w:val="auto"/>
                <w:szCs w:val="21"/>
              </w:rPr>
              <w:t>8.负责及时指导、处理、协调和解决生产过程中出现的技术问题，保证生产正常进行，确保公司生产</w:t>
            </w:r>
            <w:r>
              <w:rPr>
                <w:color w:val="auto"/>
              </w:rPr>
              <w:fldChar w:fldCharType="begin"/>
            </w:r>
            <w:r>
              <w:rPr>
                <w:color w:val="auto"/>
              </w:rPr>
              <w:instrText xml:space="preserve"> HYPERLINK "http://www.kj-cy.cn/gongzuojihua/" \t "_blank" </w:instrText>
            </w:r>
            <w:r>
              <w:rPr>
                <w:color w:val="auto"/>
              </w:rPr>
              <w:fldChar w:fldCharType="separate"/>
            </w:r>
            <w:r>
              <w:rPr>
                <w:rFonts w:hint="eastAsia" w:ascii="宋体" w:hAnsi="宋体"/>
                <w:color w:val="auto"/>
                <w:szCs w:val="21"/>
              </w:rPr>
              <w:t>计划</w:t>
            </w:r>
            <w:r>
              <w:rPr>
                <w:rFonts w:hint="eastAsia" w:ascii="宋体" w:hAnsi="宋体"/>
                <w:color w:val="auto"/>
                <w:szCs w:val="21"/>
              </w:rPr>
              <w:fldChar w:fldCharType="end"/>
            </w:r>
            <w:r>
              <w:rPr>
                <w:rFonts w:hint="eastAsia" w:ascii="宋体" w:hAnsi="宋体"/>
                <w:color w:val="auto"/>
                <w:szCs w:val="21"/>
              </w:rPr>
              <w:t>的按时完成；</w:t>
            </w:r>
          </w:p>
          <w:p>
            <w:pPr>
              <w:spacing w:line="440" w:lineRule="exact"/>
              <w:ind w:left="420" w:leftChars="200"/>
              <w:rPr>
                <w:rFonts w:ascii="宋体" w:hAnsi="宋体"/>
                <w:color w:val="auto"/>
                <w:szCs w:val="21"/>
              </w:rPr>
            </w:pPr>
            <w:r>
              <w:rPr>
                <w:rFonts w:hint="eastAsia" w:ascii="宋体" w:hAnsi="宋体"/>
                <w:color w:val="auto"/>
                <w:szCs w:val="21"/>
              </w:rPr>
              <w:t>9.负责做好本部的产品图纸，技术资料的编制和发放控制；</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10.组织制定新产品的样件试制工作及现有产品加工的改进工作</w:t>
            </w:r>
            <w:r>
              <w:rPr>
                <w:rFonts w:hint="eastAsia" w:ascii="宋体" w:hAnsi="宋体"/>
                <w:color w:val="auto"/>
                <w:szCs w:val="21"/>
                <w:lang w:val="en-US" w:eastAsia="zh-CN"/>
              </w:rPr>
              <w:t>.</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质量目标</w:t>
            </w:r>
          </w:p>
          <w:p>
            <w:pPr>
              <w:spacing w:line="360" w:lineRule="auto"/>
              <w:rPr>
                <w:rFonts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6.2</w:t>
            </w:r>
          </w:p>
        </w:tc>
        <w:tc>
          <w:tcPr>
            <w:tcW w:w="10004" w:type="dxa"/>
            <w:vAlign w:val="top"/>
          </w:tcPr>
          <w:p>
            <w:pPr>
              <w:spacing w:line="400" w:lineRule="exact"/>
              <w:rPr>
                <w:rFonts w:ascii="宋体" w:hAnsi="宋体"/>
                <w:color w:val="auto"/>
                <w:szCs w:val="21"/>
              </w:rPr>
            </w:pPr>
            <w:r>
              <w:rPr>
                <w:rFonts w:hint="eastAsia" w:ascii="宋体" w:hAnsi="宋体"/>
                <w:color w:val="auto"/>
                <w:szCs w:val="21"/>
              </w:rPr>
              <w:t>查《部门质量目标分解表》该部门的质量目标为：</w:t>
            </w:r>
          </w:p>
          <w:p>
            <w:pPr>
              <w:spacing w:line="440" w:lineRule="exact"/>
              <w:ind w:firstLine="420" w:firstLineChars="200"/>
              <w:rPr>
                <w:rFonts w:ascii="宋体" w:hAnsi="宋体"/>
                <w:color w:val="auto"/>
                <w:szCs w:val="21"/>
              </w:rPr>
            </w:pPr>
            <w:r>
              <w:rPr>
                <w:rFonts w:hint="eastAsia" w:ascii="宋体" w:hAnsi="宋体"/>
                <w:color w:val="auto"/>
                <w:szCs w:val="21"/>
              </w:rPr>
              <w:t>1.计量器具周期检定送检率100％；</w:t>
            </w:r>
          </w:p>
          <w:p>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.产品错漏检率≤0.5%；</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月《公司及各部门质量目标考核表》对部门目标进行考核，综合完成情况为：</w:t>
            </w:r>
          </w:p>
          <w:p>
            <w:pPr>
              <w:spacing w:line="440" w:lineRule="exact"/>
              <w:ind w:firstLine="420" w:firstLineChars="200"/>
              <w:rPr>
                <w:rFonts w:ascii="宋体" w:hAnsi="宋体"/>
                <w:color w:val="auto"/>
                <w:szCs w:val="21"/>
              </w:rPr>
            </w:pPr>
            <w:r>
              <w:rPr>
                <w:rFonts w:hint="eastAsia" w:ascii="宋体" w:hAnsi="宋体"/>
                <w:color w:val="auto"/>
                <w:szCs w:val="21"/>
              </w:rPr>
              <w:t>1.计量器具周期检定送检率100％；</w:t>
            </w:r>
          </w:p>
          <w:p>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.产品错漏检率0.0</w:t>
            </w:r>
            <w:r>
              <w:rPr>
                <w:rFonts w:hint="eastAsia" w:ascii="宋体" w:hAnsi="宋体"/>
                <w:color w:val="auto"/>
                <w:szCs w:val="21"/>
                <w:lang w:val="en-US" w:eastAsia="zh-CN"/>
              </w:rPr>
              <w:t>1</w:t>
            </w:r>
            <w:r>
              <w:rPr>
                <w:rFonts w:hint="eastAsia" w:ascii="宋体" w:hAnsi="宋体"/>
                <w:color w:val="auto"/>
                <w:szCs w:val="21"/>
              </w:rPr>
              <w:t>%；</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 xml:space="preserve">  基本达到目标要求，目标量化情况良好。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0" w:type="auto"/>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7.1.5</w:t>
            </w:r>
          </w:p>
        </w:tc>
        <w:tc>
          <w:tcPr>
            <w:tcW w:w="0" w:type="auto"/>
            <w:vAlign w:val="top"/>
          </w:tcPr>
          <w:p>
            <w:pPr>
              <w:spacing w:line="400" w:lineRule="exact"/>
              <w:rPr>
                <w:rFonts w:ascii="黑体" w:hAnsi="宋体" w:eastAsia="黑体"/>
                <w:color w:val="auto"/>
                <w:sz w:val="32"/>
                <w:szCs w:val="32"/>
              </w:rPr>
            </w:pPr>
            <w:r>
              <w:rPr>
                <w:rFonts w:hint="eastAsia" w:ascii="宋体" w:hAnsi="宋体"/>
                <w:color w:val="auto"/>
                <w:szCs w:val="21"/>
              </w:rPr>
              <w:t>1.远程查看《监视和测量资源台帐》生产车间及检验部门均按策划的要求配置了相应的检测设备，其中包括：游标卡尺、深度尺、高度尺、百分表等，均采用委外送检。</w:t>
            </w:r>
          </w:p>
          <w:p>
            <w:pPr>
              <w:spacing w:line="400" w:lineRule="atLeast"/>
              <w:rPr>
                <w:rFonts w:ascii="宋体" w:hAnsi="宋体" w:eastAsia="宋体" w:cs="Times New Roman"/>
                <w:color w:val="auto"/>
                <w:kern w:val="2"/>
                <w:sz w:val="21"/>
                <w:szCs w:val="21"/>
                <w:lang w:val="en-US" w:eastAsia="zh-CN" w:bidi="ar-SA"/>
              </w:rPr>
            </w:pPr>
            <w:r>
              <w:rPr>
                <w:rFonts w:hint="eastAsia" w:ascii="宋体" w:hAnsi="宋体"/>
                <w:color w:val="auto"/>
                <w:szCs w:val="21"/>
              </w:rPr>
              <w:t>2.查在用量具的检定和校准，均能提供在用量具的有效检定或校准证，提供的校准证书使用单位为：</w:t>
            </w:r>
            <w:r>
              <w:rPr>
                <w:rFonts w:hint="eastAsia" w:ascii="宋体" w:hAnsi="宋体"/>
                <w:color w:val="auto"/>
                <w:szCs w:val="21"/>
                <w:lang w:val="en-US" w:eastAsia="zh-CN"/>
              </w:rPr>
              <w:t>江苏世通仪器检测服务有限公司</w:t>
            </w:r>
            <w:r>
              <w:rPr>
                <w:rFonts w:hint="eastAsia" w:ascii="宋体" w:hAnsi="宋体"/>
                <w:color w:val="auto"/>
                <w:szCs w:val="21"/>
              </w:rPr>
              <w:t>。提供校准证书（详见附件）。</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0" w:type="auto"/>
            <w:vAlign w:val="top"/>
          </w:tcPr>
          <w:p>
            <w:pPr>
              <w:spacing w:line="360" w:lineRule="auto"/>
              <w:rPr>
                <w:rFonts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0" w:type="auto"/>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8.6</w:t>
            </w:r>
          </w:p>
        </w:tc>
        <w:tc>
          <w:tcPr>
            <w:tcW w:w="0" w:type="auto"/>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Cs w:val="24"/>
              </w:rPr>
            </w:pPr>
            <w:r>
              <w:rPr>
                <w:rFonts w:hint="eastAsia" w:ascii="宋体" w:hAnsi="宋体" w:cs="宋体"/>
                <w:color w:val="auto"/>
                <w:szCs w:val="24"/>
              </w:rPr>
              <w:t>一、进货检验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查见：生产原材料来料检验。负责人讲，生产所涉及的原材料均为客户处的来料加工，只对其数量、外观、规格等进行检验，其性能由客户方自己负责。</w:t>
            </w:r>
          </w:p>
          <w:p>
            <w:pPr>
              <w:spacing w:line="360" w:lineRule="auto"/>
              <w:ind w:firstLine="420" w:firstLineChars="200"/>
              <w:rPr>
                <w:rFonts w:ascii="宋体" w:hAnsi="宋体" w:cs="宋体"/>
                <w:color w:val="auto"/>
                <w:szCs w:val="24"/>
              </w:rPr>
            </w:pPr>
            <w:r>
              <w:rPr>
                <w:rFonts w:hint="eastAsia" w:ascii="宋体" w:hAnsi="宋体" w:cs="宋体"/>
                <w:color w:val="auto"/>
                <w:szCs w:val="24"/>
              </w:rPr>
              <w:t>依据《来料检验判定标准》只对规格型号、尺寸、数量等进行验证，产品性能由客户方自己负责。</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抽查《采购物资检验记录表》</w:t>
            </w:r>
          </w:p>
          <w:p>
            <w:pPr>
              <w:spacing w:line="360" w:lineRule="auto"/>
              <w:ind w:firstLine="420" w:firstLineChars="200"/>
              <w:rPr>
                <w:rFonts w:hint="eastAsia"/>
                <w:color w:val="auto"/>
                <w:szCs w:val="21"/>
                <w:lang w:val="en-US" w:eastAsia="zh-CN"/>
              </w:rPr>
            </w:pPr>
            <w:r>
              <w:rPr>
                <w:rFonts w:hint="eastAsia"/>
                <w:color w:val="auto"/>
                <w:szCs w:val="21"/>
                <w:lang w:val="en-US" w:eastAsia="zh-CN"/>
              </w:rPr>
              <w:t>1、产品名称：助力器窗口盖，供货方：</w:t>
            </w:r>
            <w:r>
              <w:rPr>
                <w:rFonts w:hint="eastAsia"/>
                <w:color w:val="auto"/>
              </w:rPr>
              <w:t>西安众合航空电器制造有限公司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drawing>
                <wp:anchor distT="0" distB="0" distL="114300" distR="114300" simplePos="0" relativeHeight="251660288" behindDoc="0" locked="0" layoutInCell="1" allowOverlap="1">
                  <wp:simplePos x="0" y="0"/>
                  <wp:positionH relativeFrom="column">
                    <wp:posOffset>2654300</wp:posOffset>
                  </wp:positionH>
                  <wp:positionV relativeFrom="paragraph">
                    <wp:posOffset>69215</wp:posOffset>
                  </wp:positionV>
                  <wp:extent cx="1637030" cy="2651125"/>
                  <wp:effectExtent l="0" t="0" r="1270" b="3175"/>
                  <wp:wrapNone/>
                  <wp:docPr id="3" name="图片 3" descr="3062毛坯检验记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62毛坯检验记录1"/>
                          <pic:cNvPicPr>
                            <a:picLocks noChangeAspect="1"/>
                          </pic:cNvPicPr>
                        </pic:nvPicPr>
                        <pic:blipFill>
                          <a:blip r:embed="rId6"/>
                          <a:srcRect t="17632" b="9504"/>
                          <a:stretch>
                            <a:fillRect/>
                          </a:stretch>
                        </pic:blipFill>
                        <pic:spPr>
                          <a:xfrm>
                            <a:off x="0" y="0"/>
                            <a:ext cx="1637030" cy="2651125"/>
                          </a:xfrm>
                          <a:prstGeom prst="rect">
                            <a:avLst/>
                          </a:prstGeom>
                        </pic:spPr>
                      </pic:pic>
                    </a:graphicData>
                  </a:graphic>
                </wp:anchor>
              </w:drawing>
            </w:r>
            <w:r>
              <w:rPr>
                <w:rFonts w:hint="eastAsia"/>
                <w:color w:val="auto"/>
                <w:szCs w:val="21"/>
                <w:lang w:val="en-US" w:eastAsia="zh-CN"/>
              </w:rPr>
              <w:t xml:space="preserve">检验项目：外观、尺寸、数量；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spacing w:line="360" w:lineRule="auto"/>
              <w:ind w:firstLine="420" w:firstLineChars="200"/>
              <w:rPr>
                <w:rFonts w:hint="default"/>
                <w:color w:val="auto"/>
                <w:szCs w:val="21"/>
                <w:lang w:val="en-US" w:eastAsia="zh-CN"/>
              </w:rPr>
            </w:pPr>
            <w:r>
              <w:rPr>
                <w:rFonts w:hint="eastAsia"/>
                <w:color w:val="auto"/>
                <w:szCs w:val="21"/>
                <w:lang w:val="en-US" w:eastAsia="zh-CN"/>
              </w:rPr>
              <w:t>检验员：窦小云           2022.4.10</w:t>
            </w:r>
          </w:p>
          <w:p>
            <w:pPr>
              <w:spacing w:line="360" w:lineRule="auto"/>
              <w:ind w:firstLine="420" w:firstLineChars="200"/>
              <w:rPr>
                <w:rFonts w:hint="eastAsia"/>
                <w:color w:val="auto"/>
                <w:szCs w:val="21"/>
                <w:lang w:val="en-US" w:eastAsia="zh-CN"/>
              </w:rPr>
            </w:pPr>
          </w:p>
          <w:p>
            <w:pPr>
              <w:spacing w:line="360" w:lineRule="auto"/>
              <w:ind w:firstLine="420" w:firstLineChars="200"/>
              <w:rPr>
                <w:rFonts w:hint="eastAsia"/>
                <w:color w:val="auto"/>
                <w:szCs w:val="21"/>
                <w:lang w:val="en-US" w:eastAsia="zh-CN"/>
              </w:rPr>
            </w:pPr>
          </w:p>
          <w:p>
            <w:pPr>
              <w:spacing w:line="360" w:lineRule="auto"/>
              <w:ind w:firstLine="420" w:firstLineChars="200"/>
              <w:rPr>
                <w:rFonts w:hint="eastAsia"/>
                <w:color w:val="auto"/>
                <w:szCs w:val="21"/>
                <w:lang w:val="en-US" w:eastAsia="zh-CN"/>
              </w:rPr>
            </w:pPr>
          </w:p>
          <w:p>
            <w:pPr>
              <w:spacing w:line="360" w:lineRule="auto"/>
              <w:ind w:firstLine="420" w:firstLineChars="200"/>
              <w:rPr>
                <w:rFonts w:hint="eastAsia"/>
                <w:color w:val="auto"/>
                <w:szCs w:val="21"/>
                <w:lang w:val="en-US" w:eastAsia="zh-CN"/>
              </w:rPr>
            </w:pPr>
          </w:p>
          <w:p>
            <w:pPr>
              <w:spacing w:line="360" w:lineRule="auto"/>
              <w:ind w:firstLine="420" w:firstLineChars="200"/>
              <w:rPr>
                <w:rFonts w:hint="eastAsia"/>
                <w:color w:val="auto"/>
                <w:szCs w:val="21"/>
                <w:lang w:val="en-US" w:eastAsia="zh-CN"/>
              </w:rPr>
            </w:pPr>
          </w:p>
          <w:p>
            <w:pPr>
              <w:spacing w:line="360" w:lineRule="auto"/>
              <w:ind w:firstLine="420" w:firstLineChars="200"/>
              <w:rPr>
                <w:rFonts w:hint="default"/>
                <w:color w:val="auto"/>
                <w:szCs w:val="21"/>
                <w:lang w:val="en-US" w:eastAsia="zh-CN"/>
              </w:rPr>
            </w:pPr>
          </w:p>
          <w:p>
            <w:pPr>
              <w:spacing w:line="360" w:lineRule="auto"/>
              <w:ind w:firstLine="420" w:firstLineChars="200"/>
              <w:rPr>
                <w:rFonts w:hint="eastAsia" w:ascii="宋体" w:hAnsi="宋体" w:cs="宋体"/>
                <w:color w:val="auto"/>
                <w:szCs w:val="24"/>
              </w:rPr>
            </w:pPr>
          </w:p>
          <w:p>
            <w:pPr>
              <w:spacing w:line="360" w:lineRule="auto"/>
              <w:ind w:firstLine="422" w:firstLineChars="200"/>
              <w:rPr>
                <w:rFonts w:hint="eastAsia" w:ascii="宋体" w:hAnsi="宋体" w:cs="宋体"/>
                <w:color w:val="auto"/>
                <w:szCs w:val="24"/>
              </w:rPr>
            </w:pPr>
            <w:r>
              <w:rPr>
                <w:rFonts w:hint="eastAsia" w:ascii="方正仿宋简体" w:eastAsia="方正仿宋简体"/>
                <w:b/>
                <w:lang w:val="en-US" w:eastAsia="zh-CN"/>
              </w:rPr>
              <w:t>未能提供原材料钢材的出厂材质单。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二、过程及成品检验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公司策划《产品质量检验制度》，根据相关标准和生产工艺的要求在各生产关键工序均设置了验收控制点，有专职质检员负责检验及验收。 </w:t>
            </w:r>
          </w:p>
          <w:p>
            <w:pPr>
              <w:spacing w:line="360" w:lineRule="auto"/>
              <w:ind w:firstLine="420" w:firstLineChars="200"/>
              <w:rPr>
                <w:rFonts w:ascii="宋体" w:hAnsi="宋体" w:cs="宋体"/>
                <w:color w:val="auto"/>
                <w:szCs w:val="24"/>
              </w:rPr>
            </w:pPr>
            <w:r>
              <w:rPr>
                <w:rFonts w:hint="eastAsia" w:ascii="宋体" w:hAnsi="宋体" w:cs="宋体"/>
                <w:color w:val="auto"/>
                <w:szCs w:val="24"/>
              </w:rPr>
              <w:t>抽</w:t>
            </w:r>
            <w:r>
              <w:rPr>
                <w:rFonts w:hint="eastAsia" w:ascii="宋体" w:hAnsi="宋体"/>
                <w:color w:val="auto"/>
                <w:szCs w:val="21"/>
                <w:lang w:eastAsia="zh-CN"/>
              </w:rPr>
              <w:t>《</w:t>
            </w:r>
            <w:r>
              <w:rPr>
                <w:rFonts w:hint="eastAsia" w:ascii="宋体" w:hAnsi="宋体"/>
                <w:color w:val="auto"/>
                <w:szCs w:val="21"/>
                <w:lang w:val="en-US" w:eastAsia="zh-CN"/>
              </w:rPr>
              <w:t>零件巡回/首件检验记录</w:t>
            </w:r>
            <w:r>
              <w:rPr>
                <w:rFonts w:hint="eastAsia" w:ascii="宋体" w:hAnsi="宋体"/>
                <w:color w:val="auto"/>
                <w:szCs w:val="21"/>
                <w:lang w:eastAsia="zh-CN"/>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过程巡查主要对生产过程进行检测，检验方式有首检和巡检。依据：《产品质量检验制度》对每批产品进行检查。</w:t>
            </w:r>
            <w:r>
              <w:rPr>
                <w:rFonts w:hint="eastAsia" w:ascii="宋体" w:hAnsi="宋体" w:cs="宋体"/>
                <w:color w:val="auto"/>
                <w:szCs w:val="24"/>
                <w:lang w:val="en-US" w:eastAsia="zh-CN"/>
              </w:rPr>
              <w:t>详见8.5.1条款。</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查《可调端盖终检报告》，检验日期：2022年10月8日。</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零件图号：C25106-A202-C109-1-6，图纸尺寸：详细检验如下：</w:t>
            </w:r>
          </w:p>
          <w:p>
            <w:pPr>
              <w:spacing w:line="360" w:lineRule="auto"/>
              <w:ind w:firstLine="420" w:firstLineChars="200"/>
              <w:rPr>
                <w:rFonts w:hint="eastAsia" w:ascii="宋体" w:hAnsi="宋体" w:cs="宋体"/>
                <w:color w:val="auto"/>
                <w:szCs w:val="24"/>
                <w:lang w:val="en-US" w:eastAsia="zh-CN"/>
              </w:rPr>
            </w:pPr>
            <w:r>
              <w:drawing>
                <wp:anchor distT="0" distB="0" distL="114300" distR="114300" simplePos="0" relativeHeight="251661312" behindDoc="0" locked="0" layoutInCell="1" allowOverlap="1">
                  <wp:simplePos x="0" y="0"/>
                  <wp:positionH relativeFrom="column">
                    <wp:posOffset>685800</wp:posOffset>
                  </wp:positionH>
                  <wp:positionV relativeFrom="paragraph">
                    <wp:posOffset>2540</wp:posOffset>
                  </wp:positionV>
                  <wp:extent cx="2536190" cy="2879725"/>
                  <wp:effectExtent l="0" t="0" r="3810"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536190" cy="2879725"/>
                          </a:xfrm>
                          <a:prstGeom prst="rect">
                            <a:avLst/>
                          </a:prstGeom>
                          <a:noFill/>
                          <a:ln>
                            <a:noFill/>
                          </a:ln>
                        </pic:spPr>
                      </pic:pic>
                    </a:graphicData>
                  </a:graphic>
                </wp:anchor>
              </w:drawing>
            </w: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hint="default" w:ascii="宋体" w:hAnsi="宋体" w:cs="宋体"/>
                <w:color w:val="auto"/>
                <w:szCs w:val="24"/>
                <w:lang w:val="en-US" w:eastAsia="zh-CN"/>
              </w:rPr>
            </w:pPr>
          </w:p>
          <w:p>
            <w:pPr>
              <w:spacing w:line="360" w:lineRule="auto"/>
              <w:ind w:firstLine="420" w:firstLineChars="200"/>
              <w:rPr>
                <w:rFonts w:hint="default" w:ascii="宋体" w:hAnsi="宋体" w:cs="宋体"/>
                <w:color w:val="auto"/>
                <w:szCs w:val="24"/>
                <w:lang w:val="en-US" w:eastAsia="zh-CN"/>
              </w:rPr>
            </w:pPr>
          </w:p>
          <w:p>
            <w:pPr>
              <w:spacing w:line="360" w:lineRule="auto"/>
              <w:ind w:firstLine="420" w:firstLineChars="200"/>
              <w:rPr>
                <w:rFonts w:hint="default" w:ascii="宋体" w:hAnsi="宋体" w:cs="宋体"/>
                <w:color w:val="auto"/>
                <w:szCs w:val="24"/>
                <w:lang w:val="en-US" w:eastAsia="zh-CN"/>
              </w:rPr>
            </w:pPr>
          </w:p>
          <w:p>
            <w:pPr>
              <w:spacing w:line="360" w:lineRule="auto"/>
              <w:ind w:firstLine="420" w:firstLineChars="200"/>
              <w:rPr>
                <w:rFonts w:hint="default" w:ascii="宋体" w:hAnsi="宋体" w:cs="宋体"/>
                <w:color w:val="auto"/>
                <w:szCs w:val="24"/>
                <w:lang w:val="en-US" w:eastAsia="zh-CN"/>
              </w:rPr>
            </w:pP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各部件出厂均有进行终检，并随工件提供给客户。</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0" w:type="auto"/>
            <w:vAlign w:val="top"/>
          </w:tcPr>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0" w:type="auto"/>
            <w:vAlign w:val="top"/>
          </w:tcPr>
          <w:p>
            <w:pPr>
              <w:rPr>
                <w:rFonts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0" w:type="auto"/>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12"/>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12"/>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12"/>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12"/>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12"/>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公司编制了《不符合输出的控制程序》，对不合格品的控制及其职责、权限及要求进行了规定。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抽查《不合格品处理单》</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发现时间：</w:t>
            </w:r>
            <w:r>
              <w:rPr>
                <w:rFonts w:hint="eastAsia" w:ascii="宋体" w:hAnsi="宋体"/>
                <w:color w:val="auto"/>
                <w:sz w:val="21"/>
                <w:szCs w:val="21"/>
                <w:lang w:eastAsia="zh-CN"/>
              </w:rPr>
              <w:t>2022</w:t>
            </w:r>
            <w:r>
              <w:rPr>
                <w:rFonts w:hint="eastAsia" w:ascii="宋体" w:hAnsi="宋体"/>
                <w:color w:val="auto"/>
                <w:sz w:val="21"/>
                <w:szCs w:val="21"/>
              </w:rPr>
              <w:t>.</w:t>
            </w:r>
            <w:r>
              <w:rPr>
                <w:rFonts w:hint="eastAsia" w:ascii="宋体" w:hAnsi="宋体"/>
                <w:color w:val="auto"/>
                <w:sz w:val="21"/>
                <w:szCs w:val="21"/>
                <w:lang w:val="en-US" w:eastAsia="zh-CN"/>
              </w:rPr>
              <w:t>11</w:t>
            </w:r>
            <w:r>
              <w:rPr>
                <w:rFonts w:hint="eastAsia" w:ascii="宋体" w:hAnsi="宋体"/>
                <w:color w:val="auto"/>
                <w:sz w:val="21"/>
                <w:szCs w:val="21"/>
              </w:rPr>
              <w:t>.</w:t>
            </w:r>
            <w:r>
              <w:rPr>
                <w:rFonts w:hint="eastAsia" w:ascii="宋体" w:hAnsi="宋体"/>
                <w:color w:val="auto"/>
                <w:sz w:val="21"/>
                <w:szCs w:val="21"/>
                <w:lang w:val="en-US" w:eastAsia="zh-CN"/>
              </w:rPr>
              <w:t>23</w:t>
            </w:r>
          </w:p>
          <w:p>
            <w:pPr>
              <w:spacing w:line="360" w:lineRule="auto"/>
              <w:rPr>
                <w:rFonts w:ascii="宋体" w:hAnsi="宋体"/>
                <w:color w:val="auto"/>
                <w:sz w:val="21"/>
                <w:szCs w:val="21"/>
              </w:rPr>
            </w:pPr>
            <w:r>
              <w:rPr>
                <w:rFonts w:hint="eastAsia" w:ascii="宋体" w:hAnsi="宋体"/>
                <w:color w:val="auto"/>
                <w:sz w:val="21"/>
                <w:szCs w:val="21"/>
              </w:rPr>
              <w:t>不合格范畴：生产过程中</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接点座</w:t>
            </w:r>
            <w:bookmarkStart w:id="0" w:name="_GoBack"/>
            <w:bookmarkEnd w:id="0"/>
            <w:r>
              <w:rPr>
                <w:rFonts w:hint="eastAsia" w:ascii="宋体" w:hAnsi="宋体"/>
                <w:color w:val="auto"/>
                <w:sz w:val="21"/>
                <w:szCs w:val="21"/>
              </w:rPr>
              <w:t>尺寸变形。</w:t>
            </w:r>
          </w:p>
          <w:p>
            <w:pPr>
              <w:spacing w:line="360" w:lineRule="auto"/>
              <w:rPr>
                <w:rFonts w:ascii="宋体" w:hAnsi="宋体"/>
                <w:color w:val="auto"/>
                <w:sz w:val="21"/>
                <w:szCs w:val="21"/>
              </w:rPr>
            </w:pPr>
            <w:r>
              <w:rPr>
                <w:rFonts w:hint="eastAsia" w:ascii="宋体" w:hAnsi="宋体"/>
                <w:color w:val="auto"/>
                <w:sz w:val="21"/>
                <w:szCs w:val="21"/>
              </w:rPr>
              <w:t>不合格程度：一般</w:t>
            </w:r>
          </w:p>
          <w:p>
            <w:pPr>
              <w:spacing w:line="360" w:lineRule="auto"/>
              <w:rPr>
                <w:rFonts w:ascii="宋体" w:hAnsi="宋体"/>
                <w:color w:val="auto"/>
                <w:sz w:val="21"/>
                <w:szCs w:val="21"/>
              </w:rPr>
            </w:pPr>
            <w:r>
              <w:rPr>
                <w:rFonts w:hint="eastAsia" w:ascii="宋体" w:hAnsi="宋体"/>
                <w:color w:val="auto"/>
                <w:sz w:val="21"/>
                <w:szCs w:val="21"/>
              </w:rPr>
              <w:t>处置方案：报废</w:t>
            </w:r>
          </w:p>
          <w:p>
            <w:pPr>
              <w:spacing w:line="360" w:lineRule="auto"/>
              <w:rPr>
                <w:rFonts w:ascii="宋体" w:hAnsi="宋体"/>
                <w:color w:val="auto"/>
                <w:sz w:val="21"/>
                <w:szCs w:val="21"/>
              </w:rPr>
            </w:pPr>
            <w:r>
              <w:rPr>
                <w:rFonts w:hint="eastAsia" w:ascii="宋体" w:hAnsi="宋体"/>
                <w:color w:val="auto"/>
                <w:sz w:val="21"/>
                <w:szCs w:val="21"/>
              </w:rPr>
              <w:t>验证情况：已报废</w:t>
            </w:r>
          </w:p>
          <w:p>
            <w:pPr>
              <w:spacing w:line="360" w:lineRule="auto"/>
              <w:rPr>
                <w:rFonts w:ascii="宋体" w:hAnsi="宋体"/>
                <w:color w:val="auto"/>
                <w:sz w:val="21"/>
                <w:szCs w:val="21"/>
              </w:rPr>
            </w:pPr>
            <w:r>
              <w:rPr>
                <w:rFonts w:hint="eastAsia" w:ascii="宋体" w:hAnsi="宋体"/>
                <w:color w:val="auto"/>
                <w:sz w:val="21"/>
                <w:szCs w:val="21"/>
              </w:rPr>
              <w:t>验证人：窦小云</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5DE3518"/>
    <w:rsid w:val="06D05FB9"/>
    <w:rsid w:val="0AEC0234"/>
    <w:rsid w:val="0EEA758E"/>
    <w:rsid w:val="11705158"/>
    <w:rsid w:val="138166F3"/>
    <w:rsid w:val="1459469E"/>
    <w:rsid w:val="156C2EC6"/>
    <w:rsid w:val="16EC2496"/>
    <w:rsid w:val="16ED6515"/>
    <w:rsid w:val="21EA73C7"/>
    <w:rsid w:val="24FA762C"/>
    <w:rsid w:val="2ADE1A26"/>
    <w:rsid w:val="2B216E5F"/>
    <w:rsid w:val="2D7D3157"/>
    <w:rsid w:val="2FBB7045"/>
    <w:rsid w:val="31137B7F"/>
    <w:rsid w:val="31BB05B2"/>
    <w:rsid w:val="320954CD"/>
    <w:rsid w:val="320F59C6"/>
    <w:rsid w:val="3258209D"/>
    <w:rsid w:val="361F0261"/>
    <w:rsid w:val="370B3C1D"/>
    <w:rsid w:val="377E6F5F"/>
    <w:rsid w:val="3C7D3F04"/>
    <w:rsid w:val="3C9A4263"/>
    <w:rsid w:val="41A93646"/>
    <w:rsid w:val="42BC72BB"/>
    <w:rsid w:val="437A5885"/>
    <w:rsid w:val="45D160F5"/>
    <w:rsid w:val="4B807912"/>
    <w:rsid w:val="4C9B6335"/>
    <w:rsid w:val="50E54DB4"/>
    <w:rsid w:val="543A3B58"/>
    <w:rsid w:val="55487803"/>
    <w:rsid w:val="557B4AA4"/>
    <w:rsid w:val="58C568E8"/>
    <w:rsid w:val="58F37105"/>
    <w:rsid w:val="5C937918"/>
    <w:rsid w:val="62B611F1"/>
    <w:rsid w:val="63B173AA"/>
    <w:rsid w:val="63D7368E"/>
    <w:rsid w:val="641E2BAA"/>
    <w:rsid w:val="65597D04"/>
    <w:rsid w:val="65CE2F52"/>
    <w:rsid w:val="68602915"/>
    <w:rsid w:val="6DAB0DCB"/>
    <w:rsid w:val="6EA8081B"/>
    <w:rsid w:val="6EF2452E"/>
    <w:rsid w:val="7775666C"/>
    <w:rsid w:val="7C432C15"/>
    <w:rsid w:val="7C480CB4"/>
    <w:rsid w:val="7C6631E3"/>
    <w:rsid w:val="7DD56214"/>
    <w:rsid w:val="7F8E5910"/>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2023-01-02T03:07:10Z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31C38BA5AB5C43BDB36157BB32F96EC3</vt:lpwstr>
  </property>
</Properties>
</file>