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0911-2021-Q-2022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四川华盛竹业有限责任公司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四川华盛竹业有限责任公司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四川省泸州市合江县临港工业园区张湾片区化肥厂旁</w:t>
            </w:r>
            <w:bookmarkEnd w:id="6"/>
          </w:p>
        </w:tc>
        <w:tc>
          <w:tcPr>
            <w:tcW w:w="1242" w:type="dxa"/>
            <w:vMerge w:val="restart"/>
            <w:vAlign w:val="center"/>
          </w:tcPr>
          <w:p>
            <w:r>
              <w:rPr>
                <w:rFonts w:hint="eastAsia"/>
              </w:rPr>
              <w:t>邮编</w:t>
            </w:r>
          </w:p>
        </w:tc>
        <w:tc>
          <w:tcPr>
            <w:tcW w:w="1771" w:type="dxa"/>
          </w:tcPr>
          <w:p>
            <w:bookmarkStart w:id="7" w:name="注册邮编"/>
            <w:r>
              <w:t>646000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四川省泸州市合江县临港工业园区</w:t>
            </w:r>
            <w:bookmarkEnd w:id="8"/>
          </w:p>
        </w:tc>
        <w:tc>
          <w:tcPr>
            <w:tcW w:w="1242" w:type="dxa"/>
            <w:vMerge w:val="continue"/>
            <w:vAlign w:val="center"/>
          </w:tcPr>
          <w:p/>
        </w:tc>
        <w:tc>
          <w:tcPr>
            <w:tcW w:w="1771" w:type="dxa"/>
          </w:tcPr>
          <w:p>
            <w:bookmarkStart w:id="9" w:name="办公邮编"/>
            <w:r>
              <w:t>646000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李治宏</w:t>
            </w:r>
            <w:bookmarkEnd w:id="10"/>
          </w:p>
        </w:tc>
        <w:tc>
          <w:tcPr>
            <w:tcW w:w="1313" w:type="dxa"/>
            <w:vAlign w:val="center"/>
          </w:tcPr>
          <w:p>
            <w:r>
              <w:rPr>
                <w:rFonts w:hint="eastAsia"/>
              </w:rPr>
              <w:t>电话.</w:t>
            </w:r>
          </w:p>
        </w:tc>
        <w:tc>
          <w:tcPr>
            <w:tcW w:w="2180" w:type="dxa"/>
            <w:vAlign w:val="center"/>
          </w:tcPr>
          <w:p>
            <w:bookmarkStart w:id="11" w:name="联系人电话"/>
            <w:r>
              <w:t>15183070831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邓龙木</w:t>
            </w:r>
            <w:bookmarkEnd w:id="13"/>
          </w:p>
        </w:tc>
        <w:tc>
          <w:tcPr>
            <w:tcW w:w="1313" w:type="dxa"/>
            <w:vAlign w:val="center"/>
          </w:tcPr>
          <w:p>
            <w:r>
              <w:rPr>
                <w:rFonts w:hint="eastAsia"/>
              </w:rPr>
              <w:t>管理者代表</w:t>
            </w:r>
          </w:p>
        </w:tc>
        <w:tc>
          <w:tcPr>
            <w:tcW w:w="2180" w:type="dxa"/>
          </w:tcPr>
          <w:p>
            <w:bookmarkStart w:id="14" w:name="管理者代表"/>
            <w:r>
              <w:t>李治宏</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断料开片疏解——碳化——浸胶——干燥——胶压——铣型——砂光——包装</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2022年12月12日 上午至2022年12月13日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color w:val="FF0000"/>
                <w:lang w:val="en-US" w:eastAsia="zh-CN"/>
              </w:rPr>
              <w:t>+恢复</w:t>
            </w:r>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bookmarkStart w:id="29" w:name="办公地址"/>
            <w:r>
              <w:t>四川省泸州市合江县临港工业园区</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0" w:name="审核范围"/>
            <w:r>
              <w:t>竹基纤维复合板的生产</w:t>
            </w:r>
            <w:bookmarkEnd w:id="3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1" w:name="专业代码"/>
            <w:r>
              <w:t>06.02.01</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default" w:eastAsia="宋体"/>
                <w:lang w:val="en-US" w:eastAsia="zh-CN"/>
              </w:rPr>
            </w:pPr>
            <w:r>
              <w:rPr>
                <w:rFonts w:hint="eastAsia"/>
                <w:lang w:val="en-US" w:eastAsia="zh-CN"/>
              </w:rPr>
              <w:t>2021年9月6日</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default" w:eastAsia="宋体"/>
                <w:lang w:val="en-US" w:eastAsia="zh-CN"/>
              </w:rPr>
            </w:pPr>
            <w:r>
              <w:rPr>
                <w:rFonts w:hint="eastAsia"/>
              </w:rPr>
              <w:t>有效至</w:t>
            </w:r>
            <w:r>
              <w:rPr>
                <w:rFonts w:hint="eastAsia"/>
                <w:lang w:val="en-US" w:eastAsia="zh-CN"/>
              </w:rPr>
              <w:t>2024年10月24日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黑体" w:cs="Times New Roman"/>
                <w:kern w:val="2"/>
                <w:sz w:val="21"/>
                <w:szCs w:val="21"/>
                <w:lang w:val="de-DE" w:eastAsia="ja-JP" w:bidi="ar-SA"/>
              </w:rPr>
            </w:pPr>
            <w:r>
              <w:rPr>
                <w:rFonts w:hint="eastAsia" w:eastAsia="黑体"/>
                <w:szCs w:val="21"/>
                <w:lang w:val="de-DE" w:eastAsia="ja-JP"/>
              </w:rPr>
              <w:t>四川华盛竹业有限责任公司</w:t>
            </w:r>
            <w:r>
              <w:rPr>
                <w:rFonts w:hint="eastAsia" w:eastAsia="黑体"/>
                <w:szCs w:val="21"/>
                <w:lang w:val="en-US" w:eastAsia="zh-CN"/>
              </w:rPr>
              <w:t>/四川省泸州市合江县临港工业园区张湾片区化肥厂旁</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eastAsia="黑体"/>
                <w:color w:val="FF0000"/>
                <w:szCs w:val="21"/>
                <w:lang w:val="en-US" w:eastAsia="zh-CN"/>
              </w:rPr>
              <w:t>四川省泸州市合江县临港工业园区</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81</w:t>
            </w:r>
          </w:p>
        </w:tc>
        <w:tc>
          <w:tcPr>
            <w:tcW w:w="2803" w:type="dxa"/>
            <w:vAlign w:val="center"/>
          </w:tcPr>
          <w:p>
            <w:pPr>
              <w:pStyle w:val="20"/>
              <w:rPr>
                <w:rFonts w:ascii="Times New Roman" w:hAnsi="Times New Roman" w:eastAsia="黑体" w:cs="Arial"/>
                <w:kern w:val="2"/>
                <w:sz w:val="21"/>
                <w:szCs w:val="21"/>
                <w:lang w:val="en-US" w:eastAsia="ja-JP" w:bidi="ar-SA"/>
              </w:rPr>
            </w:pPr>
            <w:r>
              <w:rPr>
                <w:rFonts w:hint="eastAsia" w:eastAsia="黑体" w:cs="Arial"/>
                <w:sz w:val="21"/>
                <w:szCs w:val="21"/>
                <w:lang w:val="en-US" w:eastAsia="ja-JP"/>
              </w:rPr>
              <w:t>竹基纤维复合板的生产</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eastAsia="ja-JP"/>
              </w:rPr>
              <w:t>GB/T19001-2016/ISO 9001:2015</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组长</w:t>
            </w:r>
          </w:p>
        </w:tc>
        <w:tc>
          <w:tcPr>
            <w:tcW w:w="711" w:type="dxa"/>
            <w:vAlign w:val="center"/>
          </w:tcPr>
          <w:p>
            <w:r>
              <w:t>男</w:t>
            </w:r>
          </w:p>
        </w:tc>
        <w:tc>
          <w:tcPr>
            <w:tcW w:w="3870" w:type="dxa"/>
            <w:vAlign w:val="center"/>
          </w:tcPr>
          <w:p>
            <w:r>
              <w:t>2020-N1QMS-1262293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邓清梅</w:t>
            </w:r>
          </w:p>
        </w:tc>
        <w:tc>
          <w:tcPr>
            <w:tcW w:w="1089" w:type="dxa"/>
            <w:vAlign w:val="center"/>
          </w:tcPr>
          <w:p>
            <w:r>
              <w:t>组员</w:t>
            </w:r>
          </w:p>
        </w:tc>
        <w:tc>
          <w:tcPr>
            <w:tcW w:w="711" w:type="dxa"/>
            <w:vAlign w:val="center"/>
          </w:tcPr>
          <w:p>
            <w:r>
              <w:t>女</w:t>
            </w:r>
          </w:p>
        </w:tc>
        <w:tc>
          <w:tcPr>
            <w:tcW w:w="3870" w:type="dxa"/>
            <w:vAlign w:val="center"/>
          </w:tcPr>
          <w:p>
            <w:r>
              <w:t>ISC-JSZJ-378</w:t>
            </w:r>
          </w:p>
          <w:p>
            <w:r>
              <w:t>成都和恒竹业有限公司</w:t>
            </w:r>
          </w:p>
        </w:tc>
        <w:tc>
          <w:tcPr>
            <w:tcW w:w="2179" w:type="dxa"/>
            <w:vAlign w:val="center"/>
          </w:tcPr>
          <w:p>
            <w:r>
              <w:t>06.02.01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已完成整改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rPr>
        <w:sym w:font="Wingdings 2" w:char="0052"/>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竹基纤维复合板的生产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401320</wp:posOffset>
                  </wp:positionH>
                  <wp:positionV relativeFrom="paragraph">
                    <wp:posOffset>60325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2022年12月14日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t>□新产品设计开发□原材料采购□外部供方控制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以身作则 </w:t>
            </w:r>
            <w:r>
              <w:rPr>
                <w:rFonts w:hint="eastAsia"/>
                <w:lang w:eastAsia="zh-CN"/>
              </w:rPr>
              <w:t>☑</w:t>
            </w:r>
            <w:r>
              <w:rPr>
                <w:rFonts w:hint="eastAsia"/>
              </w:rPr>
              <w:t xml:space="preserve">建立机制 □法规宣传 </w:t>
            </w:r>
            <w:r>
              <w:rPr>
                <w:rFonts w:hint="eastAsia"/>
                <w:lang w:eastAsia="zh-CN"/>
              </w:rPr>
              <w:t>☑</w:t>
            </w:r>
            <w:r>
              <w:rPr>
                <w:rFonts w:hint="eastAsia"/>
              </w:rPr>
              <w:t>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最高管理者制定了文件化的管理体系方针：</w:t>
            </w:r>
            <w:r>
              <w:rPr>
                <w:rFonts w:hint="eastAsia"/>
                <w:u w:val="single"/>
              </w:rPr>
              <w:t xml:space="preserve">   诚实守信，质量为本，客户为尊，服务至上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eastAsia="zh-CN"/>
              </w:rPr>
              <w:t>综合管理部</w:t>
            </w:r>
          </w:p>
          <w:p>
            <w:pPr>
              <w:shd w:val="clear" w:color="auto" w:fill="C7DAF1" w:themeFill="text2"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15"/>
                      <w:szCs w:val="15"/>
                      <w:highlight w:val="none"/>
                      <w:lang w:val="en-US" w:eastAsia="zh-CN" w:bidi="ar-SA"/>
                    </w:rPr>
                  </w:pPr>
                  <w:r>
                    <w:rPr>
                      <w:rFonts w:hint="eastAsia"/>
                      <w:color w:val="000000"/>
                      <w:sz w:val="15"/>
                      <w:szCs w:val="15"/>
                      <w:highlight w:val="none"/>
                    </w:rPr>
                    <w:t>产品一次交验合格率96%以上</w:t>
                  </w:r>
                </w:p>
              </w:tc>
              <w:tc>
                <w:tcPr>
                  <w:tcW w:w="3136"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color w:val="000000"/>
                      <w:sz w:val="18"/>
                      <w:szCs w:val="18"/>
                      <w:highlight w:val="none"/>
                      <w:lang w:eastAsia="zh-CN"/>
                    </w:rPr>
                    <w:t>交验合格产品数</w:t>
                  </w:r>
                  <w:r>
                    <w:rPr>
                      <w:rFonts w:hint="eastAsia"/>
                      <w:color w:val="000000"/>
                      <w:sz w:val="18"/>
                      <w:szCs w:val="18"/>
                      <w:highlight w:val="none"/>
                      <w:lang w:val="en-US" w:eastAsia="zh-CN"/>
                    </w:rPr>
                    <w:t>/交验产品总数*100%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highlight w:val="none"/>
                      <w:lang w:val="en-GB" w:eastAsia="zh-CN" w:bidi="ar-SA"/>
                    </w:rPr>
                  </w:pPr>
                  <w:r>
                    <w:rPr>
                      <w:rFonts w:hint="eastAsia"/>
                      <w:highlight w:val="none"/>
                      <w:lang w:val="en-GB" w:eastAsia="zh-CN"/>
                    </w:rPr>
                    <w:t>品控部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GB" w:eastAsia="zh-CN" w:bidi="ar-SA"/>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15"/>
                      <w:szCs w:val="15"/>
                      <w:highlight w:val="none"/>
                      <w:lang w:val="en-US" w:eastAsia="zh-CN" w:bidi="ar-SA"/>
                    </w:rPr>
                  </w:pPr>
                  <w:r>
                    <w:rPr>
                      <w:rFonts w:hint="eastAsia"/>
                      <w:color w:val="000000"/>
                      <w:sz w:val="15"/>
                      <w:szCs w:val="15"/>
                      <w:highlight w:val="none"/>
                    </w:rPr>
                    <w:t>合同履约率100%</w:t>
                  </w: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 w:val="18"/>
                      <w:szCs w:val="18"/>
                      <w:highlight w:val="none"/>
                      <w:lang w:eastAsia="zh-CN"/>
                    </w:rPr>
                    <w:t>合同履约数</w:t>
                  </w:r>
                  <w:r>
                    <w:rPr>
                      <w:rFonts w:hint="eastAsia"/>
                      <w:color w:val="000000"/>
                      <w:sz w:val="18"/>
                      <w:szCs w:val="18"/>
                      <w:highlight w:val="none"/>
                      <w:lang w:val="en-US" w:eastAsia="zh-CN"/>
                    </w:rPr>
                    <w:t>/合同履约总数*100%</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highlight w:val="none"/>
                      <w:lang w:val="en-US" w:eastAsia="zh-CN" w:bidi="ar-SA"/>
                    </w:rPr>
                  </w:pPr>
                  <w:r>
                    <w:rPr>
                      <w:rFonts w:hint="eastAsia" w:ascii="宋体" w:hAnsi="宋体"/>
                      <w:highlight w:val="none"/>
                      <w:lang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ascii="Times New Roman" w:hAnsi="Times New Roman" w:eastAsia="宋体" w:cs="Times New Roman"/>
                      <w:color w:val="000000"/>
                      <w:kern w:val="2"/>
                      <w:sz w:val="15"/>
                      <w:szCs w:val="15"/>
                      <w:highlight w:val="none"/>
                      <w:lang w:val="en-US" w:eastAsia="zh-CN" w:bidi="ar-SA"/>
                    </w:rPr>
                  </w:pPr>
                  <w:r>
                    <w:rPr>
                      <w:rFonts w:hint="eastAsia"/>
                      <w:color w:val="000000"/>
                      <w:sz w:val="15"/>
                      <w:szCs w:val="15"/>
                      <w:highlight w:val="none"/>
                    </w:rPr>
                    <w:t>顾客满意率90%以上</w:t>
                  </w:r>
                </w:p>
              </w:tc>
              <w:tc>
                <w:tcPr>
                  <w:tcW w:w="3136" w:type="dxa"/>
                  <w:shd w:val="clear" w:color="auto" w:fill="auto"/>
                  <w:vAlign w:val="top"/>
                </w:tcPr>
                <w:p>
                  <w:pPr>
                    <w:widowControl/>
                    <w:spacing w:before="40"/>
                    <w:jc w:val="left"/>
                    <w:rPr>
                      <w:rFonts w:ascii="Times New Roman" w:hAnsi="Times New Roman" w:eastAsia="宋体" w:cs="Times New Roman"/>
                      <w:color w:val="000000"/>
                      <w:kern w:val="2"/>
                      <w:sz w:val="21"/>
                      <w:szCs w:val="18"/>
                      <w:highlight w:val="none"/>
                      <w:lang w:val="en-US" w:eastAsia="zh-CN" w:bidi="ar-SA"/>
                    </w:rPr>
                  </w:pPr>
                  <w:r>
                    <w:rPr>
                      <w:rFonts w:hint="eastAsia"/>
                      <w:color w:val="000000"/>
                      <w:sz w:val="18"/>
                      <w:szCs w:val="18"/>
                      <w:highlight w:val="none"/>
                      <w:lang w:eastAsia="zh-CN"/>
                    </w:rPr>
                    <w:t>所有顾客满意率之和</w:t>
                  </w:r>
                  <w:r>
                    <w:rPr>
                      <w:rFonts w:hint="eastAsia"/>
                      <w:color w:val="000000"/>
                      <w:sz w:val="18"/>
                      <w:szCs w:val="18"/>
                      <w:highlight w:val="none"/>
                      <w:lang w:val="en-US" w:eastAsia="zh-CN"/>
                    </w:rPr>
                    <w:t>/顾客总数*100%</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highlight w:val="none"/>
                      <w:lang w:val="en-US" w:eastAsia="zh-CN" w:bidi="ar-SA"/>
                    </w:rPr>
                  </w:pPr>
                  <w:r>
                    <w:rPr>
                      <w:rFonts w:hint="eastAsia" w:ascii="宋体" w:hAnsi="宋体"/>
                      <w:highlight w:val="none"/>
                      <w:lang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10000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个；</w:t>
            </w:r>
          </w:p>
          <w:p>
            <w:pPr>
              <w:shd w:val="clear" w:color="auto" w:fill="C7DAF1" w:themeFill="text2" w:themeFillTint="32"/>
              <w:rPr>
                <w:highlight w:val="none"/>
                <w:u w:val="single"/>
              </w:rPr>
            </w:pPr>
            <w:r>
              <w:rPr>
                <w:rFonts w:hint="eastAsia"/>
                <w:highlight w:val="none"/>
              </w:rPr>
              <w:t>主要生产设备有：</w:t>
            </w:r>
            <w:r>
              <w:rPr>
                <w:rFonts w:hint="eastAsia"/>
                <w:highlight w:val="none"/>
                <w:u w:val="single"/>
              </w:rPr>
              <w:t xml:space="preserve">   锯断机、竹材展平粗铣梳解机、压机、刨砂机、疏解机等 （列举2~4种）</w:t>
            </w:r>
          </w:p>
          <w:p>
            <w:pPr>
              <w:shd w:val="clear" w:color="auto" w:fill="C7DAF1" w:themeFill="text2" w:themeFillTint="32"/>
              <w:rPr>
                <w:highlight w:val="none"/>
              </w:rPr>
            </w:pPr>
            <w:r>
              <w:rPr>
                <w:rFonts w:hint="eastAsia"/>
                <w:highlight w:val="none"/>
              </w:rPr>
              <w:t>特种设备：</w:t>
            </w:r>
            <w:r>
              <w:rPr>
                <w:rFonts w:hint="eastAsia" w:ascii="Wingdings" w:hAnsi="Wingdings"/>
                <w:highlight w:val="none"/>
                <w:lang w:eastAsia="zh-CN"/>
              </w:rPr>
              <w:t>☑</w:t>
            </w:r>
            <w:r>
              <w:rPr>
                <w:rFonts w:hint="eastAsia"/>
                <w:highlight w:val="none"/>
              </w:rPr>
              <w:t xml:space="preserve">叉车 </w:t>
            </w:r>
            <w:r>
              <w:rPr>
                <w:rFonts w:hint="eastAsia" w:ascii="Wingdings" w:hAnsi="Wingdings"/>
                <w:highlight w:val="none"/>
                <w:lang w:eastAsia="zh-CN"/>
              </w:rPr>
              <w:t>□</w:t>
            </w:r>
            <w:r>
              <w:rPr>
                <w:rFonts w:hint="eastAsia"/>
                <w:highlight w:val="none"/>
              </w:rPr>
              <w:t xml:space="preserve">行车 </w:t>
            </w:r>
            <w:r>
              <w:rPr>
                <w:rFonts w:hint="eastAsia" w:ascii="Wingdings" w:hAnsi="Wingdings"/>
                <w:highlight w:val="none"/>
                <w:lang w:eastAsia="zh-CN"/>
              </w:rPr>
              <w:t>☑</w:t>
            </w:r>
            <w:r>
              <w:rPr>
                <w:rFonts w:hint="eastAsia"/>
                <w:highlight w:val="none"/>
              </w:rPr>
              <w:t xml:space="preserve">锅炉 </w:t>
            </w:r>
            <w:r>
              <w:rPr>
                <w:rFonts w:hint="eastAsia" w:ascii="Wingdings" w:hAnsi="Wingdings"/>
                <w:highlight w:val="none"/>
                <w:lang w:eastAsia="zh-CN"/>
              </w:rPr>
              <w:t>□</w:t>
            </w:r>
            <w:r>
              <w:rPr>
                <w:rFonts w:hint="eastAsia"/>
                <w:highlight w:val="none"/>
              </w:rPr>
              <w:t xml:space="preserve">电梯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压力管道  </w:t>
            </w:r>
            <w:r>
              <w:rPr>
                <w:rFonts w:hint="eastAsia" w:ascii="Wingdings" w:hAnsi="Wingdings"/>
                <w:highlight w:val="none"/>
                <w:lang w:eastAsia="zh-CN"/>
              </w:rPr>
              <w:t>□</w:t>
            </w:r>
            <w:r>
              <w:rPr>
                <w:rFonts w:hint="eastAsia"/>
                <w:highlight w:val="none"/>
              </w:rPr>
              <w:t xml:space="preserve">不适用  </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rFonts w:ascii="Times New Roman" w:hAnsi="Times New Roman" w:eastAsia="宋体" w:cs="Times New Roman"/>
                <w:kern w:val="2"/>
                <w:sz w:val="21"/>
                <w:szCs w:val="24"/>
                <w:u w:val="single"/>
                <w:lang w:val="en-US" w:eastAsia="zh-CN" w:bidi="ar-SA"/>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none"/>
              </w:rPr>
            </w:pPr>
            <w:r>
              <w:rPr>
                <w:rFonts w:hint="eastAsia"/>
              </w:rPr>
              <w:t>组织</w:t>
            </w:r>
            <w:r>
              <w:rPr>
                <w:rFonts w:hint="eastAsia"/>
                <w:highlight w:val="none"/>
              </w:rPr>
              <w:t>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 xml:space="preserve">外校 </w:t>
            </w:r>
          </w:p>
          <w:p>
            <w:pPr>
              <w:shd w:val="clear" w:color="auto" w:fill="C7DAF1" w:themeFill="text2" w:themeFillTint="32"/>
              <w:rPr>
                <w:highlight w:val="none"/>
                <w:u w:val="single"/>
              </w:rPr>
            </w:pPr>
            <w:r>
              <w:rPr>
                <w:rFonts w:hint="eastAsia"/>
                <w:highlight w:val="none"/>
              </w:rPr>
              <w:t>国家强检的计量器具有：</w:t>
            </w:r>
            <w:r>
              <w:rPr>
                <w:rFonts w:hint="eastAsia"/>
                <w:highlight w:val="none"/>
                <w:u w:val="single"/>
              </w:rPr>
              <w:t xml:space="preserve">  </w:t>
            </w:r>
            <w:r>
              <w:rPr>
                <w:rFonts w:hint="eastAsia"/>
                <w:highlight w:val="none"/>
                <w:u w:val="single"/>
                <w:lang w:eastAsia="zh-CN"/>
              </w:rPr>
              <w:t>台秤、地磅</w:t>
            </w:r>
            <w:r>
              <w:rPr>
                <w:rFonts w:hint="eastAsia"/>
                <w:highlight w:val="none"/>
                <w:u w:val="single"/>
              </w:rPr>
              <w:t xml:space="preserve">   （列举1~4种）</w:t>
            </w:r>
          </w:p>
          <w:p>
            <w:pPr>
              <w:shd w:val="clear" w:color="auto" w:fill="C7DAF1" w:themeFill="text2" w:themeFillTint="32"/>
              <w:rPr>
                <w:rFonts w:ascii="Times New Roman" w:hAnsi="Times New Roman" w:eastAsia="宋体" w:cs="Times New Roman"/>
                <w:kern w:val="2"/>
                <w:sz w:val="21"/>
                <w:szCs w:val="24"/>
                <w:u w:val="single"/>
                <w:lang w:val="en-US" w:eastAsia="zh-CN" w:bidi="ar-SA"/>
              </w:rPr>
            </w:pPr>
            <w:r>
              <w:rPr>
                <w:rFonts w:hint="eastAsia"/>
                <w:highlight w:val="none"/>
              </w:rPr>
              <w:t>计量器具管理：</w:t>
            </w:r>
            <w:r>
              <w:rPr>
                <w:rFonts w:hint="eastAsia" w:ascii="Wingdings" w:hAnsi="Wingdings"/>
                <w:highlight w:val="none"/>
                <w:lang w:eastAsia="zh-CN"/>
              </w:rPr>
              <w:sym w:font="Wingdings 2" w:char="0052"/>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未进行定期校准/检定的有：</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sym w:font="Wingdings 2" w:char="0052"/>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rPr>
                <w:highlight w:val="none"/>
              </w:rPr>
            </w:pPr>
            <w:r>
              <w:rPr>
                <w:rFonts w:hint="eastAsia"/>
                <w:highlight w:val="none"/>
              </w:rPr>
              <w:t>对国家规定持证上岗的人员资质进行了有效的管理。</w:t>
            </w:r>
          </w:p>
          <w:p>
            <w:pPr>
              <w:shd w:val="clear" w:color="auto" w:fill="C7DAF1" w:themeFill="text2" w:themeFillTint="32"/>
              <w:rPr>
                <w:highlight w:val="none"/>
              </w:rPr>
            </w:pPr>
            <w:r>
              <w:rPr>
                <w:rFonts w:hint="eastAsia"/>
                <w:highlight w:val="none"/>
              </w:rPr>
              <w:t>特种作业人员：</w:t>
            </w:r>
            <w:r>
              <w:rPr>
                <w:rFonts w:hint="eastAsia" w:ascii="Wingdings" w:hAnsi="Wingdings"/>
                <w:highlight w:val="none"/>
                <w:lang w:eastAsia="zh-CN"/>
              </w:rPr>
              <w:t>☑</w:t>
            </w:r>
            <w:r>
              <w:rPr>
                <w:rFonts w:hint="eastAsia"/>
                <w:highlight w:val="none"/>
              </w:rPr>
              <w:t xml:space="preserve">电工 </w:t>
            </w:r>
            <w:r>
              <w:rPr>
                <w:rFonts w:hint="eastAsia" w:ascii="Wingdings" w:hAnsi="Wingdings"/>
                <w:highlight w:val="none"/>
                <w:lang w:eastAsia="zh-CN"/>
              </w:rPr>
              <w:t>□</w:t>
            </w:r>
            <w:r>
              <w:rPr>
                <w:rFonts w:hint="eastAsia"/>
                <w:highlight w:val="none"/>
              </w:rPr>
              <w:t xml:space="preserve">焊工  </w:t>
            </w:r>
            <w:r>
              <w:rPr>
                <w:rFonts w:hint="eastAsia" w:ascii="Wingdings" w:hAnsi="Wingdings"/>
                <w:highlight w:val="none"/>
                <w:lang w:eastAsia="zh-CN"/>
              </w:rPr>
              <w:t>□</w:t>
            </w:r>
            <w:r>
              <w:rPr>
                <w:rFonts w:hint="eastAsia"/>
                <w:highlight w:val="none"/>
              </w:rPr>
              <w:t xml:space="preserve">危化品作业  </w:t>
            </w:r>
            <w:r>
              <w:rPr>
                <w:rFonts w:hint="eastAsia" w:ascii="Wingdings" w:hAnsi="Wingdings"/>
                <w:highlight w:val="none"/>
                <w:lang w:eastAsia="zh-CN"/>
              </w:rPr>
              <w:t>□</w:t>
            </w:r>
            <w:r>
              <w:rPr>
                <w:rFonts w:hint="eastAsia"/>
                <w:highlight w:val="none"/>
              </w:rPr>
              <w:t xml:space="preserve">制冷工   </w:t>
            </w:r>
            <w:r>
              <w:rPr>
                <w:rFonts w:hint="eastAsia" w:ascii="Wingdings" w:hAnsi="Wingdings"/>
                <w:highlight w:val="none"/>
                <w:lang w:eastAsia="zh-CN"/>
              </w:rPr>
              <w:t>□</w:t>
            </w:r>
            <w:r>
              <w:rPr>
                <w:rFonts w:hint="eastAsia"/>
                <w:highlight w:val="none"/>
              </w:rPr>
              <w:t xml:space="preserve">其他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highlight w:val="none"/>
              </w:rPr>
              <w:t>特种设备作业人员：</w:t>
            </w:r>
            <w:r>
              <w:rPr>
                <w:rFonts w:hint="eastAsia" w:ascii="Wingdings" w:hAnsi="Wingdings"/>
                <w:highlight w:val="none"/>
                <w:lang w:eastAsia="zh-CN"/>
              </w:rPr>
              <w:t>☑</w:t>
            </w:r>
            <w:r>
              <w:rPr>
                <w:rFonts w:hint="eastAsia"/>
                <w:highlight w:val="none"/>
              </w:rPr>
              <w:t xml:space="preserve">叉车工 </w:t>
            </w:r>
            <w:r>
              <w:rPr>
                <w:rFonts w:hint="eastAsia" w:ascii="Wingdings" w:hAnsi="Wingdings"/>
                <w:highlight w:val="none"/>
                <w:lang w:eastAsia="zh-CN"/>
              </w:rPr>
              <w:t>□</w:t>
            </w:r>
            <w:r>
              <w:rPr>
                <w:rFonts w:hint="eastAsia"/>
                <w:highlight w:val="none"/>
              </w:rPr>
              <w:t xml:space="preserve">行车工  </w:t>
            </w:r>
            <w:r>
              <w:rPr>
                <w:rFonts w:hint="eastAsia" w:ascii="Wingdings" w:hAnsi="Wingdings"/>
                <w:highlight w:val="none"/>
                <w:lang w:eastAsia="zh-CN"/>
              </w:rPr>
              <w:t>☑</w:t>
            </w:r>
            <w:r>
              <w:rPr>
                <w:rFonts w:hint="eastAsia"/>
                <w:highlight w:val="none"/>
              </w:rPr>
              <w:t xml:space="preserve">锅炉工  </w:t>
            </w:r>
            <w:r>
              <w:rPr>
                <w:rFonts w:hint="eastAsia" w:ascii="Wingdings" w:hAnsi="Wingdings"/>
                <w:highlight w:val="none"/>
                <w:lang w:eastAsia="zh-CN"/>
              </w:rPr>
              <w:t>☑</w:t>
            </w:r>
            <w:r>
              <w:rPr>
                <w:rFonts w:hint="eastAsia"/>
                <w:highlight w:val="none"/>
              </w:rPr>
              <w:t xml:space="preserve">压力容器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t>☑</w:t>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ascii="Times New Roman" w:hAnsi="Times New Roman" w:eastAsia="宋体" w:cs="Times New Roman"/>
                      <w:kern w:val="2"/>
                      <w:sz w:val="21"/>
                      <w:szCs w:val="24"/>
                      <w:highlight w:val="none"/>
                      <w:lang w:val="en-US" w:eastAsia="zh-CN" w:bidi="ar-SA"/>
                    </w:rPr>
                  </w:pPr>
                  <w:r>
                    <w:rPr>
                      <w:rFonts w:hint="eastAsia"/>
                      <w:highlight w:val="none"/>
                    </w:rPr>
                    <w:t>竹基纤维复合板的生产</w:t>
                  </w:r>
                </w:p>
              </w:tc>
              <w:tc>
                <w:tcPr>
                  <w:tcW w:w="3665" w:type="dxa"/>
                  <w:vAlign w:val="top"/>
                </w:tcPr>
                <w:p>
                  <w:pPr>
                    <w:shd w:val="clear" w:color="auto" w:fill="C7DAF1" w:themeFill="text2" w:themeFillTint="32"/>
                    <w:jc w:val="left"/>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胶压</w:t>
                  </w:r>
                </w:p>
              </w:tc>
              <w:tc>
                <w:tcPr>
                  <w:tcW w:w="3265" w:type="dxa"/>
                  <w:vAlign w:val="top"/>
                </w:tcPr>
                <w:p>
                  <w:pPr>
                    <w:shd w:val="clear" w:color="auto" w:fill="C7DAF1" w:themeFill="text2" w:themeFillTint="32"/>
                    <w:jc w:val="left"/>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压力、温度、水分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vAlign w:val="top"/>
                </w:tcPr>
                <w:p>
                  <w:pPr>
                    <w:shd w:val="clear" w:color="auto" w:fill="C7DAF1" w:themeFill="text2" w:themeFillTint="32"/>
                    <w:jc w:val="left"/>
                    <w:rPr>
                      <w:rFonts w:ascii="Times New Roman" w:hAnsi="Times New Roman" w:eastAsia="宋体" w:cs="Times New Roman"/>
                      <w:kern w:val="2"/>
                      <w:sz w:val="21"/>
                      <w:szCs w:val="24"/>
                      <w:highlight w:val="none"/>
                      <w:lang w:val="en-US" w:eastAsia="zh-CN" w:bidi="ar-SA"/>
                    </w:rPr>
                  </w:pPr>
                  <w:r>
                    <w:rPr>
                      <w:rFonts w:hint="eastAsia"/>
                      <w:highlight w:val="none"/>
                    </w:rPr>
                    <w:t>浸胶</w:t>
                  </w:r>
                </w:p>
              </w:tc>
              <w:tc>
                <w:tcPr>
                  <w:tcW w:w="3265" w:type="dxa"/>
                  <w:vAlign w:val="top"/>
                </w:tcPr>
                <w:p>
                  <w:pPr>
                    <w:shd w:val="clear" w:color="auto" w:fill="C7DAF1" w:themeFill="text2" w:themeFillTint="32"/>
                    <w:jc w:val="left"/>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水分、百分比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highlight w:val="none"/>
                <w:u w:val="single"/>
              </w:rPr>
              <w:t xml:space="preserve">浸胶、胶压 </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t>☑</w:t>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首件检验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r>
              <w:rPr>
                <w:rFonts w:hint="eastAsia" w:ascii="Wingdings" w:hAnsi="Wingdings"/>
                <w:lang w:eastAsia="zh-CN"/>
              </w:rPr>
              <w:sym w:font="Wingdings 2" w:char="0052"/>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重组竹地板检验报告</w:t>
            </w:r>
            <w:r>
              <w:rPr>
                <w:rFonts w:hint="eastAsia"/>
                <w:u w:val="single"/>
              </w:rPr>
              <w:t xml:space="preserve">               </w:t>
            </w:r>
            <w:r>
              <w:rPr>
                <w:rFonts w:hint="eastAsia"/>
              </w:rPr>
              <w:t>。</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产品检验/服务放行：</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不合格品控制：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宋体" w:hAnsi="宋体" w:eastAsia="宋体" w:cs="宋体"/>
                <w:color w:val="auto"/>
                <w:sz w:val="21"/>
                <w:szCs w:val="21"/>
                <w:lang w:val="en-US" w:eastAsia="zh-CN"/>
              </w:rPr>
              <w:t>2022年10月15日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ascii="宋体" w:hAnsi="宋体" w:eastAsia="宋体" w:cs="宋体"/>
                <w:color w:val="auto"/>
                <w:sz w:val="21"/>
                <w:szCs w:val="21"/>
                <w:lang w:val="en-US" w:eastAsia="zh-CN"/>
              </w:rPr>
              <w:t>2022年11月1日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rPr>
      </w:pPr>
      <w:bookmarkStart w:id="35" w:name="_GoBack"/>
      <w:bookmarkEnd w:id="35"/>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QyZmQ4MWM5YTdlOTM3ZWEzMDQwZGU2MjkwZTUyZWYifQ=="/>
  </w:docVars>
  <w:rsids>
    <w:rsidRoot w:val="00000000"/>
    <w:rsid w:val="12DD7908"/>
    <w:rsid w:val="52D830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18600</Words>
  <Characters>19279</Characters>
  <Lines>150</Lines>
  <Paragraphs>42</Paragraphs>
  <TotalTime>0</TotalTime>
  <ScaleCrop>false</ScaleCrop>
  <LinksUpToDate>false</LinksUpToDate>
  <CharactersWithSpaces>19400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2023-01-08T03:46:58Z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2052-11.1.0.13012</vt:lpwstr>
  </property>
</Properties>
</file>