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bookmarkStart w:id="17" w:name="_GoBack"/>
      <w:r>
        <w:rPr>
          <w:rFonts w:hint="eastAsia"/>
          <w:b/>
          <w:color w:val="000000" w:themeColor="text1"/>
          <w:sz w:val="21"/>
          <w:szCs w:val="21"/>
        </w:rPr>
        <w:drawing>
          <wp:anchor distT="0" distB="0" distL="114300" distR="114300" simplePos="0" relativeHeight="251659264" behindDoc="0" locked="0" layoutInCell="1" allowOverlap="1">
            <wp:simplePos x="0" y="0"/>
            <wp:positionH relativeFrom="column">
              <wp:posOffset>-680085</wp:posOffset>
            </wp:positionH>
            <wp:positionV relativeFrom="paragraph">
              <wp:posOffset>-914400</wp:posOffset>
            </wp:positionV>
            <wp:extent cx="7545070" cy="11299190"/>
            <wp:effectExtent l="0" t="0" r="11430" b="3810"/>
            <wp:wrapNone/>
            <wp:docPr id="1" name="图片 1" descr="微信图片_20221204145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2041450563"/>
                    <pic:cNvPicPr>
                      <a:picLocks noChangeAspect="1"/>
                    </pic:cNvPicPr>
                  </pic:nvPicPr>
                  <pic:blipFill>
                    <a:blip r:embed="rId5"/>
                    <a:stretch>
                      <a:fillRect/>
                    </a:stretch>
                  </pic:blipFill>
                  <pic:spPr>
                    <a:xfrm>
                      <a:off x="0" y="0"/>
                      <a:ext cx="7545070" cy="11299190"/>
                    </a:xfrm>
                    <a:prstGeom prst="rect">
                      <a:avLst/>
                    </a:prstGeom>
                  </pic:spPr>
                </pic:pic>
              </a:graphicData>
            </a:graphic>
          </wp:anchor>
        </w:drawing>
      </w:r>
      <w:bookmarkEnd w:id="17"/>
      <w:r>
        <w:rPr>
          <w:rFonts w:hint="eastAsia"/>
          <w:b/>
          <w:color w:val="000000" w:themeColor="text1"/>
          <w:sz w:val="21"/>
          <w:szCs w:val="21"/>
        </w:rPr>
        <w:t>合同编号:</w:t>
      </w:r>
      <w:bookmarkStart w:id="0" w:name="合同编号"/>
      <w:r>
        <w:rPr>
          <w:b/>
          <w:bCs/>
          <w:color w:val="000000" w:themeColor="text1"/>
          <w:sz w:val="21"/>
          <w:szCs w:val="21"/>
          <w:u w:val="single"/>
        </w:rPr>
        <w:t>1196-2022-QEO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2459"/>
        <w:gridCol w:w="31"/>
        <w:gridCol w:w="1019"/>
        <w:gridCol w:w="617"/>
        <w:gridCol w:w="85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天津美尔特商贸有限公司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91120116MA06L82CXN</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Q:8,E:8,O:8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3" w:name="组织名称Add1"/>
            <w:r>
              <w:rPr>
                <w:rFonts w:hint="eastAsia"/>
                <w:sz w:val="22"/>
                <w:szCs w:val="22"/>
              </w:rPr>
              <w:t>天津美尔特商贸有限公司</w:t>
            </w:r>
            <w:bookmarkEnd w:id="13"/>
          </w:p>
        </w:tc>
        <w:tc>
          <w:tcPr>
            <w:tcW w:w="5013" w:type="dxa"/>
            <w:gridSpan w:val="6"/>
            <w:vMerge w:val="restart"/>
          </w:tcPr>
          <w:p>
            <w:pPr>
              <w:snapToGrid w:val="0"/>
              <w:spacing w:line="0" w:lineRule="atLeast"/>
              <w:jc w:val="left"/>
              <w:rPr>
                <w:sz w:val="22"/>
                <w:szCs w:val="22"/>
              </w:rPr>
            </w:pPr>
            <w:bookmarkStart w:id="14" w:name="审核范围"/>
            <w:r>
              <w:rPr>
                <w:sz w:val="22"/>
                <w:szCs w:val="22"/>
              </w:rPr>
              <w:t>Q：船舶物料供应（有资质许可的除外）</w:t>
            </w:r>
          </w:p>
          <w:p>
            <w:pPr>
              <w:snapToGrid w:val="0"/>
              <w:spacing w:line="0" w:lineRule="atLeast"/>
              <w:jc w:val="left"/>
              <w:rPr>
                <w:sz w:val="22"/>
                <w:szCs w:val="22"/>
              </w:rPr>
            </w:pPr>
            <w:r>
              <w:rPr>
                <w:sz w:val="22"/>
                <w:szCs w:val="22"/>
              </w:rPr>
              <w:t>E：船舶物料供应（有资质许可的除外）所涉及场所的相关环境管理活动</w:t>
            </w:r>
          </w:p>
          <w:p>
            <w:pPr>
              <w:snapToGrid w:val="0"/>
              <w:spacing w:line="0" w:lineRule="atLeast"/>
              <w:jc w:val="left"/>
              <w:rPr>
                <w:sz w:val="22"/>
                <w:szCs w:val="22"/>
              </w:rPr>
            </w:pPr>
            <w:r>
              <w:rPr>
                <w:sz w:val="22"/>
                <w:szCs w:val="22"/>
              </w:rPr>
              <w:t>O：船舶物料供应（有资质许可的除外）所涉及场所的相关职业健康安全管理活动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5" w:name="注册地址"/>
            <w:r>
              <w:rPr>
                <w:rFonts w:hint="eastAsia"/>
                <w:sz w:val="22"/>
                <w:szCs w:val="22"/>
                <w:lang w:val="en-GB"/>
              </w:rPr>
              <w:t>天津滨海高新区塘沽海洋科技园心贻湾16-1-1501</w:t>
            </w:r>
            <w:bookmarkEnd w:id="15"/>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6" w:name="办公地址"/>
            <w:r>
              <w:rPr>
                <w:rFonts w:hint="eastAsia"/>
                <w:sz w:val="22"/>
                <w:szCs w:val="22"/>
                <w:lang w:val="en-GB"/>
              </w:rPr>
              <w:t>天津市滨海新区塘沽新港路98号院内写字楼东楼二层208室</w:t>
            </w:r>
            <w:bookmarkEnd w:id="16"/>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p>
        </w:tc>
        <w:tc>
          <w:tcPr>
            <w:tcW w:w="3373" w:type="dxa"/>
            <w:gridSpan w:val="2"/>
          </w:tcPr>
          <w:p>
            <w:pPr>
              <w:snapToGrid w:val="0"/>
              <w:spacing w:line="0" w:lineRule="atLeast"/>
              <w:jc w:val="left"/>
              <w:rPr>
                <w:sz w:val="22"/>
                <w:szCs w:val="22"/>
              </w:rPr>
            </w:pPr>
            <w:r>
              <w:rPr>
                <w:rFonts w:hint="eastAsia"/>
                <w:sz w:val="22"/>
                <w:szCs w:val="22"/>
              </w:rPr>
              <w:t>Tianjin Meite Trading Co., Ltd</w:t>
            </w:r>
          </w:p>
        </w:tc>
        <w:tc>
          <w:tcPr>
            <w:tcW w:w="1050" w:type="dxa"/>
            <w:gridSpan w:val="2"/>
          </w:tcPr>
          <w:p>
            <w:pPr>
              <w:snapToGrid w:val="0"/>
              <w:spacing w:line="0" w:lineRule="atLeast"/>
              <w:jc w:val="left"/>
              <w:rPr>
                <w:sz w:val="22"/>
                <w:szCs w:val="22"/>
              </w:rPr>
            </w:pPr>
            <w:r>
              <w:rPr>
                <w:rFonts w:hint="eastAsia"/>
                <w:sz w:val="22"/>
                <w:szCs w:val="22"/>
              </w:rPr>
              <w:t>QMS</w:t>
            </w:r>
          </w:p>
        </w:tc>
        <w:tc>
          <w:tcPr>
            <w:tcW w:w="3963" w:type="dxa"/>
            <w:gridSpan w:val="4"/>
          </w:tcPr>
          <w:p>
            <w:pPr>
              <w:snapToGrid w:val="0"/>
              <w:spacing w:line="0" w:lineRule="atLeast"/>
              <w:jc w:val="left"/>
              <w:rPr>
                <w:sz w:val="21"/>
                <w:szCs w:val="16"/>
              </w:rPr>
            </w:pPr>
            <w:r>
              <w:rPr>
                <w:rFonts w:hint="eastAsia"/>
                <w:sz w:val="21"/>
                <w:szCs w:val="16"/>
              </w:rPr>
              <w:t>Ship material supply (except those with qualification permit)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p>
        </w:tc>
        <w:tc>
          <w:tcPr>
            <w:tcW w:w="3373" w:type="dxa"/>
            <w:gridSpan w:val="2"/>
          </w:tcPr>
          <w:p>
            <w:pPr>
              <w:snapToGrid w:val="0"/>
              <w:spacing w:line="0" w:lineRule="atLeast"/>
              <w:jc w:val="left"/>
              <w:rPr>
                <w:sz w:val="22"/>
                <w:szCs w:val="22"/>
              </w:rPr>
            </w:pPr>
            <w:r>
              <w:rPr>
                <w:rFonts w:hint="eastAsia"/>
                <w:sz w:val="22"/>
                <w:szCs w:val="22"/>
              </w:rPr>
              <w:t>16-1-1501, Xinyiwan, Tanggu Marine Science and Technology Park, Binhai Hi tech Zone, Tianjin</w:t>
            </w:r>
          </w:p>
        </w:tc>
        <w:tc>
          <w:tcPr>
            <w:tcW w:w="1050" w:type="dxa"/>
            <w:gridSpan w:val="2"/>
          </w:tcPr>
          <w:p>
            <w:pPr>
              <w:snapToGrid w:val="0"/>
              <w:spacing w:line="0" w:lineRule="atLeast"/>
              <w:jc w:val="left"/>
              <w:rPr>
                <w:sz w:val="22"/>
                <w:szCs w:val="22"/>
              </w:rPr>
            </w:pPr>
            <w:r>
              <w:rPr>
                <w:rFonts w:hint="eastAsia"/>
                <w:sz w:val="22"/>
                <w:szCs w:val="22"/>
              </w:rPr>
              <w:t>EMS</w:t>
            </w:r>
          </w:p>
        </w:tc>
        <w:tc>
          <w:tcPr>
            <w:tcW w:w="3963" w:type="dxa"/>
            <w:gridSpan w:val="4"/>
          </w:tcPr>
          <w:p>
            <w:pPr>
              <w:snapToGrid w:val="0"/>
              <w:spacing w:line="0" w:lineRule="atLeast"/>
              <w:jc w:val="left"/>
              <w:rPr>
                <w:sz w:val="22"/>
                <w:szCs w:val="22"/>
              </w:rPr>
            </w:pPr>
            <w:r>
              <w:rPr>
                <w:rFonts w:hint="eastAsia"/>
                <w:sz w:val="22"/>
                <w:szCs w:val="22"/>
              </w:rPr>
              <w:t>Relevant environmental management activities of the sites involved in the supply of ship materials (except those with qualification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p>
        </w:tc>
        <w:tc>
          <w:tcPr>
            <w:tcW w:w="3373" w:type="dxa"/>
            <w:gridSpan w:val="2"/>
          </w:tcPr>
          <w:p>
            <w:pPr>
              <w:snapToGrid w:val="0"/>
              <w:spacing w:line="0" w:lineRule="atLeast"/>
              <w:jc w:val="left"/>
              <w:rPr>
                <w:sz w:val="22"/>
                <w:szCs w:val="22"/>
              </w:rPr>
            </w:pPr>
            <w:r>
              <w:rPr>
                <w:rFonts w:hint="eastAsia"/>
                <w:sz w:val="22"/>
                <w:szCs w:val="22"/>
              </w:rPr>
              <w:t>Room 208, Floor 2, East Building, Office Building, No. 98, Xingang Road, Tanggu, Binhai New Area, Tianjin</w:t>
            </w:r>
          </w:p>
        </w:tc>
        <w:tc>
          <w:tcPr>
            <w:tcW w:w="1050" w:type="dxa"/>
            <w:gridSpan w:val="2"/>
          </w:tcPr>
          <w:p>
            <w:pPr>
              <w:snapToGrid w:val="0"/>
              <w:spacing w:line="0" w:lineRule="atLeast"/>
              <w:jc w:val="left"/>
              <w:rPr>
                <w:sz w:val="22"/>
                <w:szCs w:val="22"/>
              </w:rPr>
            </w:pPr>
            <w:r>
              <w:rPr>
                <w:rFonts w:hint="eastAsia"/>
                <w:sz w:val="22"/>
                <w:szCs w:val="22"/>
              </w:rPr>
              <w:t>OHSMS</w:t>
            </w:r>
          </w:p>
        </w:tc>
        <w:tc>
          <w:tcPr>
            <w:tcW w:w="3963" w:type="dxa"/>
            <w:gridSpan w:val="4"/>
          </w:tcPr>
          <w:p>
            <w:pPr>
              <w:snapToGrid w:val="0"/>
              <w:spacing w:line="0" w:lineRule="atLeast"/>
              <w:jc w:val="left"/>
              <w:rPr>
                <w:sz w:val="22"/>
                <w:szCs w:val="22"/>
              </w:rPr>
            </w:pPr>
            <w:r>
              <w:rPr>
                <w:rFonts w:hint="eastAsia"/>
                <w:sz w:val="22"/>
                <w:szCs w:val="22"/>
              </w:rPr>
              <w:t>Relevant occupational health and safety management activities in the places involved in the supply of ship materials (except those with qualifications)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吉洁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0" w:type="dxa"/>
            <w:gridSpan w:val="2"/>
          </w:tcPr>
          <w:p>
            <w:pPr>
              <w:snapToGrid w:val="0"/>
              <w:spacing w:line="0" w:lineRule="atLeast"/>
              <w:jc w:val="left"/>
              <w:rPr>
                <w:rFonts w:hint="default" w:eastAsia="宋体"/>
                <w:sz w:val="22"/>
                <w:szCs w:val="18"/>
                <w:lang w:val="en-US" w:eastAsia="zh-CN"/>
              </w:rPr>
            </w:pPr>
            <w:r>
              <w:rPr>
                <w:rFonts w:hint="eastAsia"/>
                <w:sz w:val="22"/>
                <w:szCs w:val="18"/>
                <w:lang w:val="en-US" w:eastAsia="zh-CN"/>
              </w:rPr>
              <w:t>2022.12.3</w:t>
            </w:r>
          </w:p>
        </w:tc>
        <w:tc>
          <w:tcPr>
            <w:tcW w:w="2490" w:type="dxa"/>
            <w:gridSpan w:val="3"/>
          </w:tcPr>
          <w:p>
            <w:pPr>
              <w:snapToGrid w:val="0"/>
              <w:spacing w:line="0" w:lineRule="atLeast"/>
              <w:jc w:val="left"/>
              <w:rPr>
                <w:rFonts w:hint="default" w:eastAsia="宋体"/>
                <w:sz w:val="22"/>
                <w:szCs w:val="18"/>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r>
              <w:rPr>
                <w:rFonts w:hint="eastAsia"/>
                <w:sz w:val="22"/>
                <w:szCs w:val="18"/>
                <w:lang w:val="en-US" w:eastAsia="zh-CN"/>
              </w:rPr>
              <w:t>2022.12.3</w:t>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3CD355CA"/>
    <w:rsid w:val="6FF06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3</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2022-12-06T07:18:59Z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