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w:t>
      </w:r>
      <w:r>
        <w:rPr>
          <w:rFonts w:hint="eastAsia"/>
          <w:sz w:val="32"/>
          <w:szCs w:val="32"/>
          <w:u w:val="single"/>
          <w:lang w:val="en-US" w:eastAsia="zh-CN"/>
        </w:rPr>
        <w:t>196</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天津美尔特商贸有限公司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天津美尔特商贸有限公司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天津滨海高新区塘沽海洋科技园心贻湾16-1-1501</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300456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天津市滨海新区塘沽新港路98号院内写字楼东楼二层208室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300456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贾文贞</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13920264743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贾文贞</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hint="default" w:ascii="Times New Roman" w:hAnsi="Times New Roman" w:eastAsia="宋体" w:cs="Times New Roman"/>
                <w:kern w:val="2"/>
                <w:sz w:val="21"/>
                <w:szCs w:val="24"/>
                <w:lang w:val="en-US" w:eastAsia="zh-CN" w:bidi="ar-SA"/>
              </w:rPr>
            </w:pPr>
            <w:r>
              <w:t>贾文贞</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lang w:eastAsia="zh-CN"/>
              </w:rPr>
              <w:t>业务</w:t>
            </w:r>
            <w:r>
              <w:rPr>
                <w:rFonts w:hint="eastAsia"/>
                <w:color w:val="000000"/>
              </w:rPr>
              <w:t>洽谈</w:t>
            </w:r>
            <w:r>
              <w:rPr>
                <w:rFonts w:hint="eastAsia"/>
                <w:color w:val="000000"/>
                <w:lang w:val="en-US" w:eastAsia="zh-CN"/>
              </w:rPr>
              <w:t xml:space="preserve">--顾客要求评审-- </w:t>
            </w:r>
            <w:r>
              <w:rPr>
                <w:rFonts w:hint="eastAsia"/>
                <w:color w:val="000000"/>
              </w:rPr>
              <w:t>签订合同</w:t>
            </w:r>
            <w:r>
              <w:rPr>
                <w:rFonts w:hint="eastAsia"/>
                <w:color w:val="000000"/>
                <w:lang w:val="en-US" w:eastAsia="zh-CN"/>
              </w:rPr>
              <w:t>--</w:t>
            </w:r>
            <w:r>
              <w:rPr>
                <w:rFonts w:hint="eastAsia"/>
                <w:color w:val="000000"/>
              </w:rPr>
              <w:t>采购</w:t>
            </w:r>
            <w:r>
              <w:rPr>
                <w:rFonts w:hint="eastAsia"/>
                <w:color w:val="000000"/>
                <w:lang w:eastAsia="zh-CN"/>
              </w:rPr>
              <w:t>货物</w:t>
            </w:r>
            <w:r>
              <w:rPr>
                <w:rFonts w:hint="eastAsia"/>
                <w:color w:val="000000"/>
                <w:lang w:val="en-US" w:eastAsia="zh-CN"/>
              </w:rPr>
              <w:t>--产品检验--货物交付及</w:t>
            </w:r>
            <w:r>
              <w:rPr>
                <w:rFonts w:hint="eastAsia"/>
                <w:color w:val="000000"/>
              </w:rPr>
              <w:t>售后</w:t>
            </w:r>
            <w:r>
              <w:rPr>
                <w:rFonts w:hint="eastAsia"/>
                <w:color w:val="000000"/>
                <w:lang w:eastAsia="zh-CN"/>
              </w:rPr>
              <w:t>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2022年12月02日 上午至2022年12月03日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67"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1"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jc w:val="both"/>
            </w:pPr>
            <w:r>
              <w:rPr>
                <w:rFonts w:hint="eastAsia"/>
              </w:rPr>
              <w:t>审核方式</w:t>
            </w:r>
          </w:p>
        </w:tc>
        <w:tc>
          <w:tcPr>
            <w:tcW w:w="7831" w:type="dxa"/>
            <w:gridSpan w:val="3"/>
            <w:tcMar>
              <w:left w:w="113" w:type="dxa"/>
            </w:tcMar>
            <w:vAlign w:val="center"/>
          </w:tcPr>
          <w:p>
            <w:pPr>
              <w:jc w:val="both"/>
            </w:pP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exact"/>
        </w:trPr>
        <w:tc>
          <w:tcPr>
            <w:tcW w:w="1632" w:type="dxa"/>
            <w:gridSpan w:val="2"/>
            <w:vAlign w:val="center"/>
          </w:tcPr>
          <w:p>
            <w:pPr>
              <w:jc w:val="both"/>
            </w:pPr>
            <w:r>
              <w:rPr>
                <w:rFonts w:hint="eastAsia" w:ascii="宋体" w:hAnsi="宋体" w:cs="宋体"/>
                <w:color w:val="000000"/>
                <w:kern w:val="0"/>
                <w:szCs w:val="21"/>
              </w:rPr>
              <w:t>审核方法</w:t>
            </w:r>
          </w:p>
        </w:tc>
        <w:tc>
          <w:tcPr>
            <w:tcW w:w="7831" w:type="dxa"/>
            <w:gridSpan w:val="3"/>
            <w:tcMar>
              <w:left w:w="113" w:type="dxa"/>
            </w:tcMar>
            <w:vAlign w:val="center"/>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exact"/>
        </w:trPr>
        <w:tc>
          <w:tcPr>
            <w:tcW w:w="1632" w:type="dxa"/>
            <w:gridSpan w:val="2"/>
            <w:vAlign w:val="center"/>
          </w:tcPr>
          <w:p>
            <w:pPr>
              <w:jc w:val="both"/>
            </w:pPr>
            <w:r>
              <w:rPr>
                <w:rFonts w:hint="eastAsia"/>
              </w:rPr>
              <w:t>审核类型</w:t>
            </w:r>
          </w:p>
        </w:tc>
        <w:tc>
          <w:tcPr>
            <w:tcW w:w="7831" w:type="dxa"/>
            <w:gridSpan w:val="3"/>
            <w:tcMar>
              <w:left w:w="113" w:type="dxa"/>
            </w:tcMar>
            <w:vAlign w:val="center"/>
          </w:tcPr>
          <w:p>
            <w:pPr>
              <w:jc w:val="both"/>
            </w:pPr>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exact"/>
        </w:trPr>
        <w:tc>
          <w:tcPr>
            <w:tcW w:w="1632" w:type="dxa"/>
            <w:gridSpan w:val="2"/>
            <w:vAlign w:val="center"/>
          </w:tcPr>
          <w:p>
            <w:pPr>
              <w:tabs>
                <w:tab w:val="left" w:pos="4285"/>
              </w:tabs>
              <w:jc w:val="both"/>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center"/>
          </w:tcPr>
          <w:p>
            <w:pPr>
              <w:jc w:val="both"/>
              <w:rPr>
                <w:rFonts w:hint="eastAsia" w:ascii="宋体" w:eastAsia="宋体"/>
                <w:b/>
                <w:color w:val="0000FF"/>
                <w:szCs w:val="21"/>
                <w:lang w:eastAsia="zh-CN"/>
              </w:rPr>
            </w:pPr>
            <w:bookmarkStart w:id="19" w:name="生产地址"/>
            <w:r>
              <w:rPr>
                <w:rFonts w:asciiTheme="minorEastAsia" w:hAnsiTheme="minorEastAsia" w:eastAsiaTheme="minorEastAsia"/>
                <w:b w:val="0"/>
                <w:bCs w:val="0"/>
                <w:sz w:val="21"/>
                <w:szCs w:val="21"/>
              </w:rPr>
              <w:t>天津市滨海新区塘沽新港路98号院内写字楼东楼二层208室</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exact"/>
        </w:trPr>
        <w:tc>
          <w:tcPr>
            <w:tcW w:w="1632" w:type="dxa"/>
            <w:gridSpan w:val="2"/>
            <w:vAlign w:val="center"/>
          </w:tcPr>
          <w:p>
            <w:pPr>
              <w:jc w:val="both"/>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exact"/>
        </w:trPr>
        <w:tc>
          <w:tcPr>
            <w:tcW w:w="1632" w:type="dxa"/>
            <w:gridSpan w:val="2"/>
            <w:vAlign w:val="center"/>
          </w:tcPr>
          <w:p>
            <w:pPr>
              <w:jc w:val="both"/>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exact"/>
        </w:trPr>
        <w:tc>
          <w:tcPr>
            <w:tcW w:w="1632" w:type="dxa"/>
            <w:gridSpan w:val="2"/>
            <w:vAlign w:val="center"/>
          </w:tcPr>
          <w:p>
            <w:pPr>
              <w:jc w:val="both"/>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b w:val="0"/>
                <w:bCs w:val="0"/>
                <w:sz w:val="21"/>
                <w:szCs w:val="21"/>
              </w:rPr>
            </w:pPr>
            <w:bookmarkStart w:id="20" w:name="审核范围"/>
            <w:r>
              <w:rPr>
                <w:b w:val="0"/>
                <w:bCs w:val="0"/>
                <w:sz w:val="21"/>
                <w:szCs w:val="21"/>
              </w:rPr>
              <w:t>Q：船舶物料供应（有资质许可的除外）</w:t>
            </w:r>
          </w:p>
          <w:p>
            <w:pPr>
              <w:rPr>
                <w:b w:val="0"/>
                <w:bCs w:val="0"/>
                <w:sz w:val="21"/>
                <w:szCs w:val="21"/>
              </w:rPr>
            </w:pPr>
            <w:r>
              <w:rPr>
                <w:b w:val="0"/>
                <w:bCs w:val="0"/>
                <w:sz w:val="21"/>
                <w:szCs w:val="21"/>
              </w:rPr>
              <w:t>E：船舶物料供应（有资质许可的除外）所涉及场所的相关环境管理活动</w:t>
            </w:r>
          </w:p>
          <w:p>
            <w:r>
              <w:rPr>
                <w:b w:val="0"/>
                <w:bCs w:val="0"/>
                <w:sz w:val="21"/>
                <w:szCs w:val="21"/>
              </w:rPr>
              <w:t>O：船舶物料供应（有资质许可的除外）所涉及场所的相关职业健康安全管理活动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Q：29.12.00</w:t>
            </w:r>
          </w:p>
          <w:p>
            <w:r>
              <w:t>E：29.12.00</w:t>
            </w:r>
          </w:p>
          <w:p>
            <w:r>
              <w:t>O：29.12.00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50"/>
        <w:gridCol w:w="1088"/>
        <w:gridCol w:w="1694"/>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08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694"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7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天津美尔特商贸有限公司</w:t>
            </w:r>
          </w:p>
          <w:p>
            <w:pPr>
              <w:spacing w:before="40" w:after="40"/>
              <w:rPr>
                <w:rFonts w:eastAsia="黑体"/>
                <w:szCs w:val="21"/>
                <w:lang w:val="de-DE" w:eastAsia="ja-JP"/>
              </w:rPr>
            </w:pPr>
            <w:r>
              <w:rPr>
                <w:rFonts w:hint="eastAsia" w:eastAsia="黑体"/>
                <w:szCs w:val="21"/>
                <w:lang w:val="de-DE" w:eastAsia="ja-JP"/>
              </w:rPr>
              <w:t>天津滨海高新区塘沽海洋科技园心贻湾16-1-1501</w:t>
            </w:r>
          </w:p>
        </w:tc>
        <w:tc>
          <w:tcPr>
            <w:tcW w:w="1750" w:type="dxa"/>
          </w:tcPr>
          <w:p>
            <w:pPr>
              <w:spacing w:before="40" w:after="40"/>
              <w:rPr>
                <w:rFonts w:eastAsia="黑体"/>
                <w:szCs w:val="21"/>
                <w:lang w:val="de-DE" w:eastAsia="ja-JP"/>
              </w:rPr>
            </w:pPr>
            <w:r>
              <w:rPr>
                <w:rFonts w:hint="eastAsia" w:eastAsia="黑体"/>
                <w:szCs w:val="21"/>
                <w:lang w:val="de-DE" w:eastAsia="ja-JP"/>
              </w:rPr>
              <w:t>天津市滨海新区塘沽新港路98号院内写字楼东楼二层208室</w:t>
            </w:r>
          </w:p>
        </w:tc>
        <w:tc>
          <w:tcPr>
            <w:tcW w:w="1088"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1694" w:type="dxa"/>
            <w:vAlign w:val="center"/>
          </w:tcPr>
          <w:p>
            <w:pPr>
              <w:pStyle w:val="22"/>
              <w:rPr>
                <w:rFonts w:hint="default" w:eastAsia="宋体" w:cs="Arial"/>
                <w:sz w:val="21"/>
                <w:szCs w:val="21"/>
                <w:lang w:val="en-US" w:eastAsia="zh-CN"/>
              </w:rPr>
            </w:pPr>
            <w:r>
              <w:rPr>
                <w:b w:val="0"/>
                <w:bCs w:val="0"/>
                <w:sz w:val="21"/>
                <w:szCs w:val="21"/>
              </w:rPr>
              <w:t>船舶物料供应（有资质许可的除外）</w:t>
            </w:r>
            <w:r>
              <w:rPr>
                <w:rFonts w:hint="eastAsia" w:eastAsia="宋体"/>
                <w:b w:val="0"/>
                <w:bCs w:val="0"/>
                <w:sz w:val="21"/>
                <w:szCs w:val="21"/>
                <w:lang w:val="en-US" w:eastAsia="zh-CN"/>
              </w:rPr>
              <w:t>及相关的环境、职业健康安全管理活动</w:t>
            </w:r>
          </w:p>
        </w:tc>
        <w:tc>
          <w:tcPr>
            <w:tcW w:w="1778" w:type="dxa"/>
            <w:vAlign w:val="center"/>
          </w:tcPr>
          <w:p>
            <w:pPr>
              <w:spacing w:before="40" w:after="40"/>
              <w:rPr>
                <w:rFonts w:eastAsia="黑体"/>
                <w:szCs w:val="21"/>
                <w:lang w:eastAsia="ja-JP"/>
              </w:rPr>
            </w:pPr>
            <w:r>
              <w:rPr>
                <w:rFonts w:hint="eastAsia" w:eastAsia="黑体"/>
                <w:szCs w:val="21"/>
                <w:lang w:eastAsia="ja-JP"/>
              </w:rPr>
              <w:t>GB/T19001-2016GB/T24001-2016GB/T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rPr>
          <w:rFonts w:hint="eastAsia"/>
        </w:rPr>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无变更</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13"/>
      </w:pPr>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w:t>
      </w:r>
      <w:r>
        <w:rPr>
          <w:rFonts w:hint="eastAsia"/>
          <w:lang w:eastAsia="zh-CN"/>
        </w:rPr>
        <w:t>□</w:t>
      </w:r>
      <w:r>
        <w:rPr>
          <w:rFonts w:hint="eastAsia"/>
        </w:rPr>
        <w:t>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2022年12月3日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Pr>
        <w:rPr>
          <w:rFonts w:hint="eastAsia"/>
        </w:rPr>
      </w:pP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rPr>
            </w:pPr>
            <w:r>
              <w:rPr>
                <w:rFonts w:hint="eastAsia"/>
              </w:rPr>
              <w:t>坚持产品质量第一，确保增进顾客满意；</w:t>
            </w:r>
          </w:p>
          <w:p>
            <w:pPr>
              <w:widowControl/>
              <w:spacing w:before="40"/>
              <w:jc w:val="left"/>
              <w:rPr>
                <w:rFonts w:hint="eastAsia"/>
              </w:rPr>
            </w:pPr>
            <w:r>
              <w:rPr>
                <w:rFonts w:hint="eastAsia"/>
              </w:rPr>
              <w:t>坚持遵守法律法规，实现环保安全目标；</w:t>
            </w:r>
          </w:p>
          <w:p>
            <w:pPr>
              <w:pStyle w:val="12"/>
              <w:rPr>
                <w:rFonts w:hint="eastAsia"/>
                <w:lang w:val="en-US" w:eastAsia="zh-CN"/>
              </w:rPr>
            </w:pPr>
            <w:r>
              <w:rPr>
                <w:rFonts w:hint="eastAsia"/>
              </w:rPr>
              <w:t>规范企业经营管理，持续改进管理体系</w:t>
            </w:r>
            <w:r>
              <w:rPr>
                <w:rFonts w:hint="eastAsia"/>
                <w:lang w:val="en-US" w:eastAsia="zh-CN"/>
              </w:rPr>
              <w:t>.</w:t>
            </w:r>
          </w:p>
          <w:p>
            <w:pPr>
              <w:pStyle w:val="12"/>
              <w:rPr>
                <w:rFonts w:hint="eastAsia"/>
                <w:lang w:val="en-US" w:eastAsia="zh-CN"/>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306"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风险：所采购产品市场不稳定，希望签订的年度合同和保底价格，带来的采购和资金风险机遇：所采购产品可能会降价</w:t>
                  </w:r>
                </w:p>
              </w:tc>
              <w:tc>
                <w:tcPr>
                  <w:tcW w:w="3306"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28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7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widowControl/>
                    <w:spacing w:before="40"/>
                    <w:jc w:val="left"/>
                    <w:rPr>
                      <w:rFonts w:hint="eastAsia"/>
                    </w:rPr>
                  </w:pPr>
                  <w:r>
                    <w:rPr>
                      <w:rFonts w:hint="eastAsia"/>
                    </w:rPr>
                    <w:t>顾客满意率≥9</w:t>
                  </w:r>
                  <w:r>
                    <w:rPr>
                      <w:rFonts w:hint="eastAsia"/>
                      <w:lang w:val="en-US" w:eastAsia="zh-CN"/>
                    </w:rPr>
                    <w:t>5</w:t>
                  </w:r>
                  <w:r>
                    <w:rPr>
                      <w:rFonts w:hint="eastAsia"/>
                    </w:rPr>
                    <w:t>%</w:t>
                  </w:r>
                </w:p>
                <w:p>
                  <w:pPr>
                    <w:shd w:val="clear" w:color="auto" w:fill="C7DAF1" w:themeFill="text2" w:themeFillTint="32"/>
                  </w:pPr>
                </w:p>
              </w:tc>
              <w:tc>
                <w:tcPr>
                  <w:tcW w:w="2873"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widowControl/>
                    <w:spacing w:before="40"/>
                    <w:jc w:val="left"/>
                  </w:pPr>
                  <w:r>
                    <w:rPr>
                      <w:rFonts w:hint="eastAsia"/>
                      <w:lang w:val="en-US" w:eastAsia="zh-CN"/>
                    </w:rPr>
                    <w:t>合同履约率100%</w:t>
                  </w:r>
                </w:p>
              </w:tc>
              <w:tc>
                <w:tcPr>
                  <w:tcW w:w="2873"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履约合同数量/签到合同数量</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办公桌椅，电脑，打印机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lang w:eastAsia="zh-CN"/>
              </w:rPr>
              <w:t>☑</w:t>
            </w: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产品相关标准</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未对个别供方进行评价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9"/>
              <w:gridCol w:w="16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9" w:type="dxa"/>
                </w:tcPr>
                <w:p>
                  <w:pPr>
                    <w:shd w:val="clear" w:color="auto" w:fill="C7DAF1" w:themeFill="text2" w:themeFillTint="32"/>
                    <w:jc w:val="left"/>
                  </w:pPr>
                  <w:r>
                    <w:rPr>
                      <w:rFonts w:hint="eastAsia"/>
                    </w:rPr>
                    <w:t>产品/服务名称</w:t>
                  </w:r>
                </w:p>
              </w:tc>
              <w:tc>
                <w:tcPr>
                  <w:tcW w:w="16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9" w:type="dxa"/>
                </w:tcPr>
                <w:p>
                  <w:pPr>
                    <w:shd w:val="clear" w:color="auto" w:fill="C7DAF1" w:themeFill="text2" w:themeFillTint="32"/>
                    <w:jc w:val="left"/>
                  </w:pPr>
                  <w:r>
                    <w:rPr>
                      <w:rFonts w:hint="eastAsia"/>
                      <w:sz w:val="20"/>
                      <w:lang w:val="en-US" w:eastAsia="zh-CN"/>
                    </w:rPr>
                    <w:t>产品的</w:t>
                  </w:r>
                  <w:r>
                    <w:rPr>
                      <w:rFonts w:hint="eastAsia"/>
                      <w:sz w:val="20"/>
                    </w:rPr>
                    <w:t>销售</w:t>
                  </w:r>
                </w:p>
              </w:tc>
              <w:tc>
                <w:tcPr>
                  <w:tcW w:w="1658"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olor w:val="000000"/>
                      <w:sz w:val="20"/>
                      <w:szCs w:val="20"/>
                      <w:u w:val="single"/>
                      <w:lang w:val="en-US" w:eastAsia="zh-CN"/>
                    </w:rPr>
                    <w:t>销售</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订单执行时间、需求数量、规格</w:t>
                  </w:r>
                </w:p>
              </w:tc>
            </w:tr>
          </w:tbl>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2022年10月17日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2022年10月24日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rPr>
            </w:pPr>
            <w:r>
              <w:rPr>
                <w:rFonts w:hint="eastAsia"/>
              </w:rPr>
              <w:t>坚持产品质量第一，确保增进顾客满意；</w:t>
            </w:r>
          </w:p>
          <w:p>
            <w:pPr>
              <w:widowControl/>
              <w:spacing w:before="40"/>
              <w:jc w:val="left"/>
              <w:rPr>
                <w:rFonts w:hint="eastAsia"/>
              </w:rPr>
            </w:pPr>
            <w:r>
              <w:rPr>
                <w:rFonts w:hint="eastAsia"/>
              </w:rPr>
              <w:t>坚持遵守法律法规，实现环保安全目标；</w:t>
            </w:r>
          </w:p>
          <w:p>
            <w:pPr>
              <w:widowControl/>
              <w:spacing w:before="40"/>
              <w:jc w:val="left"/>
              <w:rPr>
                <w:rFonts w:hint="eastAsia" w:eastAsia="宋体"/>
                <w:lang w:val="en-US" w:eastAsia="zh-CN"/>
              </w:rPr>
            </w:pPr>
            <w:r>
              <w:rPr>
                <w:rFonts w:hint="eastAsia"/>
              </w:rPr>
              <w:t>规范企业经营管理，持续改进管理体系</w:t>
            </w:r>
            <w:r>
              <w:rPr>
                <w:rFonts w:hint="eastAsia"/>
                <w:lang w:val="en-US"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316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pPr>
                    <w:shd w:val="clear" w:color="auto" w:fill="EBF1DE" w:themeFill="accent3" w:themeFillTint="32"/>
                  </w:pPr>
                  <w:r>
                    <w:rPr>
                      <w:rFonts w:hint="eastAsia"/>
                    </w:rPr>
                    <w:t>主要的风险或机遇描述</w:t>
                  </w:r>
                </w:p>
              </w:tc>
              <w:tc>
                <w:tcPr>
                  <w:tcW w:w="3169"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sz w:val="18"/>
                      <w:szCs w:val="18"/>
                    </w:rPr>
                    <w:t>公司产品售后服务处理不好，顾客埋怨投诉较多，以及产品寿命结束后的回收处理问题</w:t>
                  </w:r>
                </w:p>
              </w:tc>
              <w:tc>
                <w:tcPr>
                  <w:tcW w:w="3169"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ascii="宋体" w:hAnsi="宋体" w:eastAsia="宋体" w:cs="宋体"/>
                      <w:b w:val="0"/>
                      <w:bCs w:val="0"/>
                      <w:kern w:val="0"/>
                      <w:sz w:val="18"/>
                      <w:szCs w:val="18"/>
                      <w:lang w:val="en-US" w:eastAsia="zh-CN" w:bidi="ar-SA"/>
                    </w:rPr>
                    <w:t>严格按照售后服务管理规定，做好客户服务工作</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rPr>
                    <w:t>固体废弃物统一处理率达100%</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对人员进行培训，办公场所设置</w:t>
                  </w:r>
                  <w:r>
                    <w:rPr>
                      <w:rFonts w:hint="eastAsia" w:cs="Times New Roman"/>
                      <w:sz w:val="18"/>
                      <w:szCs w:val="18"/>
                      <w:lang w:val="en-US" w:eastAsia="zh-CN"/>
                    </w:rPr>
                    <w:t>固废分类处置箱</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办公桌椅，电脑，打印机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hAnsi="Times New Roman" w:eastAsia="方正仿宋简体" w:cs="Times New Roman"/>
                <w:b/>
                <w:lang w:val="en-US" w:eastAsia="zh-CN"/>
              </w:rPr>
              <w:t>中华人民共和国噪声污染防治法</w:t>
            </w:r>
            <w:r>
              <w:rPr>
                <w:rFonts w:hint="eastAsia" w:ascii="方正仿宋简体" w:eastAsia="方正仿宋简体" w:cs="Times New Roman"/>
                <w:b/>
                <w:lang w:val="en-US"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未对个别供方施加影响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default" w:eastAsia="宋体"/>
                <w:lang w:val="en-US" w:eastAsia="zh-CN"/>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2022年10月17日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2022年10月24日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rPr>
            </w:pPr>
            <w:r>
              <w:rPr>
                <w:rFonts w:hint="eastAsia"/>
              </w:rPr>
              <w:t>坚持产品质量第一，确保增进顾客满意；</w:t>
            </w:r>
          </w:p>
          <w:p>
            <w:pPr>
              <w:widowControl/>
              <w:spacing w:before="40"/>
              <w:jc w:val="left"/>
              <w:rPr>
                <w:rFonts w:hint="eastAsia"/>
              </w:rPr>
            </w:pPr>
            <w:r>
              <w:rPr>
                <w:rFonts w:hint="eastAsia"/>
              </w:rPr>
              <w:t>坚持遵守法律法规，实现环保安全目标；</w:t>
            </w:r>
          </w:p>
          <w:p>
            <w:pPr>
              <w:rPr>
                <w:rFonts w:hint="eastAsia" w:eastAsia="宋体"/>
                <w:u w:val="single"/>
                <w:lang w:val="en-US" w:eastAsia="zh-CN"/>
              </w:rPr>
            </w:pPr>
            <w:r>
              <w:rPr>
                <w:rFonts w:hint="eastAsia"/>
              </w:rPr>
              <w:t>规范企业经营管理，持续改进管理体系</w:t>
            </w:r>
            <w:r>
              <w:rPr>
                <w:rFonts w:hint="eastAsia"/>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lang w:val="en-US" w:eastAsia="zh-CN"/>
              </w:rPr>
              <w:t>常素娜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427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Pr>
                <w:p>
                  <w:r>
                    <w:rPr>
                      <w:rFonts w:hint="eastAsia"/>
                    </w:rPr>
                    <w:t>主要的风险或机遇描述</w:t>
                  </w:r>
                </w:p>
              </w:tc>
              <w:tc>
                <w:tcPr>
                  <w:tcW w:w="4279"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4279"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交通事故、新冠疫情的发生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rPr>
                  </w:pPr>
                  <w:r>
                    <w:rPr>
                      <w:rFonts w:hint="eastAsia"/>
                    </w:rPr>
                    <w:t>重大工伤事故为0；</w:t>
                  </w:r>
                </w:p>
                <w:p>
                  <w:pPr>
                    <w:rPr>
                      <w:rFonts w:ascii="Times New Roman" w:hAnsi="Times New Roman" w:eastAsia="宋体" w:cs="Times New Roman"/>
                      <w:kern w:val="2"/>
                      <w:sz w:val="21"/>
                      <w:szCs w:val="24"/>
                      <w:lang w:val="en-US" w:eastAsia="zh-CN" w:bidi="ar-SA"/>
                    </w:rPr>
                  </w:pPr>
                  <w:r>
                    <w:rPr>
                      <w:rFonts w:hint="eastAsia"/>
                    </w:rPr>
                    <w:t>火灾事故为0</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对人员进行培训，设置禁烟警示标识；对火灾进行应急预案演练等</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办公室、销售部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lang w:val="en-US" w:eastAsia="zh-CN"/>
              </w:rPr>
            </w:pPr>
            <w:r>
              <w:rPr>
                <w:rFonts w:hint="eastAsia"/>
              </w:rPr>
              <w:t>主要生产设备有：</w:t>
            </w:r>
            <w:r>
              <w:rPr>
                <w:rFonts w:hint="eastAsia"/>
                <w:lang w:val="en-US" w:eastAsia="zh-CN"/>
              </w:rPr>
              <w:t>办公桌椅，电脑，打印机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中华人民共和国道路交通安全法</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未对个别供方施加影响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w:t>
                  </w: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交通事故</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定期</w:t>
                  </w:r>
                  <w:r>
                    <w:rPr>
                      <w:rFonts w:hint="eastAsia"/>
                      <w:lang w:val="en-US" w:eastAsia="zh-CN"/>
                    </w:rPr>
                    <w:t>对车辆</w:t>
                  </w:r>
                  <w:r>
                    <w:rPr>
                      <w:rFonts w:hint="eastAsia"/>
                    </w:rPr>
                    <w:t>检测</w:t>
                  </w:r>
                  <w:r>
                    <w:rPr>
                      <w:rFonts w:hint="eastAsia"/>
                      <w:lang w:eastAsia="zh-CN"/>
                    </w:rPr>
                    <w:t>☑</w:t>
                  </w:r>
                  <w:r>
                    <w:rPr>
                      <w:rFonts w:hint="eastAsia"/>
                      <w:lang w:val="en-US" w:eastAsia="zh-CN"/>
                    </w:rPr>
                    <w:t>对人员培训</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新冠疫情发生</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lang w:val="en-US" w:eastAsia="zh-CN"/>
                    </w:rPr>
                    <w:t>防护用品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配置灭火器，对员工进行培训，进行消防演练</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工伤事故、新冠疫情爆发</w:t>
            </w:r>
            <w:r>
              <w:rPr>
                <w:rFonts w:hint="eastAsia"/>
                <w:lang w:eastAsia="zh-CN"/>
              </w:rPr>
              <w:t>）</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default" w:eastAsia="宋体"/>
                <w:lang w:val="en-US" w:eastAsia="zh-CN"/>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8</w:t>
            </w:r>
            <w:bookmarkStart w:id="25" w:name="_GoBack"/>
            <w:bookmarkEnd w:id="25"/>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2022年10月17日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2022年10月24日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0F44881"/>
    <w:rsid w:val="325D358E"/>
    <w:rsid w:val="3A706705"/>
    <w:rsid w:val="4B4F167B"/>
    <w:rsid w:val="4CDF2566"/>
    <w:rsid w:val="5256349A"/>
    <w:rsid w:val="540C0A0E"/>
    <w:rsid w:val="59616525"/>
    <w:rsid w:val="6FE60AAE"/>
    <w:rsid w:val="77E26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无间隔1"/>
    <w:qFormat/>
    <w:uiPriority w:val="0"/>
    <w:rPr>
      <w:rFonts w:ascii="Times New Roman" w:hAnsi="Times New Roman" w:eastAsia="宋体" w:cs="Times New Roman"/>
      <w:sz w:val="22"/>
      <w:szCs w:val="22"/>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2022-12-07T06:11:47Z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