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325"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745"/>
        <w:gridCol w:w="936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107" w:type="dxa"/>
            <w:gridSpan w:val="2"/>
            <w:vAlign w:val="center"/>
          </w:tcPr>
          <w:p>
            <w:pP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sz w:val="24"/>
                <w:szCs w:val="24"/>
                <w:lang w:val="en-US" w:eastAsia="zh-CN"/>
              </w:rPr>
              <w:t>生产技术部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主管领导</w:t>
            </w:r>
            <w:r>
              <w:rPr>
                <w:rFonts w:hint="eastAsia" w:asciiTheme="minorEastAsia" w:hAnsiTheme="minorEastAsia" w:eastAsiaTheme="minorEastAsia"/>
                <w:sz w:val="24"/>
                <w:szCs w:val="24"/>
                <w:highlight w:val="none"/>
              </w:rPr>
              <w:t>：</w:t>
            </w:r>
            <w:r>
              <w:rPr>
                <w:rFonts w:hint="eastAsia" w:cs="Times New Roman" w:asciiTheme="minorEastAsia" w:hAnsiTheme="minorEastAsia" w:eastAsiaTheme="minorEastAsia"/>
                <w:sz w:val="24"/>
                <w:szCs w:val="24"/>
                <w:highlight w:val="none"/>
                <w:lang w:val="en-US" w:eastAsia="zh-CN"/>
              </w:rPr>
              <w:t>李洪涛</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陪同人员：</w:t>
            </w:r>
            <w:r>
              <w:rPr>
                <w:rFonts w:hint="eastAsia" w:asciiTheme="minorEastAsia" w:hAnsiTheme="minorEastAsia" w:eastAsiaTheme="minorEastAsia"/>
                <w:sz w:val="24"/>
                <w:szCs w:val="24"/>
                <w:lang w:val="en-US" w:eastAsia="zh-CN"/>
              </w:rPr>
              <w:t>崔红涛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107" w:type="dxa"/>
            <w:gridSpan w:val="2"/>
            <w:vAlign w:val="center"/>
          </w:tcPr>
          <w:p>
            <w:pPr>
              <w:spacing w:before="12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w:t>
            </w:r>
            <w:r>
              <w:rPr>
                <w:rFonts w:hint="eastAsia" w:asciiTheme="minorEastAsia" w:hAnsiTheme="minorEastAsia" w:eastAsiaTheme="minorEastAsia"/>
                <w:sz w:val="24"/>
                <w:szCs w:val="24"/>
                <w:lang w:val="en-US" w:eastAsia="zh-CN"/>
              </w:rPr>
              <w:t>范玲玲</w:t>
            </w:r>
            <w:r>
              <w:rPr>
                <w:rFonts w:hint="eastAsia"/>
                <w:sz w:val="21"/>
                <w:szCs w:val="21"/>
                <w:lang w:val="en-US" w:eastAsia="zh-CN"/>
              </w:rPr>
              <w:t>（远程）审核工具：微信视频、电话、文件传输</w:t>
            </w:r>
            <w:r>
              <w:rPr>
                <w:rFonts w:hint="eastAsia" w:asciiTheme="minorEastAsia" w:hAnsiTheme="minorEastAsia" w:eastAsiaTheme="minorEastAsia"/>
                <w:sz w:val="24"/>
                <w:szCs w:val="24"/>
                <w:lang w:val="en-US" w:eastAsia="zh-CN"/>
              </w:rPr>
              <w:t xml:space="preserve">  </w:t>
            </w:r>
          </w:p>
          <w:p>
            <w:pPr>
              <w:spacing w:before="120"/>
              <w:rPr>
                <w:rFonts w:hint="default" w:cs="Times New Roman" w:asciiTheme="minorEastAsia" w:hAnsiTheme="minorEastAsia" w:eastAsiaTheme="minorEastAsia"/>
                <w:kern w:val="2"/>
                <w:sz w:val="21"/>
                <w:lang w:val="en-US" w:eastAsia="zh-CN" w:bidi="ar-SA"/>
              </w:rPr>
            </w:pPr>
            <w:r>
              <w:rPr>
                <w:rFonts w:hint="eastAsia" w:asciiTheme="minorEastAsia" w:hAnsiTheme="minorEastAsia" w:eastAsiaTheme="minorEastAsia"/>
                <w:sz w:val="24"/>
                <w:szCs w:val="24"/>
              </w:rPr>
              <w:t>审核时间：</w:t>
            </w:r>
            <w:r>
              <w:rPr>
                <w:rFonts w:asciiTheme="minorEastAsia" w:hAnsiTheme="minorEastAsia" w:eastAsiaTheme="minorEastAsia"/>
              </w:rPr>
              <w:t>2022年</w:t>
            </w:r>
            <w:r>
              <w:rPr>
                <w:rFonts w:hint="eastAsia" w:asciiTheme="minorEastAsia" w:hAnsiTheme="minorEastAsia" w:eastAsiaTheme="minorEastAsia"/>
                <w:lang w:val="en-US" w:eastAsia="zh-CN"/>
              </w:rPr>
              <w:t>12</w:t>
            </w:r>
            <w:r>
              <w:rPr>
                <w:rFonts w:asciiTheme="minorEastAsia" w:hAnsiTheme="minorEastAsia" w:eastAsiaTheme="minorEastAsia"/>
              </w:rPr>
              <w:t>月</w:t>
            </w:r>
            <w:r>
              <w:rPr>
                <w:rFonts w:hint="eastAsia" w:asciiTheme="minorEastAsia" w:hAnsiTheme="minorEastAsia" w:eastAsiaTheme="minorEastAsia"/>
                <w:lang w:val="en-US" w:eastAsia="zh-CN"/>
              </w:rPr>
              <w:t>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107" w:type="dxa"/>
            <w:gridSpan w:val="2"/>
            <w:vAlign w:val="center"/>
          </w:tcPr>
          <w:p>
            <w:pPr>
              <w:spacing w:line="300" w:lineRule="exact"/>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审核条款：</w:t>
            </w: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/6.3/6.4/6.5/6.6/8</w:t>
            </w:r>
            <w:r>
              <w:rPr>
                <w:rFonts w:hint="eastAsia"/>
                <w:sz w:val="21"/>
                <w:szCs w:val="21"/>
              </w:rPr>
              <w:t>.</w:t>
            </w:r>
            <w:r>
              <w:rPr>
                <w:rFonts w:hint="eastAsia"/>
                <w:sz w:val="21"/>
                <w:szCs w:val="21"/>
                <w:lang w:val="en-US" w:eastAsia="zh-CN"/>
              </w:rPr>
              <w:t>1/8.2/9.1.1/9.1.2/10.1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部门能源职责权限</w:t>
            </w:r>
          </w:p>
        </w:tc>
        <w:tc>
          <w:tcPr>
            <w:tcW w:w="960" w:type="dxa"/>
            <w:vAlign w:val="top"/>
          </w:tcPr>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107"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cs="Times New Roman"/>
                <w:szCs w:val="22"/>
                <w:lang w:val="en-US" w:eastAsia="zh-CN"/>
              </w:rPr>
            </w:pPr>
            <w:r>
              <w:rPr>
                <w:rFonts w:hint="eastAsia" w:cs="Times New Roman"/>
                <w:szCs w:val="22"/>
                <w:lang w:val="en-US" w:eastAsia="zh-CN"/>
              </w:rPr>
              <w:t>生产技术部</w:t>
            </w:r>
            <w:r>
              <w:rPr>
                <w:rFonts w:hint="eastAsia" w:ascii="Times New Roman" w:hAnsi="Times New Roman" w:eastAsia="宋体" w:cs="Times New Roman"/>
                <w:szCs w:val="22"/>
                <w:lang w:val="en-US" w:eastAsia="zh-CN"/>
              </w:rPr>
              <w:t>领导</w:t>
            </w:r>
            <w:r>
              <w:rPr>
                <w:rFonts w:hint="eastAsia" w:cs="Times New Roman"/>
                <w:szCs w:val="22"/>
                <w:lang w:val="en-US" w:eastAsia="zh-CN"/>
              </w:rPr>
              <w:t>李洪涛</w:t>
            </w:r>
            <w:r>
              <w:rPr>
                <w:rFonts w:hint="eastAsia" w:ascii="Times New Roman" w:hAnsi="Times New Roman" w:eastAsia="宋体" w:cs="Times New Roman"/>
                <w:szCs w:val="22"/>
                <w:lang w:val="en-US" w:eastAsia="zh-CN"/>
              </w:rPr>
              <w:t>介绍：</w:t>
            </w:r>
            <w:r>
              <w:rPr>
                <w:rFonts w:hint="eastAsia" w:cs="Times New Roman"/>
                <w:szCs w:val="22"/>
                <w:lang w:val="en-US" w:eastAsia="zh-CN"/>
              </w:rPr>
              <w:t>生产技术部有经理、检验员、技术人员和操作工；制造过程不连续生产。单班制，不倒班。</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主要职责：</w:t>
            </w:r>
            <w:r>
              <w:rPr>
                <w:rFonts w:hint="eastAsia" w:cs="Times New Roman"/>
                <w:szCs w:val="22"/>
                <w:lang w:val="en-US" w:eastAsia="zh-CN"/>
              </w:rPr>
              <w:t>组织生产，负责生产过程的能源使用管理和控制，负责</w:t>
            </w:r>
            <w:r>
              <w:rPr>
                <w:rFonts w:hint="eastAsia" w:ascii="Times New Roman" w:hAnsi="Times New Roman" w:eastAsia="宋体" w:cs="Times New Roman"/>
                <w:szCs w:val="22"/>
                <w:lang w:val="en-US" w:eastAsia="zh-CN"/>
              </w:rPr>
              <w:t>能源管理体系的能源评审工作</w:t>
            </w:r>
            <w:r>
              <w:rPr>
                <w:rFonts w:hint="eastAsia" w:ascii="Times New Roman" w:hAnsi="Times New Roman" w:cs="Times New Roman"/>
                <w:szCs w:val="22"/>
                <w:lang w:val="en-US" w:eastAsia="zh-CN"/>
              </w:rPr>
              <w:t>，</w:t>
            </w:r>
            <w:r>
              <w:rPr>
                <w:rFonts w:hint="eastAsia" w:ascii="Times New Roman" w:hAnsi="Times New Roman" w:eastAsia="宋体" w:cs="Times New Roman"/>
                <w:szCs w:val="22"/>
                <w:lang w:val="en-US" w:eastAsia="zh-CN"/>
              </w:rPr>
              <w:t>负责严格执行能源管理方案，在日常管理等各项活动中，严格按相关程序或作业规程控制能源绩效参数，保证各项能源指标得到实现；对体系运行中的不符合组织实施整改并监督检查。</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主管领导</w:t>
            </w:r>
            <w:r>
              <w:rPr>
                <w:rFonts w:hint="eastAsia" w:cs="Times New Roman"/>
                <w:szCs w:val="22"/>
                <w:lang w:val="en-US" w:eastAsia="zh-CN"/>
              </w:rPr>
              <w:t>李洪涛</w:t>
            </w:r>
            <w:r>
              <w:rPr>
                <w:rFonts w:hint="eastAsia" w:ascii="Times New Roman" w:hAnsi="Times New Roman" w:eastAsia="宋体" w:cs="Times New Roman"/>
                <w:szCs w:val="22"/>
                <w:lang w:val="en-US" w:eastAsia="zh-CN"/>
              </w:rPr>
              <w:t>对职责清楚。符合要求。</w:t>
            </w:r>
          </w:p>
          <w:p>
            <w:pPr>
              <w:pStyle w:val="2"/>
              <w:spacing w:line="240" w:lineRule="auto"/>
              <w:ind w:left="0" w:leftChars="0" w:firstLine="0" w:firstLineChars="0"/>
              <w:rPr>
                <w:rFonts w:hint="eastAsia" w:eastAsia="宋体"/>
                <w:lang w:val="en-US" w:eastAsia="zh-CN"/>
              </w:rPr>
            </w:pPr>
            <w:r>
              <w:rPr>
                <w:rFonts w:hint="eastAsia"/>
                <w:lang w:val="en-US" w:eastAsia="zh-CN"/>
              </w:rPr>
              <w:drawing>
                <wp:inline distT="0" distB="0" distL="114300" distR="114300">
                  <wp:extent cx="1019810" cy="915035"/>
                  <wp:effectExtent l="0" t="0" r="8890" b="12065"/>
                  <wp:docPr id="3" name="图片 3" descr="167055025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0550250928"/>
                          <pic:cNvPicPr>
                            <a:picLocks noChangeAspect="1"/>
                          </pic:cNvPicPr>
                        </pic:nvPicPr>
                        <pic:blipFill>
                          <a:blip r:embed="rId6"/>
                          <a:stretch>
                            <a:fillRect/>
                          </a:stretch>
                        </pic:blipFill>
                        <pic:spPr>
                          <a:xfrm>
                            <a:off x="0" y="0"/>
                            <a:ext cx="1019810" cy="91503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48385" cy="903605"/>
                  <wp:effectExtent l="0" t="0" r="5715" b="10795"/>
                  <wp:docPr id="5" name="图片 5" descr="167055028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0550280598"/>
                          <pic:cNvPicPr>
                            <a:picLocks noChangeAspect="1"/>
                          </pic:cNvPicPr>
                        </pic:nvPicPr>
                        <pic:blipFill>
                          <a:blip r:embed="rId7"/>
                          <a:stretch>
                            <a:fillRect/>
                          </a:stretch>
                        </pic:blipFill>
                        <pic:spPr>
                          <a:xfrm>
                            <a:off x="0" y="0"/>
                            <a:ext cx="1048385" cy="90360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947420" cy="932815"/>
                  <wp:effectExtent l="0" t="0" r="5080" b="6985"/>
                  <wp:docPr id="6" name="图片 6" descr="167055031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70550311213"/>
                          <pic:cNvPicPr>
                            <a:picLocks noChangeAspect="1"/>
                          </pic:cNvPicPr>
                        </pic:nvPicPr>
                        <pic:blipFill>
                          <a:blip r:embed="rId8"/>
                          <a:stretch>
                            <a:fillRect/>
                          </a:stretch>
                        </pic:blipFill>
                        <pic:spPr>
                          <a:xfrm>
                            <a:off x="0" y="0"/>
                            <a:ext cx="947420" cy="93281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833120" cy="959485"/>
                  <wp:effectExtent l="0" t="0" r="5080" b="5715"/>
                  <wp:docPr id="7" name="图片 7" descr="167055034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0550342017"/>
                          <pic:cNvPicPr>
                            <a:picLocks noChangeAspect="1"/>
                          </pic:cNvPicPr>
                        </pic:nvPicPr>
                        <pic:blipFill>
                          <a:blip r:embed="rId9"/>
                          <a:stretch>
                            <a:fillRect/>
                          </a:stretch>
                        </pic:blipFill>
                        <pic:spPr>
                          <a:xfrm>
                            <a:off x="0" y="0"/>
                            <a:ext cx="833120" cy="959485"/>
                          </a:xfrm>
                          <a:prstGeom prst="rect">
                            <a:avLst/>
                          </a:prstGeom>
                        </pic:spPr>
                      </pic:pic>
                    </a:graphicData>
                  </a:graphic>
                </wp:inline>
              </w:drawing>
            </w:r>
          </w:p>
        </w:tc>
        <w:tc>
          <w:tcPr>
            <w:tcW w:w="1585" w:type="dxa"/>
            <w:vAlign w:val="top"/>
          </w:tcPr>
          <w:p>
            <w:pPr>
              <w:spacing w:line="240" w:lineRule="auto"/>
              <w:rPr>
                <w:rFonts w:hint="eastAsia"/>
                <w:lang w:val="en-US" w:eastAsia="zh-CN"/>
              </w:rPr>
            </w:pPr>
            <w:r>
              <w:rPr>
                <w:rFonts w:hint="eastAsia"/>
                <w:lang w:eastAsia="zh-CN"/>
              </w:rPr>
              <w:t>☑</w:t>
            </w:r>
            <w:r>
              <w:rPr>
                <w:rFonts w:hint="eastAsia"/>
                <w:lang w:val="en-US" w:eastAsia="zh-CN"/>
              </w:rPr>
              <w:t>符合</w:t>
            </w:r>
          </w:p>
          <w:p>
            <w:pPr>
              <w:spacing w:line="240" w:lineRule="auto"/>
              <w:rPr>
                <w:rFonts w:hint="default"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vMerge w:val="restart"/>
          </w:tcPr>
          <w:p>
            <w:pPr>
              <w:rPr>
                <w:rFonts w:hint="default" w:eastAsia="宋体"/>
                <w:lang w:val="en-US" w:eastAsia="zh-CN"/>
              </w:rPr>
            </w:pPr>
            <w:r>
              <w:rPr>
                <w:rFonts w:hint="eastAsia"/>
                <w:color w:val="000000"/>
                <w:szCs w:val="21"/>
                <w:lang w:val="en-US" w:eastAsia="zh-CN"/>
              </w:rPr>
              <w:t>能源</w:t>
            </w:r>
            <w:r>
              <w:rPr>
                <w:rFonts w:hint="eastAsia"/>
                <w:color w:val="000000"/>
                <w:szCs w:val="21"/>
              </w:rPr>
              <w:t>目标</w:t>
            </w:r>
            <w:r>
              <w:rPr>
                <w:rFonts w:hint="eastAsia"/>
                <w:color w:val="000000"/>
                <w:szCs w:val="21"/>
                <w:lang w:val="en-US" w:eastAsia="zh-CN"/>
              </w:rPr>
              <w:t>/不符合纠正</w:t>
            </w:r>
          </w:p>
        </w:tc>
        <w:tc>
          <w:tcPr>
            <w:tcW w:w="960" w:type="dxa"/>
            <w:vMerge w:val="restart"/>
          </w:tcPr>
          <w:p>
            <w:pPr>
              <w:rPr>
                <w:rFonts w:hint="eastAsia"/>
                <w:color w:val="000000"/>
                <w:szCs w:val="21"/>
                <w:lang w:val="en-US" w:eastAsia="zh-CN"/>
              </w:rPr>
            </w:pPr>
            <w:r>
              <w:rPr>
                <w:rFonts w:hint="eastAsia"/>
                <w:color w:val="000000"/>
                <w:szCs w:val="21"/>
              </w:rPr>
              <w:t>En6.2</w:t>
            </w:r>
            <w:r>
              <w:rPr>
                <w:rFonts w:hint="eastAsia"/>
                <w:color w:val="000000"/>
                <w:szCs w:val="21"/>
                <w:lang w:val="en-US" w:eastAsia="zh-CN"/>
              </w:rPr>
              <w:t>/</w:t>
            </w:r>
          </w:p>
          <w:p>
            <w:pPr>
              <w:rPr>
                <w:rFonts w:hint="default" w:eastAsia="宋体"/>
                <w:lang w:val="en-US" w:eastAsia="zh-CN"/>
              </w:rPr>
            </w:pPr>
            <w:r>
              <w:rPr>
                <w:rFonts w:hint="eastAsia"/>
                <w:color w:val="000000"/>
                <w:szCs w:val="21"/>
                <w:lang w:val="en-US" w:eastAsia="zh-CN"/>
              </w:rPr>
              <w:t>10.1</w:t>
            </w:r>
          </w:p>
        </w:tc>
        <w:tc>
          <w:tcPr>
            <w:tcW w:w="745" w:type="dxa"/>
          </w:tcPr>
          <w:p>
            <w:r>
              <w:rPr>
                <w:rFonts w:hint="eastAsia"/>
              </w:rPr>
              <w:t>文件名称</w:t>
            </w:r>
          </w:p>
        </w:tc>
        <w:tc>
          <w:tcPr>
            <w:tcW w:w="9362" w:type="dxa"/>
          </w:tcPr>
          <w:p>
            <w:r>
              <w:rPr>
                <w:rFonts w:hint="eastAsia"/>
              </w:rPr>
              <w:t>如：手册第6.2条款、</w:t>
            </w:r>
            <w:r>
              <w:rPr>
                <w:rFonts w:hint="eastAsia"/>
                <w:lang w:eastAsia="zh-CN"/>
              </w:rPr>
              <w:t>《</w:t>
            </w:r>
            <w:r>
              <w:rPr>
                <w:rFonts w:hint="eastAsia" w:ascii="Times New Roman" w:hAnsi="Times New Roman" w:eastAsia="宋体" w:cs="Times New Roman"/>
                <w:szCs w:val="22"/>
                <w:lang w:val="en-US" w:eastAsia="zh-CN"/>
              </w:rPr>
              <w:t>目标、指标的制定控制程序</w:t>
            </w:r>
            <w:r>
              <w:rPr>
                <w:rFonts w:hint="eastAsia"/>
                <w:lang w:eastAsia="zh-CN"/>
              </w:rPr>
              <w:t>》</w:t>
            </w:r>
            <w:r>
              <w:rPr>
                <w:rFonts w:hint="eastAsia"/>
              </w:rPr>
              <w:t>《</w:t>
            </w:r>
            <w:r>
              <w:rPr>
                <w:rFonts w:hint="eastAsia"/>
                <w:lang w:val="en-US" w:eastAsia="zh-CN"/>
              </w:rPr>
              <w:t>能</w:t>
            </w:r>
            <w:r>
              <w:rPr>
                <w:rFonts w:hint="eastAsia" w:ascii="Times New Roman" w:hAnsi="Times New Roman" w:eastAsia="宋体" w:cs="Times New Roman"/>
                <w:szCs w:val="22"/>
                <w:lang w:val="en-US" w:eastAsia="zh-CN"/>
              </w:rPr>
              <w:t>源目标指标</w:t>
            </w:r>
            <w:r>
              <w:rPr>
                <w:rFonts w:hint="eastAsia"/>
              </w:rPr>
              <w:t>》</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不符合</w:t>
            </w:r>
          </w:p>
          <w:p>
            <w:pPr>
              <w:spacing w:line="240" w:lineRule="auto"/>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673" w:type="dxa"/>
            <w:vMerge w:val="continue"/>
          </w:tcPr>
          <w:p/>
        </w:tc>
        <w:tc>
          <w:tcPr>
            <w:tcW w:w="960" w:type="dxa"/>
            <w:vMerge w:val="continue"/>
          </w:tcPr>
          <w:p/>
        </w:tc>
        <w:tc>
          <w:tcPr>
            <w:tcW w:w="745" w:type="dxa"/>
          </w:tcPr>
          <w:p>
            <w:r>
              <w:rPr>
                <w:rFonts w:hint="eastAsia"/>
              </w:rPr>
              <w:t>运行证据</w:t>
            </w:r>
          </w:p>
        </w:tc>
        <w:tc>
          <w:tcPr>
            <w:tcW w:w="9362" w:type="dxa"/>
          </w:tcPr>
          <w:p>
            <w:r>
              <w:rPr>
                <w:rFonts w:hint="eastAsia"/>
              </w:rPr>
              <w:t>组织建立了与方针一致的文件化的管理目标。为实现总目标而建立的各层级目标具体、有针对性、可测量并且可实现。</w:t>
            </w:r>
          </w:p>
          <w:p>
            <w:r>
              <w:rPr>
                <w:rFonts w:hint="eastAsia"/>
              </w:rPr>
              <w:t>节能目标实现情况的评价，及其测量方法是：</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组织建立</w:t>
            </w:r>
            <w:r>
              <w:rPr>
                <w:rFonts w:hint="eastAsia"/>
                <w:lang w:val="en-US" w:eastAsia="zh-CN"/>
              </w:rPr>
              <w:t>了与方针一致的文件化的管理</w:t>
            </w:r>
            <w:r>
              <w:rPr>
                <w:rFonts w:hint="eastAsia"/>
              </w:rPr>
              <w:t>目标。</w:t>
            </w:r>
            <w:r>
              <w:rPr>
                <w:rFonts w:hint="eastAsia"/>
                <w:lang w:eastAsia="zh-CN"/>
              </w:rPr>
              <w:t>为实现</w:t>
            </w:r>
            <w:r>
              <w:rPr>
                <w:rFonts w:hint="eastAsia"/>
                <w:lang w:val="en-US" w:eastAsia="zh-CN"/>
              </w:rPr>
              <w:t>能源</w:t>
            </w:r>
            <w:r>
              <w:rPr>
                <w:rFonts w:hint="eastAsia"/>
                <w:lang w:eastAsia="zh-CN"/>
              </w:rPr>
              <w:t>目标而建立的各层级</w:t>
            </w:r>
            <w:r>
              <w:rPr>
                <w:rFonts w:hint="eastAsia"/>
                <w:lang w:val="en-US" w:eastAsia="zh-CN"/>
              </w:rPr>
              <w:t>能源</w:t>
            </w:r>
            <w:r>
              <w:rPr>
                <w:rFonts w:hint="eastAsia"/>
                <w:lang w:eastAsia="zh-CN"/>
              </w:rPr>
              <w:t>目标具体、有针对性、可测量并且可实现。</w:t>
            </w:r>
          </w:p>
          <w:p>
            <w:pPr>
              <w:pStyle w:val="2"/>
              <w:rPr>
                <w:rFonts w:hint="eastAsia"/>
                <w:lang w:eastAsia="zh-CN"/>
              </w:rPr>
            </w:pPr>
          </w:p>
          <w:p>
            <w:pPr>
              <w:pStyle w:val="2"/>
              <w:ind w:left="0" w:leftChars="0" w:firstLine="0" w:firstLineChars="0"/>
            </w:pPr>
            <w:r>
              <w:rPr>
                <w:rFonts w:hint="eastAsia" w:ascii="Times New Roman" w:hAnsi="Times New Roman" w:eastAsia="宋体" w:cs="Times New Roman"/>
                <w:kern w:val="2"/>
                <w:sz w:val="21"/>
                <w:szCs w:val="22"/>
                <w:lang w:val="en-US" w:eastAsia="zh-CN" w:bidi="ar-SA"/>
              </w:rPr>
              <w:t>公司的能源</w:t>
            </w:r>
            <w:r>
              <w:rPr>
                <w:rFonts w:hint="eastAsia" w:ascii="Times New Roman" w:hAnsi="Times New Roman" w:eastAsia="宋体" w:cs="Times New Roman"/>
                <w:kern w:val="2"/>
                <w:sz w:val="21"/>
                <w:szCs w:val="22"/>
                <w:highlight w:val="none"/>
                <w:lang w:val="en-US" w:eastAsia="zh-CN" w:bidi="ar-SA"/>
              </w:rPr>
              <w:t>目标实现情况的评价，及其测量方法</w:t>
            </w:r>
            <w:r>
              <w:rPr>
                <w:rFonts w:hint="eastAsia" w:ascii="Times New Roman" w:hAnsi="Times New Roman" w:eastAsia="宋体" w:cs="Times New Roman"/>
                <w:kern w:val="2"/>
                <w:sz w:val="21"/>
                <w:szCs w:val="22"/>
                <w:lang w:val="en-US" w:eastAsia="zh-CN" w:bidi="ar-SA"/>
              </w:rPr>
              <w:t>是：</w:t>
            </w:r>
          </w:p>
          <w:p>
            <w:pPr>
              <w:pStyle w:val="2"/>
              <w:ind w:left="0" w:leftChars="0" w:firstLine="0" w:firstLineChars="0"/>
              <w:rPr>
                <w:rFonts w:hint="default" w:cs="Times New Roman"/>
                <w:kern w:val="2"/>
                <w:sz w:val="21"/>
                <w:szCs w:val="22"/>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val="en-US" w:eastAsia="zh-CN"/>
              </w:rPr>
              <w:t>本部门的能源</w:t>
            </w:r>
            <w:r>
              <w:rPr>
                <w:rFonts w:hint="eastAsia"/>
                <w:lang w:eastAsia="zh-CN"/>
              </w:rPr>
              <w:t>目标实现情况的评价，及其测量方法是：</w:t>
            </w:r>
          </w:p>
          <w:tbl>
            <w:tblPr>
              <w:tblStyle w:val="1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39"/>
              <w:gridCol w:w="135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公司能源</w:t>
                  </w:r>
                  <w:r>
                    <w:rPr>
                      <w:rFonts w:hint="eastAsia"/>
                      <w:lang w:eastAsia="zh-CN"/>
                    </w:rPr>
                    <w:t>目标（</w:t>
                  </w:r>
                  <w:r>
                    <w:rPr>
                      <w:rFonts w:hint="eastAsia"/>
                      <w:lang w:val="en-US" w:eastAsia="zh-CN"/>
                    </w:rPr>
                    <w:t>2022年</w:t>
                  </w:r>
                  <w:r>
                    <w:rPr>
                      <w:rFonts w:hint="eastAsia"/>
                      <w:lang w:eastAsia="zh-CN"/>
                    </w:rPr>
                    <w:t>）</w:t>
                  </w:r>
                </w:p>
              </w:tc>
              <w:tc>
                <w:tcPr>
                  <w:tcW w:w="1939" w:type="dxa"/>
                  <w:shd w:val="clear" w:color="auto" w:fill="auto"/>
                </w:tcPr>
                <w:p>
                  <w:pPr>
                    <w:keepNext w:val="0"/>
                    <w:keepLines w:val="0"/>
                    <w:suppressLineNumbers w:val="0"/>
                    <w:spacing w:before="0" w:beforeAutospacing="0" w:after="0" w:afterAutospacing="0"/>
                    <w:ind w:left="0" w:right="0"/>
                    <w:rPr>
                      <w:rFonts w:hint="eastAsia"/>
                      <w:lang w:val="en-US" w:eastAsia="zh-CN"/>
                    </w:rPr>
                  </w:pPr>
                  <w:r>
                    <w:rPr>
                      <w:rFonts w:hint="eastAsia"/>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责任部门</w:t>
                  </w:r>
                </w:p>
              </w:tc>
              <w:tc>
                <w:tcPr>
                  <w:tcW w:w="2252"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目标实际完成（2022.1-10）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910" w:type="dxa"/>
                  <w:shd w:val="clear" w:color="auto" w:fill="auto"/>
                  <w:vAlign w:val="top"/>
                </w:tcPr>
                <w:p>
                  <w:pPr>
                    <w:widowControl/>
                    <w:spacing w:before="40"/>
                    <w:jc w:val="left"/>
                    <w:rPr>
                      <w:rFonts w:hint="eastAsia" w:ascii="Times New Roman" w:hAnsi="Times New Roman" w:eastAsia="宋体" w:cs="Times New Roman"/>
                      <w:color w:val="0000FF"/>
                      <w:kern w:val="2"/>
                      <w:sz w:val="21"/>
                      <w:szCs w:val="22"/>
                      <w:highlight w:val="yellow"/>
                      <w:lang w:val="en-US" w:eastAsia="zh-CN" w:bidi="ar-SA"/>
                    </w:rPr>
                  </w:pPr>
                  <w:r>
                    <w:rPr>
                      <w:rFonts w:hint="eastAsia" w:ascii="宋体" w:hAnsi="宋体" w:eastAsia="宋体" w:cs="宋体"/>
                      <w:snapToGrid w:val="0"/>
                      <w:kern w:val="0"/>
                    </w:rPr>
                    <w:t>单位产值</w:t>
                  </w:r>
                  <w:r>
                    <w:rPr>
                      <w:rFonts w:hint="eastAsia" w:ascii="宋体" w:hAnsi="宋体" w:cs="宋体"/>
                      <w:snapToGrid w:val="0"/>
                      <w:kern w:val="0"/>
                      <w:lang w:val="en-US" w:eastAsia="zh-CN"/>
                    </w:rPr>
                    <w:t>综合</w:t>
                  </w:r>
                  <w:r>
                    <w:rPr>
                      <w:rFonts w:hint="eastAsia" w:ascii="宋体" w:hAnsi="宋体" w:eastAsia="宋体" w:cs="宋体"/>
                      <w:snapToGrid w:val="0"/>
                      <w:kern w:val="0"/>
                    </w:rPr>
                    <w:t>能耗</w:t>
                  </w:r>
                  <w:r>
                    <w:rPr>
                      <w:rFonts w:hint="eastAsia" w:ascii="宋体" w:hAnsi="宋体" w:eastAsia="宋体" w:cs="宋体"/>
                      <w:snapToGrid w:val="0"/>
                      <w:kern w:val="0"/>
                      <w:lang w:eastAsia="zh-CN"/>
                    </w:rPr>
                    <w:t>≤</w:t>
                  </w:r>
                  <w:r>
                    <w:rPr>
                      <w:rFonts w:hint="eastAsia" w:ascii="宋体" w:hAnsi="宋体" w:cs="宋体"/>
                      <w:snapToGrid w:val="0"/>
                      <w:kern w:val="0"/>
                      <w:lang w:val="en-US" w:eastAsia="zh-CN"/>
                    </w:rPr>
                    <w:t>27</w:t>
                  </w:r>
                  <w:r>
                    <w:rPr>
                      <w:rFonts w:hint="eastAsia" w:ascii="宋体" w:hAnsi="宋体" w:eastAsia="宋体" w:cs="宋体"/>
                      <w:snapToGrid w:val="0"/>
                      <w:kern w:val="0"/>
                    </w:rPr>
                    <w:t>.</w:t>
                  </w:r>
                  <w:r>
                    <w:rPr>
                      <w:rFonts w:hint="eastAsia" w:ascii="宋体" w:hAnsi="宋体" w:cs="宋体"/>
                      <w:snapToGrid w:val="0"/>
                      <w:kern w:val="0"/>
                      <w:lang w:val="en-US" w:eastAsia="zh-CN"/>
                    </w:rPr>
                    <w:t>66</w:t>
                  </w:r>
                  <w:r>
                    <w:rPr>
                      <w:rFonts w:hint="eastAsia" w:ascii="宋体" w:hAnsi="宋体" w:eastAsia="宋体" w:cs="宋体"/>
                      <w:snapToGrid w:val="0"/>
                      <w:kern w:val="0"/>
                    </w:rPr>
                    <w:t>kgce/万元</w:t>
                  </w:r>
                </w:p>
              </w:tc>
              <w:tc>
                <w:tcPr>
                  <w:tcW w:w="1939" w:type="dxa"/>
                  <w:shd w:val="clear" w:color="auto" w:fill="auto"/>
                  <w:vAlign w:val="top"/>
                </w:tcPr>
                <w:p>
                  <w:pPr>
                    <w:widowControl/>
                    <w:spacing w:before="40"/>
                    <w:jc w:val="left"/>
                    <w:rPr>
                      <w:rFonts w:hint="default" w:ascii="Times New Roman" w:hAnsi="Times New Roman" w:eastAsia="宋体" w:cs="Times New Roman"/>
                      <w:color w:val="0000FF"/>
                      <w:kern w:val="2"/>
                      <w:sz w:val="21"/>
                      <w:szCs w:val="22"/>
                      <w:lang w:val="en-US" w:eastAsia="zh-CN" w:bidi="ar-SA"/>
                    </w:rPr>
                  </w:pPr>
                  <w:r>
                    <w:rPr>
                      <w:rFonts w:hint="eastAsia"/>
                      <w:color w:val="000000"/>
                      <w:szCs w:val="18"/>
                      <w:highlight w:val="none"/>
                      <w:lang w:val="en-US" w:eastAsia="zh-CN"/>
                    </w:rPr>
                    <w:t>公司总能耗</w:t>
                  </w:r>
                  <w:r>
                    <w:rPr>
                      <w:rFonts w:hint="eastAsia" w:ascii="宋体" w:hAnsi="宋体" w:eastAsia="宋体" w:cs="宋体"/>
                      <w:snapToGrid w:val="0"/>
                      <w:kern w:val="0"/>
                      <w:highlight w:val="none"/>
                    </w:rPr>
                    <w:t>kgce</w:t>
                  </w:r>
                  <w:r>
                    <w:rPr>
                      <w:rFonts w:hint="eastAsia"/>
                      <w:color w:val="000000"/>
                      <w:szCs w:val="18"/>
                      <w:highlight w:val="none"/>
                      <w:lang w:val="en-US" w:eastAsia="zh-CN"/>
                    </w:rPr>
                    <w:t>/公司总产值（万元）</w:t>
                  </w:r>
                </w:p>
              </w:tc>
              <w:tc>
                <w:tcPr>
                  <w:tcW w:w="1350"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生产技术部</w:t>
                  </w:r>
                </w:p>
              </w:tc>
              <w:tc>
                <w:tcPr>
                  <w:tcW w:w="2252"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r>
                    <w:rPr>
                      <w:rFonts w:hint="eastAsia" w:cs="Times New Roman"/>
                      <w:color w:val="000000"/>
                      <w:szCs w:val="18"/>
                      <w:highlight w:val="none"/>
                      <w:lang w:val="en-US" w:eastAsia="zh-CN"/>
                    </w:rPr>
                    <w:t>实际</w:t>
                  </w:r>
                  <w:r>
                    <w:rPr>
                      <w:rFonts w:hint="eastAsia" w:ascii="Times New Roman" w:hAnsi="Times New Roman" w:eastAsia="宋体" w:cs="Times New Roman"/>
                      <w:color w:val="000000"/>
                      <w:szCs w:val="18"/>
                      <w:highlight w:val="none"/>
                      <w:lang w:val="en-US" w:eastAsia="zh-CN"/>
                    </w:rPr>
                    <w:t>完成</w:t>
                  </w:r>
                  <w:r>
                    <w:rPr>
                      <w:rFonts w:hint="eastAsia"/>
                      <w:color w:val="000000"/>
                      <w:szCs w:val="18"/>
                      <w:highlight w:val="none"/>
                      <w:lang w:val="en-US" w:eastAsia="zh-CN"/>
                    </w:rPr>
                    <w:t>31.44</w:t>
                  </w:r>
                  <w:r>
                    <w:rPr>
                      <w:rFonts w:hint="eastAsia"/>
                      <w:color w:val="000000"/>
                      <w:szCs w:val="18"/>
                      <w:highlight w:val="none"/>
                    </w:rPr>
                    <w:t xml:space="preserve">kgce/万元 </w:t>
                  </w:r>
                  <w:r>
                    <w:rPr>
                      <w:rFonts w:hint="eastAsia"/>
                      <w:color w:val="000000"/>
                      <w:szCs w:val="18"/>
                      <w:highlight w:val="none"/>
                      <w:lang w:eastAsia="zh-CN"/>
                    </w:rPr>
                    <w:t>，</w:t>
                  </w:r>
                  <w:r>
                    <w:rPr>
                      <w:rFonts w:hint="eastAsia"/>
                      <w:color w:val="000000"/>
                      <w:szCs w:val="18"/>
                      <w:highlight w:val="none"/>
                      <w:lang w:val="en-US" w:eastAsia="zh-CN"/>
                    </w:rPr>
                    <w:t>目标未完成</w:t>
                  </w:r>
                </w:p>
              </w:tc>
            </w:tr>
          </w:tbl>
          <w:p>
            <w:pPr>
              <w:keepNext w:val="0"/>
              <w:keepLines w:val="0"/>
              <w:suppressLineNumbers w:val="0"/>
              <w:spacing w:before="0" w:beforeAutospacing="0" w:after="0" w:afterAutospacing="0"/>
              <w:ind w:left="0" w:right="0"/>
              <w:rPr>
                <w:rFonts w:hint="eastAsia"/>
                <w:szCs w:val="22"/>
                <w:lang w:val="en-US" w:eastAsia="zh-CN"/>
              </w:rPr>
            </w:pPr>
          </w:p>
          <w:p>
            <w:pPr>
              <w:keepNext w:val="0"/>
              <w:keepLines w:val="0"/>
              <w:suppressLineNumbers w:val="0"/>
              <w:spacing w:before="0" w:beforeAutospacing="0" w:after="0" w:afterAutospacing="0"/>
              <w:ind w:left="0" w:right="0"/>
              <w:rPr>
                <w:rFonts w:hint="eastAsia"/>
                <w:lang w:val="en-US"/>
              </w:rPr>
            </w:pPr>
            <w:r>
              <w:rPr>
                <w:rFonts w:hint="eastAsia"/>
                <w:szCs w:val="22"/>
                <w:lang w:val="en-US" w:eastAsia="zh-CN"/>
              </w:rPr>
              <w:sym w:font="Wingdings" w:char="00A8"/>
            </w:r>
            <w:r>
              <w:rPr>
                <w:rFonts w:hint="eastAsia"/>
                <w:szCs w:val="22"/>
                <w:lang w:val="en-US" w:eastAsia="zh-CN"/>
              </w:rPr>
              <w:t>部门目标部分已实现</w:t>
            </w:r>
          </w:p>
          <w:p>
            <w:pPr>
              <w:rPr>
                <w:rFonts w:hint="eastAsia" w:ascii="Times New Roman" w:hAnsi="Times New Roman" w:eastAsia="宋体" w:cs="Times New Roman"/>
                <w:szCs w:val="22"/>
                <w:lang w:val="en-US" w:eastAsia="zh-CN"/>
              </w:rPr>
            </w:pPr>
            <w:r>
              <w:rPr>
                <w:rFonts w:hint="eastAsia"/>
                <w:lang w:val="en-US"/>
              </w:rPr>
              <w:sym w:font="Wingdings" w:char="00FE"/>
            </w:r>
            <w:r>
              <w:rPr>
                <w:rFonts w:hint="eastAsia" w:ascii="Times New Roman" w:hAnsi="Times New Roman" w:eastAsia="宋体" w:cs="Times New Roman"/>
                <w:szCs w:val="22"/>
                <w:lang w:val="en-US" w:eastAsia="zh-CN"/>
              </w:rPr>
              <w:t>单位</w:t>
            </w:r>
            <w:r>
              <w:rPr>
                <w:rFonts w:hint="eastAsia" w:cs="Times New Roman"/>
                <w:szCs w:val="22"/>
                <w:lang w:val="en-US" w:eastAsia="zh-CN"/>
              </w:rPr>
              <w:t>产值</w:t>
            </w:r>
            <w:r>
              <w:rPr>
                <w:rFonts w:hint="eastAsia" w:ascii="Times New Roman" w:hAnsi="Times New Roman" w:eastAsia="宋体" w:cs="Times New Roman"/>
                <w:szCs w:val="22"/>
                <w:lang w:val="en-US" w:eastAsia="zh-CN"/>
              </w:rPr>
              <w:t>综合能耗指标未完成。组织在内部</w:t>
            </w:r>
            <w:r>
              <w:rPr>
                <w:rFonts w:hint="eastAsia" w:cs="Times New Roman"/>
                <w:szCs w:val="22"/>
                <w:lang w:val="en-US" w:eastAsia="zh-CN"/>
              </w:rPr>
              <w:t>未</w:t>
            </w:r>
            <w:r>
              <w:rPr>
                <w:rFonts w:hint="eastAsia" w:ascii="Times New Roman" w:hAnsi="Times New Roman" w:eastAsia="宋体" w:cs="Times New Roman"/>
                <w:szCs w:val="22"/>
                <w:lang w:val="en-US" w:eastAsia="zh-CN"/>
              </w:rPr>
              <w:t>进行原因分析并采取改进措施。</w:t>
            </w:r>
          </w:p>
          <w:p>
            <w:pPr>
              <w:rPr>
                <w:rFonts w:hint="default" w:eastAsia="宋体"/>
                <w:lang w:val="en-US" w:eastAsia="zh-CN"/>
              </w:rPr>
            </w:pPr>
            <w:r>
              <w:rPr>
                <w:rFonts w:hint="eastAsia" w:ascii="方正仿宋简体" w:hAnsi="Times New Roman" w:eastAsia="方正仿宋简体" w:cs="Times New Roman"/>
                <w:b w:val="0"/>
                <w:bCs w:val="0"/>
                <w:sz w:val="21"/>
                <w:szCs w:val="21"/>
                <w:u w:val="single"/>
                <w:lang w:val="en-US" w:eastAsia="zh-CN"/>
              </w:rPr>
              <w:t>现场审核发现，</w:t>
            </w:r>
            <w:r>
              <w:rPr>
                <w:rFonts w:hint="eastAsia" w:ascii="宋体" w:hAnsi="宋体"/>
                <w:b w:val="0"/>
                <w:bCs w:val="0"/>
                <w:sz w:val="21"/>
                <w:szCs w:val="21"/>
                <w:u w:val="single"/>
                <w:lang w:val="en-US" w:eastAsia="zh-CN"/>
              </w:rPr>
              <w:t>2022年</w:t>
            </w:r>
            <w:r>
              <w:rPr>
                <w:rFonts w:hint="eastAsia" w:ascii="宋体" w:hAnsi="宋体" w:cs="宋体"/>
                <w:b w:val="0"/>
                <w:bCs w:val="0"/>
                <w:sz w:val="21"/>
                <w:szCs w:val="21"/>
                <w:u w:val="single"/>
              </w:rPr>
              <w:t>单位产品产值能耗为</w:t>
            </w:r>
            <w:r>
              <w:rPr>
                <w:rFonts w:hint="eastAsia" w:ascii="宋体" w:hAnsi="宋体" w:cs="宋体"/>
                <w:b w:val="0"/>
                <w:bCs w:val="0"/>
                <w:sz w:val="21"/>
                <w:szCs w:val="21"/>
                <w:u w:val="single"/>
                <w:lang w:val="en-US" w:eastAsia="zh-CN"/>
              </w:rPr>
              <w:t>31.44</w:t>
            </w:r>
            <w:r>
              <w:rPr>
                <w:rFonts w:hint="eastAsia" w:ascii="宋体" w:hAnsi="宋体" w:cs="宋体"/>
                <w:b w:val="0"/>
                <w:bCs w:val="0"/>
                <w:sz w:val="21"/>
                <w:szCs w:val="21"/>
                <w:u w:val="single"/>
              </w:rPr>
              <w:t>kgce</w:t>
            </w:r>
            <w:r>
              <w:rPr>
                <w:rFonts w:ascii="宋体" w:hAnsi="宋体" w:cs="宋体"/>
                <w:b w:val="0"/>
                <w:bCs w:val="0"/>
                <w:sz w:val="21"/>
                <w:szCs w:val="21"/>
                <w:u w:val="single"/>
              </w:rPr>
              <w:t>/</w:t>
            </w:r>
            <w:r>
              <w:rPr>
                <w:rFonts w:hint="eastAsia" w:ascii="宋体" w:hAnsi="宋体" w:cs="宋体"/>
                <w:b w:val="0"/>
                <w:bCs w:val="0"/>
                <w:sz w:val="21"/>
                <w:szCs w:val="21"/>
                <w:u w:val="single"/>
              </w:rPr>
              <w:t>万元</w:t>
            </w:r>
            <w:r>
              <w:rPr>
                <w:rFonts w:hint="eastAsia" w:ascii="宋体" w:hAnsi="宋体"/>
                <w:b w:val="0"/>
                <w:bCs w:val="0"/>
                <w:sz w:val="21"/>
                <w:szCs w:val="21"/>
                <w:u w:val="single"/>
                <w:lang w:val="en-US" w:eastAsia="zh-CN"/>
              </w:rPr>
              <w:t>，超出2021年的</w:t>
            </w:r>
            <w:r>
              <w:rPr>
                <w:rFonts w:hint="eastAsia" w:ascii="黑体" w:hAnsi="黑体"/>
                <w:b w:val="0"/>
                <w:bCs w:val="0"/>
                <w:sz w:val="21"/>
                <w:szCs w:val="21"/>
                <w:u w:val="single"/>
              </w:rPr>
              <w:t>单位产值能耗为</w:t>
            </w:r>
            <w:r>
              <w:rPr>
                <w:rFonts w:hint="eastAsia" w:ascii="黑体" w:hAnsi="黑体"/>
                <w:b w:val="0"/>
                <w:bCs w:val="0"/>
                <w:sz w:val="21"/>
                <w:szCs w:val="21"/>
                <w:u w:val="single"/>
                <w:lang w:val="en-US" w:eastAsia="zh-CN"/>
              </w:rPr>
              <w:t>27.66</w:t>
            </w:r>
            <w:r>
              <w:rPr>
                <w:rFonts w:hint="eastAsia" w:ascii="黑体" w:hAnsi="黑体"/>
                <w:b w:val="0"/>
                <w:bCs w:val="0"/>
                <w:sz w:val="21"/>
                <w:szCs w:val="21"/>
                <w:u w:val="single"/>
              </w:rPr>
              <w:t>kgce</w:t>
            </w:r>
            <w:r>
              <w:rPr>
                <w:rFonts w:ascii="黑体" w:hAnsi="黑体"/>
                <w:b w:val="0"/>
                <w:bCs w:val="0"/>
                <w:sz w:val="21"/>
                <w:szCs w:val="21"/>
                <w:u w:val="single"/>
              </w:rPr>
              <w:t>/</w:t>
            </w:r>
            <w:r>
              <w:rPr>
                <w:rFonts w:hint="eastAsia" w:ascii="黑体" w:hAnsi="黑体"/>
                <w:b w:val="0"/>
                <w:bCs w:val="0"/>
                <w:sz w:val="21"/>
                <w:szCs w:val="21"/>
                <w:u w:val="single"/>
              </w:rPr>
              <w:t>万元</w:t>
            </w:r>
            <w:r>
              <w:rPr>
                <w:rFonts w:hint="eastAsia" w:ascii="宋体" w:hAnsi="宋体" w:eastAsia="宋体" w:cs="Times New Roman"/>
                <w:b w:val="0"/>
                <w:bCs w:val="0"/>
                <w:sz w:val="21"/>
                <w:szCs w:val="21"/>
                <w:u w:val="single"/>
                <w:lang w:val="en-US" w:eastAsia="zh-CN"/>
              </w:rPr>
              <w:t>，</w:t>
            </w:r>
            <w:r>
              <w:rPr>
                <w:rFonts w:hint="eastAsia" w:ascii="宋体" w:hAnsi="宋体"/>
                <w:b w:val="0"/>
                <w:bCs w:val="0"/>
                <w:sz w:val="21"/>
                <w:szCs w:val="21"/>
                <w:u w:val="single"/>
                <w:lang w:val="en-US" w:eastAsia="zh-CN"/>
              </w:rPr>
              <w:t>没有对升高的原因进行分析，也没有制定控制措施；</w:t>
            </w:r>
          </w:p>
        </w:tc>
        <w:tc>
          <w:tcPr>
            <w:tcW w:w="1585" w:type="dxa"/>
            <w:vMerge w:val="continue"/>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3" w:type="dxa"/>
            <w:vMerge w:val="restart"/>
          </w:tcPr>
          <w:p>
            <w:r>
              <w:rPr>
                <w:rFonts w:hint="eastAsia"/>
                <w:color w:val="000000"/>
                <w:szCs w:val="21"/>
              </w:rPr>
              <w:t>能源评审</w:t>
            </w:r>
          </w:p>
        </w:tc>
        <w:tc>
          <w:tcPr>
            <w:tcW w:w="960" w:type="dxa"/>
            <w:vMerge w:val="restart"/>
          </w:tcPr>
          <w:p>
            <w:r>
              <w:rPr>
                <w:rFonts w:hint="eastAsia"/>
                <w:color w:val="000000"/>
                <w:szCs w:val="21"/>
              </w:rPr>
              <w:t>En6.3 </w:t>
            </w:r>
          </w:p>
        </w:tc>
        <w:tc>
          <w:tcPr>
            <w:tcW w:w="745" w:type="dxa"/>
          </w:tcPr>
          <w:p>
            <w:r>
              <w:rPr>
                <w:rFonts w:hint="eastAsia"/>
              </w:rPr>
              <w:t>文件名称</w:t>
            </w:r>
          </w:p>
        </w:tc>
        <w:tc>
          <w:tcPr>
            <w:tcW w:w="9362" w:type="dxa"/>
          </w:tcPr>
          <w:p>
            <w:r>
              <w:rPr>
                <w:rFonts w:hint="eastAsia"/>
              </w:rPr>
              <w:t>如：手册第</w:t>
            </w:r>
            <w:r>
              <w:rPr>
                <w:rFonts w:hint="eastAsia"/>
                <w:lang w:val="en-US" w:eastAsia="zh-CN"/>
              </w:rPr>
              <w:t>6.3</w:t>
            </w:r>
            <w:r>
              <w:rPr>
                <w:rFonts w:hint="eastAsia"/>
              </w:rPr>
              <w:t>条款、《</w:t>
            </w:r>
            <w:r>
              <w:rPr>
                <w:rFonts w:hint="eastAsia"/>
                <w:color w:val="000000"/>
                <w:szCs w:val="21"/>
              </w:rPr>
              <w:t>能源评审管理程序</w:t>
            </w:r>
            <w:r>
              <w:rPr>
                <w:rFonts w:hint="eastAsia"/>
              </w:rPr>
              <w:t>》</w:t>
            </w:r>
          </w:p>
        </w:tc>
        <w:tc>
          <w:tcPr>
            <w:tcW w:w="1585" w:type="dxa"/>
            <w:vMerge w:val="restart"/>
          </w:tcPr>
          <w:p>
            <w:pPr>
              <w:spacing w:line="240" w:lineRule="auto"/>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73" w:type="dxa"/>
            <w:vMerge w:val="continue"/>
          </w:tcPr>
          <w:p/>
        </w:tc>
        <w:tc>
          <w:tcPr>
            <w:tcW w:w="960" w:type="dxa"/>
            <w:vMerge w:val="continue"/>
          </w:tcPr>
          <w:p/>
        </w:tc>
        <w:tc>
          <w:tcPr>
            <w:tcW w:w="745" w:type="dxa"/>
          </w:tcPr>
          <w:p>
            <w:r>
              <w:rPr>
                <w:rFonts w:hint="eastAsia"/>
              </w:rPr>
              <w:t>运行证据</w:t>
            </w:r>
          </w:p>
        </w:tc>
        <w:tc>
          <w:tcPr>
            <w:tcW w:w="9362" w:type="dxa"/>
          </w:tcPr>
          <w:p>
            <w:pPr>
              <w:jc w:val="left"/>
              <w:rPr>
                <w:rFonts w:hint="eastAsia"/>
              </w:rPr>
            </w:pPr>
            <w:r>
              <w:rPr>
                <w:rFonts w:hint="eastAsia"/>
              </w:rPr>
              <w:t>组织的能源评审报告。组织在开展能源评审时，应考虑：</w:t>
            </w:r>
          </w:p>
          <w:p>
            <w:pPr>
              <w:numPr>
                <w:ilvl w:val="0"/>
                <w:numId w:val="0"/>
              </w:numPr>
              <w:jc w:val="left"/>
              <w:rPr>
                <w:rFonts w:hint="eastAsia"/>
              </w:rPr>
            </w:pPr>
            <w:r>
              <w:t xml:space="preserve"> </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469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numPr>
                      <w:ilvl w:val="0"/>
                      <w:numId w:val="0"/>
                    </w:numPr>
                    <w:jc w:val="left"/>
                    <w:rPr>
                      <w:rFonts w:hint="default"/>
                      <w:lang w:val="en-US" w:eastAsia="zh-CN"/>
                    </w:rPr>
                  </w:pPr>
                  <w:r>
                    <w:rPr>
                      <w:rFonts w:hint="eastAsia"/>
                      <w:lang w:val="en-US" w:eastAsia="zh-CN"/>
                    </w:rPr>
                    <w:t>能源评审项目</w:t>
                  </w:r>
                </w:p>
              </w:tc>
              <w:tc>
                <w:tcPr>
                  <w:tcW w:w="4690" w:type="dxa"/>
                </w:tcPr>
                <w:p>
                  <w:pPr>
                    <w:numPr>
                      <w:ilvl w:val="0"/>
                      <w:numId w:val="0"/>
                    </w:numPr>
                    <w:jc w:val="left"/>
                    <w:rPr>
                      <w:rFonts w:hint="eastAsia"/>
                      <w:lang w:val="en-US" w:eastAsia="zh-CN"/>
                    </w:rPr>
                  </w:pPr>
                  <w:r>
                    <w:rPr>
                      <w:rFonts w:hint="eastAsia"/>
                      <w:lang w:val="en-US" w:eastAsia="zh-CN"/>
                    </w:rPr>
                    <w:t>内容</w:t>
                  </w:r>
                </w:p>
              </w:tc>
              <w:tc>
                <w:tcPr>
                  <w:tcW w:w="1664" w:type="dxa"/>
                </w:tcPr>
                <w:p>
                  <w:pPr>
                    <w:numPr>
                      <w:ilvl w:val="0"/>
                      <w:numId w:val="0"/>
                    </w:numPr>
                    <w:jc w:val="left"/>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89" w:type="dxa"/>
                </w:tcPr>
                <w:p>
                  <w:pPr>
                    <w:numPr>
                      <w:ilvl w:val="0"/>
                      <w:numId w:val="0"/>
                    </w:numPr>
                    <w:jc w:val="left"/>
                    <w:rPr>
                      <w:rFonts w:hint="eastAsia"/>
                    </w:rPr>
                  </w:pPr>
                  <w:r>
                    <w:t>识别当前的能源类型</w:t>
                  </w:r>
                </w:p>
              </w:tc>
              <w:tc>
                <w:tcPr>
                  <w:tcW w:w="4690" w:type="dxa"/>
                </w:tcPr>
                <w:p>
                  <w:pPr>
                    <w:numPr>
                      <w:ilvl w:val="0"/>
                      <w:numId w:val="0"/>
                    </w:numPr>
                    <w:jc w:val="left"/>
                    <w:rPr>
                      <w:rFonts w:hint="default"/>
                      <w:color w:val="021DE4"/>
                      <w:lang w:val="en-US"/>
                    </w:rPr>
                  </w:pPr>
                  <w:r>
                    <w:rPr>
                      <w:rFonts w:hint="eastAsia"/>
                      <w:szCs w:val="22"/>
                      <w:lang w:val="en-US" w:eastAsia="zh-CN"/>
                    </w:rPr>
                    <w:t>能源种类：电、水、柴油</w:t>
                  </w:r>
                </w:p>
              </w:tc>
              <w:tc>
                <w:tcPr>
                  <w:tcW w:w="1664" w:type="dxa"/>
                </w:tcPr>
                <w:p>
                  <w:pPr>
                    <w:numPr>
                      <w:ilvl w:val="0"/>
                      <w:numId w:val="0"/>
                    </w:num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评价过去和现在的能源使用情况和能源消耗水平</w:t>
                  </w:r>
                </w:p>
              </w:tc>
              <w:tc>
                <w:tcPr>
                  <w:tcW w:w="4690" w:type="dxa"/>
                </w:tcPr>
                <w:p>
                  <w:pPr>
                    <w:numPr>
                      <w:ilvl w:val="0"/>
                      <w:numId w:val="0"/>
                    </w:numPr>
                    <w:jc w:val="left"/>
                    <w:rPr>
                      <w:rFonts w:hint="default"/>
                      <w:lang w:val="en-US" w:eastAsia="zh-CN"/>
                    </w:rPr>
                  </w:pPr>
                  <w:r>
                    <w:rPr>
                      <w:rFonts w:hint="eastAsia" w:ascii="Times New Roman" w:hAnsi="Times New Roman" w:eastAsia="宋体" w:cs="Times New Roman"/>
                      <w:szCs w:val="22"/>
                      <w:lang w:val="en-US" w:eastAsia="zh-CN"/>
                    </w:rPr>
                    <w:t>2021年企业生产过程用电量为</w:t>
                  </w:r>
                  <w:r>
                    <w:rPr>
                      <w:rFonts w:hint="eastAsia" w:cs="Times New Roman"/>
                      <w:szCs w:val="22"/>
                      <w:lang w:val="en-US" w:eastAsia="zh-CN"/>
                    </w:rPr>
                    <w:t>8613</w:t>
                  </w:r>
                  <w:r>
                    <w:rPr>
                      <w:rFonts w:hint="eastAsia" w:ascii="Times New Roman" w:hAnsi="Times New Roman" w:eastAsia="宋体" w:cs="Times New Roman"/>
                      <w:szCs w:val="22"/>
                      <w:lang w:val="en-US" w:eastAsia="zh-CN"/>
                    </w:rPr>
                    <w:t>kwh，折合标煤1058.53kgce，水276.79吨，折合标煤71.16 kgce；柴油</w:t>
                  </w:r>
                  <w:r>
                    <w:rPr>
                      <w:rFonts w:hint="eastAsia" w:cs="Times New Roman"/>
                      <w:szCs w:val="22"/>
                      <w:lang w:val="en-US" w:eastAsia="zh-CN"/>
                    </w:rPr>
                    <w:t>1190</w:t>
                  </w:r>
                  <w:r>
                    <w:rPr>
                      <w:rFonts w:hint="eastAsia" w:ascii="Times New Roman" w:hAnsi="Times New Roman" w:eastAsia="宋体" w:cs="Times New Roman"/>
                      <w:szCs w:val="22"/>
                      <w:lang w:val="en-US" w:eastAsia="zh-CN"/>
                    </w:rPr>
                    <w:t>升，折标煤</w:t>
                  </w:r>
                  <w:r>
                    <w:rPr>
                      <w:rFonts w:hint="eastAsia" w:cs="Times New Roman"/>
                      <w:szCs w:val="22"/>
                      <w:lang w:val="en-US" w:eastAsia="zh-CN"/>
                    </w:rPr>
                    <w:t>1491.19</w:t>
                  </w:r>
                  <w:r>
                    <w:rPr>
                      <w:rFonts w:hint="eastAsia" w:ascii="Times New Roman" w:hAnsi="Times New Roman" w:eastAsia="宋体" w:cs="Times New Roman"/>
                      <w:szCs w:val="22"/>
                      <w:lang w:val="en-US" w:eastAsia="zh-CN"/>
                    </w:rPr>
                    <w:t>kgce；合计综合能耗</w:t>
                  </w:r>
                  <w:r>
                    <w:rPr>
                      <w:rFonts w:hint="eastAsia" w:cs="Times New Roman"/>
                      <w:szCs w:val="22"/>
                      <w:lang w:val="en-US" w:eastAsia="zh-CN"/>
                    </w:rPr>
                    <w:t>2620.88</w:t>
                  </w:r>
                  <w:r>
                    <w:rPr>
                      <w:rFonts w:hint="eastAsia" w:ascii="Times New Roman" w:hAnsi="Times New Roman" w:eastAsia="宋体" w:cs="Times New Roman"/>
                      <w:szCs w:val="22"/>
                      <w:lang w:val="en-US" w:eastAsia="zh-CN"/>
                    </w:rPr>
                    <w:t>kgce，占比：电</w:t>
                  </w:r>
                  <w:r>
                    <w:rPr>
                      <w:rFonts w:hint="eastAsia" w:cs="Times New Roman"/>
                      <w:szCs w:val="22"/>
                      <w:lang w:val="en-US" w:eastAsia="zh-CN"/>
                    </w:rPr>
                    <w:t>40.38</w:t>
                  </w:r>
                  <w:r>
                    <w:rPr>
                      <w:rFonts w:hint="eastAsia" w:ascii="Times New Roman" w:hAnsi="Times New Roman" w:eastAsia="宋体" w:cs="Times New Roman"/>
                      <w:szCs w:val="22"/>
                      <w:lang w:val="en-US" w:eastAsia="zh-CN"/>
                    </w:rPr>
                    <w:t>%，柴油占比：</w:t>
                  </w:r>
                  <w:r>
                    <w:rPr>
                      <w:rFonts w:hint="eastAsia" w:cs="Times New Roman"/>
                      <w:szCs w:val="22"/>
                      <w:lang w:val="en-US" w:eastAsia="zh-CN"/>
                    </w:rPr>
                    <w:t>56.89</w:t>
                  </w:r>
                  <w:r>
                    <w:rPr>
                      <w:rFonts w:hint="eastAsia" w:ascii="Times New Roman" w:hAnsi="Times New Roman" w:eastAsia="宋体" w:cs="Times New Roman"/>
                      <w:szCs w:val="22"/>
                      <w:lang w:val="en-US" w:eastAsia="zh-CN"/>
                    </w:rPr>
                    <w:t>%，水占</w:t>
                  </w:r>
                  <w:r>
                    <w:rPr>
                      <w:rFonts w:hint="eastAsia" w:cs="Times New Roman"/>
                      <w:szCs w:val="22"/>
                      <w:lang w:val="en-US" w:eastAsia="zh-CN"/>
                    </w:rPr>
                    <w:t>2.71</w:t>
                  </w:r>
                  <w:r>
                    <w:rPr>
                      <w:rFonts w:hint="eastAsia" w:ascii="Times New Roman" w:hAnsi="Times New Roman" w:eastAsia="宋体" w:cs="Times New Roman"/>
                      <w:szCs w:val="22"/>
                      <w:lang w:val="en-US" w:eastAsia="zh-CN"/>
                    </w:rPr>
                    <w:t>%。</w:t>
                  </w:r>
                </w:p>
                <w:p>
                  <w:pPr>
                    <w:numPr>
                      <w:ilvl w:val="0"/>
                      <w:numId w:val="0"/>
                    </w:numPr>
                    <w:jc w:val="left"/>
                    <w:rPr>
                      <w:rFonts w:hint="eastAsia"/>
                      <w:lang w:val="en-US" w:eastAsia="zh-CN"/>
                    </w:rPr>
                  </w:pPr>
                  <w:r>
                    <w:rPr>
                      <w:rFonts w:hint="eastAsia" w:ascii="Times New Roman" w:hAnsi="Times New Roman" w:eastAsia="宋体" w:cs="Times New Roman"/>
                      <w:szCs w:val="22"/>
                      <w:lang w:val="en-US" w:eastAsia="zh-CN"/>
                    </w:rPr>
                    <w:t>2021年</w:t>
                  </w:r>
                  <w:r>
                    <w:rPr>
                      <w:rFonts w:hint="eastAsia" w:cs="Times New Roman"/>
                      <w:szCs w:val="22"/>
                      <w:lang w:val="en-US" w:eastAsia="zh-CN"/>
                    </w:rPr>
                    <w:t>生产产品</w:t>
                  </w:r>
                  <w:r>
                    <w:rPr>
                      <w:rFonts w:hint="eastAsia" w:ascii="Times New Roman" w:hAnsi="Times New Roman" w:eastAsia="宋体" w:cs="Times New Roman"/>
                      <w:szCs w:val="22"/>
                      <w:lang w:val="en-US" w:eastAsia="zh-CN"/>
                    </w:rPr>
                    <w:t>各种产品产量</w:t>
                  </w:r>
                  <w:r>
                    <w:rPr>
                      <w:rFonts w:hint="eastAsia" w:cs="Times New Roman"/>
                      <w:szCs w:val="22"/>
                      <w:lang w:val="en-US" w:eastAsia="zh-CN"/>
                    </w:rPr>
                    <w:t>2523</w:t>
                  </w:r>
                  <w:r>
                    <w:rPr>
                      <w:rFonts w:hint="eastAsia" w:ascii="Times New Roman" w:hAnsi="Times New Roman" w:eastAsia="宋体" w:cs="Times New Roman"/>
                      <w:szCs w:val="22"/>
                      <w:lang w:val="en-US" w:eastAsia="zh-CN"/>
                    </w:rPr>
                    <w:t>套/台/只</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2021年</w:t>
                  </w:r>
                  <w:r>
                    <w:rPr>
                      <w:rFonts w:hint="eastAsia" w:cs="Times New Roman"/>
                      <w:szCs w:val="22"/>
                      <w:lang w:val="en-US" w:eastAsia="zh-CN"/>
                    </w:rPr>
                    <w:t>生产产品</w:t>
                  </w:r>
                  <w:r>
                    <w:rPr>
                      <w:rFonts w:hint="eastAsia" w:ascii="Times New Roman" w:hAnsi="Times New Roman" w:eastAsia="宋体" w:cs="Times New Roman"/>
                      <w:szCs w:val="22"/>
                      <w:lang w:val="en-US" w:eastAsia="zh-CN"/>
                    </w:rPr>
                    <w:t>产值为：</w:t>
                  </w:r>
                  <w:r>
                    <w:rPr>
                      <w:rFonts w:hint="eastAsia" w:cs="Times New Roman"/>
                      <w:szCs w:val="22"/>
                      <w:lang w:val="en-US" w:eastAsia="zh-CN"/>
                    </w:rPr>
                    <w:t>47.995</w:t>
                  </w:r>
                  <w:r>
                    <w:rPr>
                      <w:rFonts w:hint="eastAsia" w:ascii="Times New Roman" w:hAnsi="Times New Roman" w:eastAsia="宋体" w:cs="Times New Roman"/>
                      <w:szCs w:val="22"/>
                      <w:lang w:val="en-US" w:eastAsia="zh-CN"/>
                    </w:rPr>
                    <w:t>万元；</w:t>
                  </w:r>
                </w:p>
                <w:p>
                  <w:pPr>
                    <w:pStyle w:val="2"/>
                    <w:ind w:left="0" w:leftChars="0" w:firstLine="0" w:firstLineChars="0"/>
                    <w:rPr>
                      <w:rFonts w:hint="eastAsia" w:cs="Times New Roman"/>
                      <w:sz w:val="21"/>
                      <w:szCs w:val="21"/>
                      <w:lang w:val="en-US" w:eastAsia="zh-CN"/>
                    </w:rPr>
                  </w:pPr>
                  <w:r>
                    <w:rPr>
                      <w:rFonts w:hint="eastAsia" w:cs="Times New Roman"/>
                      <w:sz w:val="21"/>
                      <w:szCs w:val="21"/>
                      <w:lang w:val="en-US" w:eastAsia="zh-CN"/>
                    </w:rPr>
                    <w:t>2021年销售产品产量377立</w:t>
                  </w:r>
                  <w:r>
                    <w:rPr>
                      <w:rFonts w:hint="eastAsia" w:ascii="Times New Roman" w:hAnsi="Times New Roman" w:eastAsia="宋体" w:cs="Times New Roman"/>
                      <w:sz w:val="21"/>
                      <w:szCs w:val="21"/>
                      <w:lang w:val="en-US" w:eastAsia="zh-CN"/>
                    </w:rPr>
                    <w:t>/台</w:t>
                  </w:r>
                  <w:r>
                    <w:rPr>
                      <w:rFonts w:hint="eastAsia" w:cs="Times New Roman"/>
                      <w:sz w:val="21"/>
                      <w:szCs w:val="21"/>
                      <w:lang w:val="en-US" w:eastAsia="zh-CN"/>
                    </w:rPr>
                    <w:t>；</w:t>
                  </w:r>
                </w:p>
                <w:p>
                  <w:pPr>
                    <w:pStyle w:val="2"/>
                    <w:ind w:left="0" w:leftChars="0" w:firstLine="0" w:firstLineChars="0"/>
                    <w:rPr>
                      <w:rFonts w:hint="default" w:cs="Times New Roman"/>
                      <w:sz w:val="21"/>
                      <w:szCs w:val="21"/>
                      <w:lang w:val="en-US" w:eastAsia="zh-CN"/>
                    </w:rPr>
                  </w:pPr>
                  <w:r>
                    <w:rPr>
                      <w:rFonts w:hint="eastAsia" w:cs="Times New Roman"/>
                      <w:sz w:val="21"/>
                      <w:szCs w:val="21"/>
                      <w:lang w:val="en-US" w:eastAsia="zh-CN"/>
                    </w:rPr>
                    <w:t>2021年生产销售总产量2900</w:t>
                  </w:r>
                  <w:r>
                    <w:rPr>
                      <w:rFonts w:hint="eastAsia" w:ascii="Times New Roman" w:hAnsi="Times New Roman" w:eastAsia="宋体" w:cs="Times New Roman"/>
                      <w:sz w:val="21"/>
                      <w:szCs w:val="21"/>
                      <w:lang w:val="en-US" w:eastAsia="zh-CN"/>
                    </w:rPr>
                    <w:t>套/台/只</w:t>
                  </w:r>
                </w:p>
                <w:p>
                  <w:pPr>
                    <w:pStyle w:val="3"/>
                    <w:rPr>
                      <w:rFonts w:hint="default"/>
                      <w:sz w:val="21"/>
                      <w:szCs w:val="21"/>
                      <w:lang w:val="en-US" w:eastAsia="zh-CN"/>
                    </w:rPr>
                  </w:pPr>
                  <w:r>
                    <w:rPr>
                      <w:rFonts w:hint="eastAsia" w:cs="Times New Roman"/>
                      <w:sz w:val="21"/>
                      <w:szCs w:val="21"/>
                      <w:lang w:val="en-US" w:eastAsia="zh-CN"/>
                    </w:rPr>
                    <w:t>2021年生产销售产品总产值：94.7375万元</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单位万元产值能耗为2</w:t>
                  </w:r>
                  <w:r>
                    <w:rPr>
                      <w:rFonts w:hint="eastAsia" w:cs="Times New Roman"/>
                      <w:szCs w:val="22"/>
                      <w:lang w:val="en-US" w:eastAsia="zh-CN"/>
                    </w:rPr>
                    <w:t>7</w:t>
                  </w:r>
                  <w:r>
                    <w:rPr>
                      <w:rFonts w:hint="eastAsia" w:ascii="Times New Roman" w:hAnsi="Times New Roman" w:eastAsia="宋体" w:cs="Times New Roman"/>
                      <w:szCs w:val="22"/>
                      <w:lang w:val="en-US" w:eastAsia="zh-CN"/>
                    </w:rPr>
                    <w:t>.</w:t>
                  </w:r>
                  <w:r>
                    <w:rPr>
                      <w:rFonts w:hint="eastAsia" w:cs="Times New Roman"/>
                      <w:szCs w:val="22"/>
                      <w:lang w:val="en-US" w:eastAsia="zh-CN"/>
                    </w:rPr>
                    <w:t>6</w:t>
                  </w:r>
                  <w:r>
                    <w:rPr>
                      <w:rFonts w:hint="eastAsia" w:ascii="Times New Roman" w:hAnsi="Times New Roman" w:eastAsia="宋体" w:cs="Times New Roman"/>
                      <w:szCs w:val="22"/>
                      <w:lang w:val="en-US" w:eastAsia="zh-CN"/>
                    </w:rPr>
                    <w:t>6kgce/万元；</w:t>
                  </w:r>
                </w:p>
                <w:p>
                  <w:pPr>
                    <w:numPr>
                      <w:ilvl w:val="0"/>
                      <w:numId w:val="0"/>
                    </w:numPr>
                    <w:jc w:val="left"/>
                    <w:rPr>
                      <w:rFonts w:hint="eastAsia" w:ascii="Times New Roman" w:hAnsi="Times New Roman" w:eastAsia="宋体" w:cs="Times New Roman"/>
                      <w:szCs w:val="22"/>
                      <w:lang w:val="en-US" w:eastAsia="zh-CN"/>
                    </w:rPr>
                  </w:pPr>
                </w:p>
                <w:p>
                  <w:pPr>
                    <w:numPr>
                      <w:ilvl w:val="0"/>
                      <w:numId w:val="0"/>
                    </w:num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0</w:t>
                  </w:r>
                  <w:r>
                    <w:rPr>
                      <w:rFonts w:hint="eastAsia" w:ascii="Times New Roman" w:hAnsi="Times New Roman" w:eastAsia="宋体" w:cs="Times New Roman"/>
                      <w:szCs w:val="22"/>
                      <w:lang w:val="en-US" w:eastAsia="zh-CN"/>
                    </w:rPr>
                    <w:t>月生产过程用电量为</w:t>
                  </w:r>
                  <w:r>
                    <w:rPr>
                      <w:rFonts w:hint="eastAsia" w:cs="Times New Roman"/>
                      <w:szCs w:val="22"/>
                      <w:lang w:val="en-US" w:eastAsia="zh-CN"/>
                    </w:rPr>
                    <w:t>11013</w:t>
                  </w:r>
                  <w:r>
                    <w:rPr>
                      <w:rFonts w:hint="eastAsia" w:ascii="Times New Roman" w:hAnsi="Times New Roman" w:eastAsia="宋体" w:cs="Times New Roman"/>
                      <w:szCs w:val="22"/>
                      <w:lang w:val="en-US" w:eastAsia="zh-CN"/>
                    </w:rPr>
                    <w:t xml:space="preserve"> kwh，折合标煤1353.49kgce，水</w:t>
                  </w:r>
                  <w:r>
                    <w:rPr>
                      <w:rFonts w:hint="eastAsia" w:cs="Times New Roman"/>
                      <w:szCs w:val="22"/>
                      <w:lang w:val="en-US" w:eastAsia="zh-CN"/>
                    </w:rPr>
                    <w:t>265.74</w:t>
                  </w:r>
                  <w:r>
                    <w:rPr>
                      <w:rFonts w:hint="eastAsia" w:ascii="Times New Roman" w:hAnsi="Times New Roman" w:eastAsia="宋体" w:cs="Times New Roman"/>
                      <w:szCs w:val="22"/>
                      <w:lang w:val="en-US" w:eastAsia="zh-CN"/>
                    </w:rPr>
                    <w:t>吨，折合标煤</w:t>
                  </w:r>
                  <w:r>
                    <w:rPr>
                      <w:rFonts w:hint="eastAsia" w:cs="Times New Roman"/>
                      <w:szCs w:val="22"/>
                      <w:lang w:val="en-US" w:eastAsia="zh-CN"/>
                    </w:rPr>
                    <w:t>68.32</w:t>
                  </w:r>
                  <w:r>
                    <w:rPr>
                      <w:rFonts w:hint="eastAsia" w:ascii="Times New Roman" w:hAnsi="Times New Roman" w:eastAsia="宋体" w:cs="Times New Roman"/>
                      <w:szCs w:val="22"/>
                      <w:lang w:val="en-US" w:eastAsia="zh-CN"/>
                    </w:rPr>
                    <w:t xml:space="preserve"> kgce；柴油</w:t>
                  </w:r>
                  <w:r>
                    <w:rPr>
                      <w:rFonts w:hint="eastAsia" w:cs="Times New Roman"/>
                      <w:szCs w:val="22"/>
                      <w:lang w:val="en-US" w:eastAsia="zh-CN"/>
                    </w:rPr>
                    <w:t>1073</w:t>
                  </w:r>
                  <w:r>
                    <w:rPr>
                      <w:rFonts w:hint="eastAsia" w:ascii="Times New Roman" w:hAnsi="Times New Roman" w:eastAsia="宋体" w:cs="Times New Roman"/>
                      <w:szCs w:val="22"/>
                      <w:lang w:val="en-US" w:eastAsia="zh-CN"/>
                    </w:rPr>
                    <w:t>升，折标煤</w:t>
                  </w:r>
                  <w:r>
                    <w:rPr>
                      <w:rFonts w:hint="eastAsia" w:cs="Times New Roman"/>
                      <w:szCs w:val="22"/>
                      <w:lang w:val="en-US" w:eastAsia="zh-CN"/>
                    </w:rPr>
                    <w:t>1344.58</w:t>
                  </w:r>
                  <w:r>
                    <w:rPr>
                      <w:rFonts w:hint="eastAsia" w:ascii="Times New Roman" w:hAnsi="Times New Roman" w:eastAsia="宋体" w:cs="Times New Roman"/>
                      <w:szCs w:val="22"/>
                      <w:lang w:val="en-US" w:eastAsia="zh-CN"/>
                    </w:rPr>
                    <w:t xml:space="preserve"> kgce；合计综合能耗</w:t>
                  </w:r>
                  <w:r>
                    <w:rPr>
                      <w:rFonts w:hint="eastAsia" w:cs="Times New Roman"/>
                      <w:szCs w:val="22"/>
                      <w:lang w:val="en-US" w:eastAsia="zh-CN"/>
                    </w:rPr>
                    <w:t>2766.39</w:t>
                  </w:r>
                  <w:r>
                    <w:rPr>
                      <w:rFonts w:hint="eastAsia" w:ascii="Times New Roman" w:hAnsi="Times New Roman" w:eastAsia="宋体" w:cs="Times New Roman"/>
                      <w:szCs w:val="22"/>
                      <w:lang w:val="en-US" w:eastAsia="zh-CN"/>
                    </w:rPr>
                    <w:t>kgce，占比：电48</w:t>
                  </w:r>
                  <w:r>
                    <w:rPr>
                      <w:rFonts w:hint="eastAsia" w:cs="Times New Roman"/>
                      <w:szCs w:val="22"/>
                      <w:lang w:val="en-US" w:eastAsia="zh-CN"/>
                    </w:rPr>
                    <w:t>.92</w:t>
                  </w:r>
                  <w:r>
                    <w:rPr>
                      <w:rFonts w:hint="eastAsia" w:ascii="Times New Roman" w:hAnsi="Times New Roman" w:eastAsia="宋体" w:cs="Times New Roman"/>
                      <w:szCs w:val="22"/>
                      <w:lang w:val="en-US" w:eastAsia="zh-CN"/>
                    </w:rPr>
                    <w:t>%，柴油占比：48</w:t>
                  </w:r>
                  <w:r>
                    <w:rPr>
                      <w:rFonts w:hint="eastAsia" w:cs="Times New Roman"/>
                      <w:szCs w:val="22"/>
                      <w:lang w:val="en-US" w:eastAsia="zh-CN"/>
                    </w:rPr>
                    <w:t>.6</w:t>
                  </w:r>
                  <w:r>
                    <w:rPr>
                      <w:rFonts w:hint="eastAsia" w:ascii="Times New Roman" w:hAnsi="Times New Roman" w:eastAsia="宋体" w:cs="Times New Roman"/>
                      <w:szCs w:val="22"/>
                      <w:lang w:val="en-US" w:eastAsia="zh-CN"/>
                    </w:rPr>
                    <w:t>%，水占2</w:t>
                  </w:r>
                  <w:r>
                    <w:rPr>
                      <w:rFonts w:hint="eastAsia" w:cs="Times New Roman"/>
                      <w:szCs w:val="22"/>
                      <w:lang w:val="en-US" w:eastAsia="zh-CN"/>
                    </w:rPr>
                    <w:t>.46</w:t>
                  </w:r>
                  <w:r>
                    <w:rPr>
                      <w:rFonts w:hint="eastAsia" w:ascii="Times New Roman" w:hAnsi="Times New Roman" w:eastAsia="宋体" w:cs="Times New Roman"/>
                      <w:szCs w:val="22"/>
                      <w:lang w:val="en-US" w:eastAsia="zh-CN"/>
                    </w:rPr>
                    <w:t>%。</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0月生产</w:t>
                  </w:r>
                  <w:r>
                    <w:rPr>
                      <w:rFonts w:hint="eastAsia" w:ascii="Times New Roman" w:hAnsi="Times New Roman" w:eastAsia="宋体" w:cs="Times New Roman"/>
                      <w:szCs w:val="22"/>
                      <w:lang w:val="en-US" w:eastAsia="zh-CN"/>
                    </w:rPr>
                    <w:t>各种产品产量</w:t>
                  </w:r>
                  <w:r>
                    <w:rPr>
                      <w:rFonts w:hint="eastAsia" w:cs="Times New Roman"/>
                      <w:szCs w:val="22"/>
                      <w:lang w:val="en-US" w:eastAsia="zh-CN"/>
                    </w:rPr>
                    <w:t>3623</w:t>
                  </w:r>
                  <w:r>
                    <w:rPr>
                      <w:rFonts w:hint="eastAsia" w:ascii="Times New Roman" w:hAnsi="Times New Roman" w:eastAsia="宋体" w:cs="Times New Roman"/>
                      <w:szCs w:val="22"/>
                      <w:lang w:val="en-US" w:eastAsia="zh-CN"/>
                    </w:rPr>
                    <w:t>套/台/只</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w:t>
                  </w:r>
                  <w:r>
                    <w:rPr>
                      <w:rFonts w:hint="eastAsia" w:cs="Times New Roman"/>
                      <w:szCs w:val="22"/>
                      <w:lang w:val="en-US" w:eastAsia="zh-CN"/>
                    </w:rPr>
                    <w:t>2</w:t>
                  </w:r>
                  <w:r>
                    <w:rPr>
                      <w:rFonts w:hint="eastAsia" w:ascii="Times New Roman" w:hAnsi="Times New Roman" w:eastAsia="宋体" w:cs="Times New Roman"/>
                      <w:szCs w:val="22"/>
                      <w:lang w:val="en-US" w:eastAsia="zh-CN"/>
                    </w:rPr>
                    <w:t>年生产产品产值为：44.71万元</w:t>
                  </w:r>
                </w:p>
                <w:p>
                  <w:pPr>
                    <w:pStyle w:val="2"/>
                    <w:ind w:left="0" w:leftChars="0" w:firstLine="0" w:firstLineChars="0"/>
                    <w:rPr>
                      <w:rFonts w:hint="eastAsia" w:cs="Times New Roman"/>
                      <w:sz w:val="21"/>
                      <w:szCs w:val="21"/>
                      <w:lang w:val="en-US" w:eastAsia="zh-CN"/>
                    </w:rPr>
                  </w:pPr>
                  <w:r>
                    <w:rPr>
                      <w:rFonts w:hint="eastAsia" w:cs="Times New Roman"/>
                      <w:sz w:val="21"/>
                      <w:szCs w:val="21"/>
                      <w:lang w:val="en-US" w:eastAsia="zh-CN"/>
                    </w:rPr>
                    <w:t>2022年销售产品产量348立</w:t>
                  </w:r>
                  <w:r>
                    <w:rPr>
                      <w:rFonts w:hint="eastAsia" w:ascii="Times New Roman" w:hAnsi="Times New Roman" w:eastAsia="宋体" w:cs="Times New Roman"/>
                      <w:sz w:val="21"/>
                      <w:szCs w:val="21"/>
                      <w:lang w:val="en-US" w:eastAsia="zh-CN"/>
                    </w:rPr>
                    <w:t>/台</w:t>
                  </w:r>
                  <w:r>
                    <w:rPr>
                      <w:rFonts w:hint="eastAsia" w:cs="Times New Roman"/>
                      <w:sz w:val="21"/>
                      <w:szCs w:val="21"/>
                      <w:lang w:val="en-US" w:eastAsia="zh-CN"/>
                    </w:rPr>
                    <w:t>；</w:t>
                  </w:r>
                </w:p>
                <w:p>
                  <w:pPr>
                    <w:pStyle w:val="2"/>
                    <w:ind w:left="0" w:leftChars="0" w:firstLine="0" w:firstLineChars="0"/>
                    <w:rPr>
                      <w:rFonts w:hint="eastAsia"/>
                      <w:lang w:val="en-US" w:eastAsia="zh-CN"/>
                    </w:rPr>
                  </w:pPr>
                  <w:r>
                    <w:rPr>
                      <w:rFonts w:hint="eastAsia" w:cs="Times New Roman"/>
                      <w:sz w:val="21"/>
                      <w:szCs w:val="21"/>
                      <w:lang w:val="en-US" w:eastAsia="zh-CN"/>
                    </w:rPr>
                    <w:t>2022年生产销售总产量3971</w:t>
                  </w:r>
                  <w:r>
                    <w:rPr>
                      <w:rFonts w:hint="eastAsia" w:ascii="Times New Roman" w:hAnsi="Times New Roman" w:eastAsia="宋体" w:cs="Times New Roman"/>
                      <w:sz w:val="21"/>
                      <w:szCs w:val="21"/>
                      <w:lang w:val="en-US" w:eastAsia="zh-CN"/>
                    </w:rPr>
                    <w:t>套/台/只</w:t>
                  </w:r>
                </w:p>
                <w:p>
                  <w:pPr>
                    <w:numPr>
                      <w:ilvl w:val="0"/>
                      <w:numId w:val="0"/>
                    </w:num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w:t>
                  </w:r>
                  <w:r>
                    <w:rPr>
                      <w:rFonts w:hint="eastAsia" w:cs="Times New Roman"/>
                      <w:szCs w:val="22"/>
                      <w:lang w:val="en-US" w:eastAsia="zh-CN"/>
                    </w:rPr>
                    <w:t>2</w:t>
                  </w:r>
                  <w:r>
                    <w:rPr>
                      <w:rFonts w:hint="eastAsia" w:ascii="Times New Roman" w:hAnsi="Times New Roman" w:eastAsia="宋体" w:cs="Times New Roman"/>
                      <w:szCs w:val="22"/>
                      <w:lang w:val="en-US" w:eastAsia="zh-CN"/>
                    </w:rPr>
                    <w:t>年产值为：</w:t>
                  </w:r>
                  <w:r>
                    <w:rPr>
                      <w:rFonts w:hint="eastAsia" w:cs="Times New Roman"/>
                      <w:szCs w:val="22"/>
                      <w:lang w:val="en-US" w:eastAsia="zh-CN"/>
                    </w:rPr>
                    <w:t>87.9805</w:t>
                  </w:r>
                  <w:r>
                    <w:rPr>
                      <w:rFonts w:hint="eastAsia" w:ascii="Times New Roman" w:hAnsi="Times New Roman" w:eastAsia="宋体" w:cs="Times New Roman"/>
                      <w:szCs w:val="22"/>
                      <w:lang w:val="en-US" w:eastAsia="zh-CN"/>
                    </w:rPr>
                    <w:t>万元</w:t>
                  </w:r>
                </w:p>
                <w:p>
                  <w:pPr>
                    <w:numPr>
                      <w:ilvl w:val="0"/>
                      <w:numId w:val="0"/>
                    </w:numPr>
                    <w:jc w:val="left"/>
                    <w:rPr>
                      <w:rFonts w:hint="eastAsia"/>
                      <w:szCs w:val="22"/>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0</w:t>
                  </w:r>
                  <w:r>
                    <w:rPr>
                      <w:rFonts w:hint="eastAsia" w:ascii="Times New Roman" w:hAnsi="Times New Roman" w:eastAsia="宋体" w:cs="Times New Roman"/>
                      <w:szCs w:val="22"/>
                      <w:lang w:val="en-US" w:eastAsia="zh-CN"/>
                    </w:rPr>
                    <w:t>月份单位产值能耗为：</w:t>
                  </w:r>
                  <w:r>
                    <w:rPr>
                      <w:rFonts w:hint="eastAsia" w:cs="Times New Roman"/>
                      <w:szCs w:val="22"/>
                      <w:lang w:val="en-US" w:eastAsia="zh-CN"/>
                    </w:rPr>
                    <w:t>31.44</w:t>
                  </w:r>
                  <w:r>
                    <w:rPr>
                      <w:rFonts w:hint="eastAsia" w:ascii="Times New Roman" w:hAnsi="Times New Roman" w:eastAsia="宋体" w:cs="Times New Roman"/>
                      <w:szCs w:val="22"/>
                      <w:lang w:val="en-US" w:eastAsia="zh-CN"/>
                    </w:rPr>
                    <w:t>kce/万元；</w:t>
                  </w:r>
                </w:p>
              </w:tc>
              <w:tc>
                <w:tcPr>
                  <w:tcW w:w="1664" w:type="dxa"/>
                </w:tcPr>
                <w:p>
                  <w:pPr>
                    <w:keepNext w:val="0"/>
                    <w:keepLines w:val="0"/>
                    <w:widowControl/>
                    <w:suppressLineNumbers w:val="0"/>
                    <w:jc w:val="left"/>
                    <w:rPr>
                      <w:rFonts w:hint="eastAsia"/>
                      <w:lang w:val="en-US" w:eastAsia="zh-CN"/>
                    </w:rPr>
                  </w:pPr>
                  <w:r>
                    <w:rPr>
                      <w:rFonts w:hint="eastAsia"/>
                      <w:lang w:val="en-US" w:eastAsia="zh-CN"/>
                    </w:rPr>
                    <w:t>根据GB/T2589</w:t>
                  </w:r>
                </w:p>
                <w:p>
                  <w:pPr>
                    <w:keepNext w:val="0"/>
                    <w:keepLines w:val="0"/>
                    <w:widowControl/>
                    <w:suppressLineNumbers w:val="0"/>
                    <w:jc w:val="left"/>
                    <w:rPr>
                      <w:rFonts w:hint="eastAsia"/>
                      <w:lang w:val="en-US" w:eastAsia="zh-CN"/>
                    </w:rPr>
                  </w:pPr>
                  <w:r>
                    <w:rPr>
                      <w:rFonts w:hint="eastAsia"/>
                      <w:lang w:val="en-US" w:eastAsia="zh-CN"/>
                    </w:rPr>
                    <w:t>电折标煤系数：0.1229kgce／（ｋＷ·ｈ）；</w:t>
                  </w:r>
                </w:p>
                <w:p>
                  <w:pPr>
                    <w:pStyle w:val="2"/>
                    <w:ind w:left="0" w:leftChars="0" w:firstLine="0" w:firstLineChars="0"/>
                    <w:rPr>
                      <w:rFonts w:hint="eastAsia"/>
                      <w:lang w:val="en-US" w:eastAsia="zh-CN"/>
                    </w:rPr>
                  </w:pPr>
                  <w:r>
                    <w:rPr>
                      <w:rFonts w:hint="eastAsia"/>
                      <w:sz w:val="21"/>
                      <w:szCs w:val="21"/>
                      <w:lang w:val="en-US" w:eastAsia="zh-CN"/>
                    </w:rPr>
                    <w:t>新水折标煤系数</w:t>
                  </w:r>
                  <w:r>
                    <w:rPr>
                      <w:rFonts w:hint="eastAsia"/>
                      <w:lang w:val="en-US" w:eastAsia="zh-CN"/>
                    </w:rPr>
                    <w:t>：</w:t>
                  </w:r>
                  <w:r>
                    <w:rPr>
                      <w:rFonts w:hint="eastAsia"/>
                      <w:sz w:val="21"/>
                      <w:szCs w:val="21"/>
                      <w:lang w:val="en-US" w:eastAsia="zh-CN"/>
                    </w:rPr>
                    <w:t>0.2571kgce/t</w:t>
                  </w:r>
                </w:p>
                <w:p>
                  <w:pPr>
                    <w:pStyle w:val="2"/>
                    <w:ind w:left="0" w:leftChars="0" w:firstLine="0" w:firstLineChars="0"/>
                    <w:rPr>
                      <w:rFonts w:hint="default"/>
                      <w:sz w:val="21"/>
                      <w:szCs w:val="21"/>
                      <w:lang w:val="en-US" w:eastAsia="zh-CN"/>
                    </w:rPr>
                  </w:pPr>
                  <w:r>
                    <w:rPr>
                      <w:rFonts w:hint="eastAsia"/>
                      <w:sz w:val="21"/>
                      <w:szCs w:val="21"/>
                      <w:lang w:val="en-US" w:eastAsia="zh-CN"/>
                    </w:rPr>
                    <w:t>柴油折煤系数：</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1.4571kgce/Kg</w:t>
                  </w:r>
                </w:p>
                <w:p>
                  <w:pPr>
                    <w:pStyle w:val="2"/>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1L柴油=0.86kg柴油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基于分析，识别主要能源使用</w:t>
                  </w:r>
                  <w:r>
                    <w:rPr>
                      <w:rFonts w:hint="eastAsia"/>
                    </w:rPr>
                    <w:t>；</w:t>
                  </w:r>
                </w:p>
              </w:tc>
              <w:tc>
                <w:tcPr>
                  <w:tcW w:w="4690" w:type="dxa"/>
                </w:tcPr>
                <w:p>
                  <w:pPr>
                    <w:numPr>
                      <w:ilvl w:val="0"/>
                      <w:numId w:val="0"/>
                    </w:numPr>
                    <w:jc w:val="left"/>
                    <w:rPr>
                      <w:rFonts w:hint="default"/>
                      <w:szCs w:val="22"/>
                      <w:lang w:val="en-US"/>
                    </w:rPr>
                  </w:pPr>
                  <w:r>
                    <w:rPr>
                      <w:rFonts w:hint="eastAsia"/>
                      <w:szCs w:val="22"/>
                      <w:lang w:val="en-US" w:eastAsia="zh-CN"/>
                    </w:rPr>
                    <w:t>生产过程能耗电和柴油，占比在97%以上，确定为主要能源，主要能源使用主要在用电设备的运行和铲车使用的柴油。</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numPr>
                      <w:ilvl w:val="0"/>
                      <w:numId w:val="0"/>
                    </w:numPr>
                    <w:jc w:val="left"/>
                    <w:rPr>
                      <w:rFonts w:hint="eastAsia"/>
                      <w:lang w:eastAsia="zh-CN"/>
                    </w:rPr>
                  </w:pPr>
                  <w:r>
                    <w:t>主要</w:t>
                  </w:r>
                  <w:r>
                    <w:rPr>
                      <w:rFonts w:hint="eastAsia"/>
                      <w:lang w:val="en-US" w:eastAsia="zh-CN"/>
                    </w:rPr>
                    <w:t>用能设备</w:t>
                  </w:r>
                </w:p>
              </w:tc>
              <w:tc>
                <w:tcPr>
                  <w:tcW w:w="4690" w:type="dxa"/>
                </w:tcPr>
                <w:p>
                  <w:pPr>
                    <w:numPr>
                      <w:ilvl w:val="0"/>
                      <w:numId w:val="0"/>
                    </w:numPr>
                    <w:jc w:val="left"/>
                    <w:rPr>
                      <w:rFonts w:hint="default"/>
                      <w:szCs w:val="22"/>
                      <w:lang w:val="en-US" w:eastAsia="zh-CN"/>
                    </w:rPr>
                  </w:pPr>
                  <w:r>
                    <w:rPr>
                      <w:rFonts w:hint="eastAsia"/>
                      <w:szCs w:val="22"/>
                      <w:lang w:val="en-US" w:eastAsia="zh-CN"/>
                    </w:rPr>
                    <w:t>车床、焊机、角磨机、钻床、电钻及办公用电设备、照明及铲车等</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ascii="Times New Roman" w:hAnsi="Times New Roman" w:eastAsia="宋体" w:cs="Times New Roman"/>
                      <w:color w:val="0000FF"/>
                      <w:szCs w:val="22"/>
                      <w:highlight w:val="none"/>
                      <w:lang w:val="en-US" w:eastAsia="zh-CN"/>
                    </w:rPr>
                  </w:pPr>
                  <w:r>
                    <w:rPr>
                      <w:rFonts w:hint="eastAsia" w:ascii="Times New Roman" w:hAnsi="Times New Roman" w:eastAsia="宋体" w:cs="Times New Roman"/>
                      <w:szCs w:val="22"/>
                      <w:lang w:val="en-US" w:eastAsia="zh-CN"/>
                    </w:rPr>
                    <w:t>针对每个主要能源使用确定相关变量</w:t>
                  </w:r>
                </w:p>
              </w:tc>
              <w:tc>
                <w:tcPr>
                  <w:tcW w:w="4690" w:type="dxa"/>
                </w:tcPr>
                <w:p>
                  <w:pPr>
                    <w:numPr>
                      <w:ilvl w:val="0"/>
                      <w:numId w:val="0"/>
                    </w:numPr>
                    <w:jc w:val="left"/>
                    <w:rPr>
                      <w:rFonts w:hint="default"/>
                      <w:szCs w:val="22"/>
                      <w:lang w:val="en-US" w:eastAsia="zh-CN"/>
                    </w:rPr>
                  </w:pPr>
                  <w:r>
                    <w:rPr>
                      <w:rFonts w:hint="eastAsia"/>
                      <w:szCs w:val="22"/>
                      <w:lang w:val="en-US" w:eastAsia="zh-CN"/>
                    </w:rPr>
                    <w:t>未提供</w:t>
                  </w:r>
                </w:p>
              </w:tc>
              <w:tc>
                <w:tcPr>
                  <w:tcW w:w="1664" w:type="dxa"/>
                </w:tcPr>
                <w:p>
                  <w:pPr>
                    <w:numPr>
                      <w:ilvl w:val="0"/>
                      <w:numId w:val="0"/>
                    </w:numPr>
                    <w:jc w:val="left"/>
                    <w:rPr>
                      <w:rFonts w:hint="default" w:eastAsia="宋体"/>
                      <w:lang w:val="en-US" w:eastAsia="zh-CN"/>
                    </w:rPr>
                  </w:pPr>
                  <w:r>
                    <w:rPr>
                      <w:rFonts w:hint="eastAsia" w:ascii="Times New Roman" w:hAnsi="Times New Roman" w:eastAsia="宋体" w:cs="Times New Roman"/>
                      <w:color w:val="auto"/>
                      <w:szCs w:val="22"/>
                      <w:lang w:val="en-US" w:eastAsia="zh-CN"/>
                    </w:rPr>
                    <w:t>未提供影响主要能源消耗电和柴油的相关变量分析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针对每个主要能源使用确定当前能源绩效</w:t>
                  </w:r>
                </w:p>
              </w:tc>
              <w:tc>
                <w:tcPr>
                  <w:tcW w:w="4690" w:type="dxa"/>
                </w:tcPr>
                <w:p>
                  <w:pPr>
                    <w:numPr>
                      <w:ilvl w:val="0"/>
                      <w:numId w:val="0"/>
                    </w:numPr>
                    <w:jc w:val="left"/>
                    <w:rPr>
                      <w:rFonts w:hint="eastAsia" w:cs="Times New Roman"/>
                      <w:szCs w:val="22"/>
                      <w:lang w:val="en-US" w:eastAsia="zh-CN"/>
                    </w:rPr>
                  </w:pPr>
                  <w:r>
                    <w:rPr>
                      <w:rFonts w:hint="eastAsia"/>
                      <w:szCs w:val="22"/>
                      <w:lang w:val="en-US" w:eastAsia="zh-CN"/>
                    </w:rPr>
                    <w:t>确</w:t>
                  </w:r>
                  <w:r>
                    <w:rPr>
                      <w:rFonts w:hint="eastAsia" w:ascii="Times New Roman" w:hAnsi="Times New Roman" w:eastAsia="宋体" w:cs="Times New Roman"/>
                      <w:szCs w:val="22"/>
                      <w:lang w:val="en-US" w:eastAsia="zh-CN"/>
                    </w:rPr>
                    <w:t>定了</w:t>
                  </w:r>
                  <w:r>
                    <w:rPr>
                      <w:rFonts w:hint="eastAsia" w:cs="Times New Roman"/>
                      <w:szCs w:val="22"/>
                      <w:lang w:val="en-US" w:eastAsia="zh-CN"/>
                    </w:rPr>
                    <w:t>能源绩效参数：</w:t>
                  </w:r>
                  <w:r>
                    <w:rPr>
                      <w:rFonts w:hint="eastAsia" w:ascii="宋体" w:hAnsi="宋体" w:eastAsia="宋体" w:cs="宋体"/>
                      <w:snapToGrid w:val="0"/>
                      <w:kern w:val="0"/>
                    </w:rPr>
                    <w:t>单位产值能耗kgce/万元</w:t>
                  </w:r>
                </w:p>
                <w:p>
                  <w:pPr>
                    <w:numPr>
                      <w:ilvl w:val="0"/>
                      <w:numId w:val="0"/>
                    </w:numPr>
                    <w:jc w:val="left"/>
                    <w:rPr>
                      <w:rFonts w:hint="default"/>
                      <w:szCs w:val="22"/>
                      <w:lang w:val="en-US"/>
                    </w:rPr>
                  </w:pPr>
                  <w:r>
                    <w:rPr>
                      <w:rFonts w:hint="eastAsia" w:ascii="Times New Roman" w:hAnsi="Times New Roman" w:eastAsia="宋体" w:cs="Times New Roman"/>
                      <w:szCs w:val="22"/>
                      <w:lang w:val="en-US" w:eastAsia="zh-CN"/>
                    </w:rPr>
                    <w:t>2022年1-1</w:t>
                  </w:r>
                  <w:r>
                    <w:rPr>
                      <w:rFonts w:hint="eastAsia" w:cs="Times New Roman"/>
                      <w:szCs w:val="22"/>
                      <w:lang w:val="en-US" w:eastAsia="zh-CN"/>
                    </w:rPr>
                    <w:t>0</w:t>
                  </w:r>
                  <w:r>
                    <w:rPr>
                      <w:rFonts w:hint="eastAsia" w:ascii="Times New Roman" w:hAnsi="Times New Roman" w:eastAsia="宋体" w:cs="Times New Roman"/>
                      <w:szCs w:val="22"/>
                      <w:lang w:val="en-US" w:eastAsia="zh-CN"/>
                    </w:rPr>
                    <w:t>月</w:t>
                  </w:r>
                  <w:r>
                    <w:rPr>
                      <w:rFonts w:hint="eastAsia" w:ascii="宋体" w:hAnsi="宋体" w:eastAsia="宋体" w:cs="宋体"/>
                      <w:snapToGrid w:val="0"/>
                      <w:kern w:val="0"/>
                    </w:rPr>
                    <w:t>单位产值能耗</w:t>
                  </w:r>
                  <w:r>
                    <w:rPr>
                      <w:rFonts w:hint="eastAsia" w:ascii="宋体" w:hAnsi="宋体" w:eastAsia="宋体" w:cs="宋体"/>
                      <w:snapToGrid w:val="0"/>
                      <w:kern w:val="0"/>
                      <w:lang w:eastAsia="zh-CN"/>
                    </w:rPr>
                    <w:t>≤</w:t>
                  </w:r>
                  <w:r>
                    <w:rPr>
                      <w:rFonts w:hint="eastAsia" w:ascii="宋体" w:hAnsi="宋体" w:cs="宋体"/>
                      <w:snapToGrid w:val="0"/>
                      <w:kern w:val="0"/>
                      <w:lang w:val="en-US" w:eastAsia="zh-CN"/>
                    </w:rPr>
                    <w:t>27</w:t>
                  </w:r>
                  <w:r>
                    <w:rPr>
                      <w:rFonts w:hint="eastAsia" w:ascii="宋体" w:hAnsi="宋体" w:eastAsia="宋体" w:cs="宋体"/>
                      <w:snapToGrid w:val="0"/>
                      <w:kern w:val="0"/>
                    </w:rPr>
                    <w:t>.</w:t>
                  </w:r>
                  <w:r>
                    <w:rPr>
                      <w:rFonts w:hint="eastAsia" w:ascii="宋体" w:hAnsi="宋体" w:cs="宋体"/>
                      <w:snapToGrid w:val="0"/>
                      <w:kern w:val="0"/>
                      <w:lang w:val="en-US" w:eastAsia="zh-CN"/>
                    </w:rPr>
                    <w:t>66</w:t>
                  </w:r>
                  <w:r>
                    <w:rPr>
                      <w:rFonts w:hint="eastAsia" w:ascii="宋体" w:hAnsi="宋体" w:eastAsia="宋体" w:cs="宋体"/>
                      <w:snapToGrid w:val="0"/>
                      <w:kern w:val="0"/>
                    </w:rPr>
                    <w:t>kgce/万元</w:t>
                  </w:r>
                  <w:r>
                    <w:rPr>
                      <w:rFonts w:hint="eastAsia" w:cs="Times New Roman"/>
                      <w:szCs w:val="22"/>
                      <w:highlight w:val="none"/>
                      <w:lang w:val="en-US" w:eastAsia="zh-CN"/>
                    </w:rPr>
                    <w:t>；</w:t>
                  </w:r>
                </w:p>
              </w:tc>
              <w:tc>
                <w:tcPr>
                  <w:tcW w:w="1664" w:type="dxa"/>
                </w:tcPr>
                <w:p>
                  <w:pPr>
                    <w:numPr>
                      <w:ilvl w:val="0"/>
                      <w:numId w:val="0"/>
                    </w:numPr>
                    <w:jc w:val="left"/>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rPr>
                      <w:rFonts w:hint="eastAsia"/>
                    </w:rPr>
                  </w:pPr>
                  <w:r>
                    <w:t>识别在其控制下，对主要能源使用具有影响的相关人员</w:t>
                  </w:r>
                </w:p>
              </w:tc>
              <w:tc>
                <w:tcPr>
                  <w:tcW w:w="4690" w:type="dxa"/>
                </w:tcPr>
                <w:p>
                  <w:pPr>
                    <w:numPr>
                      <w:ilvl w:val="0"/>
                      <w:numId w:val="0"/>
                    </w:numPr>
                    <w:jc w:val="left"/>
                    <w:rPr>
                      <w:rFonts w:hint="default"/>
                      <w:szCs w:val="22"/>
                      <w:lang w:val="en-US" w:eastAsia="zh-CN"/>
                    </w:rPr>
                  </w:pPr>
                  <w:r>
                    <w:rPr>
                      <w:rFonts w:hint="eastAsia"/>
                      <w:szCs w:val="22"/>
                      <w:lang w:val="en-US" w:eastAsia="zh-CN"/>
                    </w:rPr>
                    <w:t>描述了影响主要能源使用的相关人员</w:t>
                  </w:r>
                </w:p>
              </w:tc>
              <w:tc>
                <w:tcPr>
                  <w:tcW w:w="1664" w:type="dxa"/>
                </w:tcPr>
                <w:p>
                  <w:pPr>
                    <w:numPr>
                      <w:ilvl w:val="0"/>
                      <w:numId w:val="0"/>
                    </w:num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pPr>
                  <w:r>
                    <w:t>确定改进能源绩效的机会并进行排序</w:t>
                  </w:r>
                </w:p>
              </w:tc>
              <w:tc>
                <w:tcPr>
                  <w:tcW w:w="4690" w:type="dxa"/>
                </w:tcPr>
                <w:p>
                  <w:pPr>
                    <w:numPr>
                      <w:ilvl w:val="0"/>
                      <w:numId w:val="0"/>
                    </w:numPr>
                    <w:jc w:val="left"/>
                    <w:rPr>
                      <w:rFonts w:hint="eastAsia"/>
                      <w:szCs w:val="22"/>
                      <w:lang w:val="en-US" w:eastAsia="zh-CN"/>
                    </w:rPr>
                  </w:pPr>
                  <w:r>
                    <w:rPr>
                      <w:rFonts w:hint="eastAsia"/>
                      <w:szCs w:val="22"/>
                      <w:lang w:val="en-US" w:eastAsia="zh-CN"/>
                    </w:rPr>
                    <w:t>1.能源管理制度方面：加强能源管理考核制度；</w:t>
                  </w:r>
                </w:p>
                <w:p>
                  <w:pPr>
                    <w:numPr>
                      <w:ilvl w:val="0"/>
                      <w:numId w:val="0"/>
                    </w:numPr>
                    <w:jc w:val="left"/>
                    <w:rPr>
                      <w:rFonts w:hint="eastAsia"/>
                      <w:szCs w:val="22"/>
                      <w:lang w:val="en-US" w:eastAsia="zh-CN"/>
                    </w:rPr>
                  </w:pPr>
                  <w:r>
                    <w:rPr>
                      <w:rFonts w:hint="eastAsia"/>
                      <w:szCs w:val="22"/>
                      <w:lang w:val="en-US" w:eastAsia="zh-CN"/>
                    </w:rPr>
                    <w:t>2.加强能源数据的收集；</w:t>
                  </w:r>
                </w:p>
                <w:p>
                  <w:pPr>
                    <w:numPr>
                      <w:ilvl w:val="0"/>
                      <w:numId w:val="0"/>
                    </w:numPr>
                    <w:jc w:val="left"/>
                    <w:rPr>
                      <w:rFonts w:hint="eastAsia"/>
                      <w:szCs w:val="22"/>
                      <w:lang w:val="en-US" w:eastAsia="zh-CN"/>
                    </w:rPr>
                  </w:pPr>
                  <w:r>
                    <w:rPr>
                      <w:rFonts w:hint="eastAsia"/>
                      <w:szCs w:val="22"/>
                      <w:lang w:val="en-US" w:eastAsia="zh-CN"/>
                    </w:rPr>
                    <w:t>3.日常管理方面：加强现场检查，节约能源资源；</w:t>
                  </w:r>
                </w:p>
                <w:p>
                  <w:pPr>
                    <w:numPr>
                      <w:ilvl w:val="0"/>
                      <w:numId w:val="0"/>
                    </w:numPr>
                    <w:jc w:val="left"/>
                    <w:rPr>
                      <w:rFonts w:hint="default"/>
                      <w:szCs w:val="22"/>
                      <w:lang w:val="en-US" w:eastAsia="zh-CN"/>
                    </w:rPr>
                  </w:pPr>
                  <w:r>
                    <w:rPr>
                      <w:rFonts w:hint="eastAsia"/>
                      <w:szCs w:val="22"/>
                      <w:lang w:val="en-US" w:eastAsia="zh-CN"/>
                    </w:rPr>
                    <w:t>4.优化运行方面：从用能设备管理上优化操作，充分利用能源。</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trPr>
              <w:tc>
                <w:tcPr>
                  <w:tcW w:w="2689" w:type="dxa"/>
                </w:tcPr>
                <w:p>
                  <w:pPr>
                    <w:numPr>
                      <w:ilvl w:val="0"/>
                      <w:numId w:val="0"/>
                    </w:numPr>
                    <w:jc w:val="left"/>
                  </w:pPr>
                  <w:r>
                    <w:t>评估未来的能源使用和能源消耗</w:t>
                  </w:r>
                </w:p>
              </w:tc>
              <w:tc>
                <w:tcPr>
                  <w:tcW w:w="4690" w:type="dxa"/>
                </w:tcPr>
                <w:p>
                  <w:pPr>
                    <w:numPr>
                      <w:ilvl w:val="0"/>
                      <w:numId w:val="0"/>
                    </w:numPr>
                    <w:jc w:val="left"/>
                    <w:rPr>
                      <w:rFonts w:hint="eastAsia"/>
                      <w:szCs w:val="22"/>
                    </w:rPr>
                  </w:pPr>
                  <w:r>
                    <w:rPr>
                      <w:rFonts w:hint="eastAsia"/>
                      <w:szCs w:val="22"/>
                      <w:lang w:val="en-US" w:eastAsia="zh-CN"/>
                    </w:rPr>
                    <w:t>公司按照地方政府和能源的使用要求进行能源规划，预计未来几年主要能源使用无大的变化</w:t>
                  </w:r>
                </w:p>
              </w:tc>
              <w:tc>
                <w:tcPr>
                  <w:tcW w:w="1664" w:type="dxa"/>
                </w:tcPr>
                <w:p>
                  <w:pPr>
                    <w:numPr>
                      <w:ilvl w:val="0"/>
                      <w:numId w:val="0"/>
                    </w:num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numPr>
                      <w:ilvl w:val="0"/>
                      <w:numId w:val="0"/>
                    </w:numPr>
                    <w:jc w:val="left"/>
                  </w:pPr>
                  <w:r>
                    <w:rPr>
                      <w:rFonts w:hint="eastAsia"/>
                      <w:lang w:val="en-US" w:eastAsia="zh-CN"/>
                    </w:rPr>
                    <w:t>静态因素：</w:t>
                  </w:r>
                </w:p>
              </w:tc>
              <w:tc>
                <w:tcPr>
                  <w:tcW w:w="4690" w:type="dxa"/>
                </w:tcPr>
                <w:p>
                  <w:pPr>
                    <w:numPr>
                      <w:ilvl w:val="0"/>
                      <w:numId w:val="0"/>
                    </w:numPr>
                    <w:jc w:val="left"/>
                    <w:rPr>
                      <w:rFonts w:hint="default"/>
                      <w:szCs w:val="22"/>
                      <w:lang w:val="en-US" w:eastAsia="zh-CN"/>
                    </w:rPr>
                  </w:pPr>
                  <w:r>
                    <w:rPr>
                      <w:rFonts w:hint="eastAsia"/>
                      <w:szCs w:val="22"/>
                      <w:lang w:val="en-US" w:eastAsia="zh-CN"/>
                    </w:rPr>
                    <w:t>确定用能设备、生产能力等</w:t>
                  </w:r>
                </w:p>
              </w:tc>
              <w:tc>
                <w:tcPr>
                  <w:tcW w:w="1664" w:type="dxa"/>
                </w:tcPr>
                <w:p>
                  <w:pPr>
                    <w:numPr>
                      <w:ilvl w:val="0"/>
                      <w:numId w:val="0"/>
                    </w:numPr>
                    <w:jc w:val="left"/>
                    <w:rPr>
                      <w:rFonts w:hint="default" w:eastAsia="宋体"/>
                      <w:lang w:val="en-US" w:eastAsia="zh-CN"/>
                    </w:rPr>
                  </w:pPr>
                </w:p>
              </w:tc>
            </w:tr>
          </w:tbl>
          <w:p>
            <w:pPr>
              <w:jc w:val="left"/>
            </w:pPr>
          </w:p>
          <w:p>
            <w:pPr>
              <w:jc w:val="left"/>
              <w:rPr>
                <w:rFonts w:hint="default"/>
                <w:lang w:val="en-US" w:eastAsia="zh-CN"/>
              </w:rPr>
            </w:pPr>
            <w:r>
              <w:t>组织应按照规定的时间间隔进行能源评审，当设施、设备、系统或能源使用过程发生显著变化时，应进行能源评审。</w:t>
            </w:r>
          </w:p>
          <w:p>
            <w:pPr>
              <w:jc w:val="left"/>
              <w:rPr>
                <w:rFonts w:hint="default"/>
                <w:color w:val="FF0000"/>
                <w:lang w:val="en-US" w:eastAsia="zh-CN"/>
              </w:rPr>
            </w:pPr>
            <w:r>
              <w:t>组织应保持用于建立能源评审的方法和准则的文件化信息（见7.5），保留能源评审结果的文 件化信息。</w:t>
            </w:r>
            <w:r>
              <w:rPr>
                <w:rFonts w:hint="eastAsia" w:ascii="Times New Roman" w:hAnsi="Times New Roman" w:eastAsia="宋体" w:cs="Times New Roman"/>
                <w:color w:val="FF0000"/>
                <w:szCs w:val="22"/>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restart"/>
          </w:tcPr>
          <w:p>
            <w:r>
              <w:t>能源绩效参数</w:t>
            </w:r>
          </w:p>
        </w:tc>
        <w:tc>
          <w:tcPr>
            <w:tcW w:w="960" w:type="dxa"/>
            <w:vMerge w:val="restart"/>
          </w:tcPr>
          <w:p>
            <w:r>
              <w:rPr>
                <w:rFonts w:hint="eastAsia"/>
                <w:color w:val="000000"/>
                <w:szCs w:val="21"/>
              </w:rPr>
              <w:t>En6.4</w:t>
            </w:r>
          </w:p>
        </w:tc>
        <w:tc>
          <w:tcPr>
            <w:tcW w:w="745" w:type="dxa"/>
          </w:tcPr>
          <w:p>
            <w:r>
              <w:rPr>
                <w:rFonts w:hint="eastAsia"/>
              </w:rPr>
              <w:t>文件名称</w:t>
            </w:r>
          </w:p>
        </w:tc>
        <w:tc>
          <w:tcPr>
            <w:tcW w:w="9362" w:type="dxa"/>
          </w:tcPr>
          <w:p>
            <w:pPr>
              <w:jc w:val="left"/>
              <w:rPr>
                <w:rFonts w:hint="eastAsia" w:asciiTheme="majorEastAsia" w:hAnsiTheme="majorEastAsia" w:eastAsiaTheme="majorEastAsia"/>
              </w:rPr>
            </w:pPr>
            <w:r>
              <w:rPr>
                <w:rFonts w:hint="eastAsia"/>
              </w:rPr>
              <w:t>如：手册第</w:t>
            </w:r>
            <w:r>
              <w:rPr>
                <w:rFonts w:hint="eastAsia"/>
                <w:lang w:val="en-US" w:eastAsia="zh-CN"/>
              </w:rPr>
              <w:t>6.4</w:t>
            </w:r>
            <w:r>
              <w:rPr>
                <w:rFonts w:hint="eastAsia"/>
              </w:rPr>
              <w:t>条款、《</w:t>
            </w:r>
            <w:r>
              <w:rPr>
                <w:rFonts w:hint="eastAsia"/>
                <w:color w:val="000000"/>
                <w:szCs w:val="21"/>
              </w:rPr>
              <w:t>能源评审管理程序</w:t>
            </w:r>
            <w:r>
              <w:rPr>
                <w:rFonts w:hint="eastAsia"/>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1673"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362" w:type="dxa"/>
          </w:tcPr>
          <w:p>
            <w:pPr>
              <w:jc w:val="left"/>
              <w:rPr>
                <w:rFonts w:hint="eastAsia" w:asciiTheme="majorEastAsia" w:hAnsiTheme="majorEastAsia" w:eastAsiaTheme="majorEastAsia"/>
              </w:rPr>
            </w:pPr>
            <w:r>
              <w:rPr>
                <w:rFonts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w:t>
            </w:r>
            <w:r>
              <w:rPr>
                <w:rFonts w:asciiTheme="majorEastAsia" w:hAnsiTheme="majorEastAsia" w:eastAsiaTheme="majorEastAsia"/>
              </w:rPr>
              <w:t>）与监视和测量能源绩效相适宜；</w:t>
            </w:r>
            <w:r>
              <w:rPr>
                <w:rFonts w:hint="eastAsia" w:asciiTheme="majorEastAsia" w:hAnsiTheme="majorEastAsia" w:eastAsiaTheme="majorEastAsia"/>
              </w:rPr>
              <w:t>2</w:t>
            </w:r>
            <w:r>
              <w:rPr>
                <w:rFonts w:asciiTheme="majorEastAsia" w:hAnsiTheme="majorEastAsia" w:eastAsiaTheme="majorEastAsia"/>
              </w:rPr>
              <w:t>）使组织能够证实其能源绩效的改进。</w:t>
            </w:r>
          </w:p>
          <w:p>
            <w:pPr>
              <w:jc w:val="left"/>
              <w:rPr>
                <w:rFonts w:hint="eastAsia" w:asciiTheme="majorEastAsia" w:hAnsiTheme="majorEastAsia" w:eastAsiaTheme="majorEastAsia"/>
              </w:rPr>
            </w:pPr>
            <w:r>
              <w:rPr>
                <w:rFonts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asciiTheme="majorEastAsia" w:hAnsiTheme="majorEastAsia" w:eastAsiaTheme="majorEastAsia"/>
              </w:rPr>
              <w:t>当有数据显示相关变量显著影 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rPr>
              <w:t>组织应评审其能源绩效参数值，并与相应的能源基准进行比较。组织应保留能源绩效参数值的文件化信息。</w:t>
            </w:r>
          </w:p>
          <w:p>
            <w:pPr>
              <w:pStyle w:val="3"/>
            </w:pPr>
          </w:p>
          <w:p>
            <w:pPr>
              <w:numPr>
                <w:ilvl w:val="0"/>
                <w:numId w:val="0"/>
              </w:numPr>
              <w:jc w:val="left"/>
              <w:rPr>
                <w:rFonts w:hint="eastAsia" w:cs="Times New Roman"/>
                <w:szCs w:val="22"/>
                <w:highlight w:val="none"/>
                <w:lang w:val="en-US" w:eastAsia="zh-CN"/>
              </w:rPr>
            </w:pPr>
            <w:r>
              <w:rPr>
                <w:rFonts w:cs="Times New Roman" w:asciiTheme="majorEastAsia" w:hAnsiTheme="majorEastAsia" w:eastAsiaTheme="majorEastAsia"/>
                <w:szCs w:val="22"/>
                <w:highlight w:val="none"/>
              </w:rPr>
              <w:t>能源绩效参数</w:t>
            </w:r>
            <w:r>
              <w:rPr>
                <w:rFonts w:hint="eastAsia" w:cs="Times New Roman" w:asciiTheme="majorEastAsia" w:hAnsiTheme="majorEastAsia" w:eastAsiaTheme="majorEastAsia"/>
                <w:szCs w:val="22"/>
                <w:highlight w:val="none"/>
                <w:lang w:eastAsia="zh-CN"/>
              </w:rPr>
              <w:t>：</w:t>
            </w:r>
            <w:r>
              <w:rPr>
                <w:rFonts w:hint="eastAsia" w:ascii="Times New Roman" w:hAnsi="Times New Roman" w:eastAsia="宋体" w:cs="Times New Roman"/>
                <w:szCs w:val="22"/>
                <w:highlight w:val="none"/>
                <w:lang w:val="en-US" w:eastAsia="zh-CN"/>
              </w:rPr>
              <w:t>单位</w:t>
            </w:r>
            <w:r>
              <w:rPr>
                <w:rFonts w:hint="eastAsia" w:cs="Times New Roman"/>
                <w:szCs w:val="22"/>
                <w:highlight w:val="none"/>
                <w:lang w:val="en-US" w:eastAsia="zh-CN"/>
              </w:rPr>
              <w:t>产值</w:t>
            </w:r>
            <w:r>
              <w:rPr>
                <w:rFonts w:hint="eastAsia" w:ascii="Times New Roman" w:hAnsi="Times New Roman" w:eastAsia="宋体" w:cs="Times New Roman"/>
                <w:szCs w:val="22"/>
                <w:highlight w:val="none"/>
                <w:lang w:val="en-US" w:eastAsia="zh-CN"/>
              </w:rPr>
              <w:t xml:space="preserve">综合能耗 </w:t>
            </w:r>
            <w:r>
              <w:rPr>
                <w:rFonts w:hint="eastAsia" w:cs="Times New Roman"/>
                <w:szCs w:val="22"/>
                <w:highlight w:val="none"/>
                <w:lang w:val="en-US" w:eastAsia="zh-CN"/>
              </w:rPr>
              <w:t>kg</w:t>
            </w:r>
            <w:r>
              <w:rPr>
                <w:rFonts w:hint="eastAsia" w:ascii="Times New Roman" w:hAnsi="Times New Roman" w:eastAsia="宋体" w:cs="Times New Roman"/>
                <w:szCs w:val="22"/>
                <w:highlight w:val="none"/>
                <w:lang w:val="en-US" w:eastAsia="zh-CN"/>
              </w:rPr>
              <w:t>ce/</w:t>
            </w:r>
            <w:r>
              <w:rPr>
                <w:rFonts w:hint="eastAsia" w:cs="Times New Roman"/>
                <w:szCs w:val="22"/>
                <w:highlight w:val="none"/>
                <w:lang w:val="en-US" w:eastAsia="zh-CN"/>
              </w:rPr>
              <w:t>万元</w:t>
            </w:r>
          </w:p>
          <w:p>
            <w:pPr>
              <w:jc w:val="left"/>
              <w:rPr>
                <w:rFonts w:hint="default" w:asciiTheme="majorEastAsia" w:hAnsiTheme="majorEastAsia" w:eastAsiaTheme="majorEastAsia"/>
                <w:lang w:val="en-US"/>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73" w:type="dxa"/>
            <w:vMerge w:val="restart"/>
          </w:tcPr>
          <w:p>
            <w:r>
              <w:t>能源基准</w:t>
            </w:r>
          </w:p>
        </w:tc>
        <w:tc>
          <w:tcPr>
            <w:tcW w:w="960" w:type="dxa"/>
            <w:vMerge w:val="restart"/>
          </w:tcPr>
          <w:p>
            <w:r>
              <w:rPr>
                <w:rFonts w:hint="eastAsia"/>
                <w:color w:val="000000"/>
                <w:szCs w:val="21"/>
              </w:rPr>
              <w:t>En6.5</w:t>
            </w:r>
          </w:p>
        </w:tc>
        <w:tc>
          <w:tcPr>
            <w:tcW w:w="745" w:type="dxa"/>
          </w:tcPr>
          <w:p>
            <w:r>
              <w:rPr>
                <w:rFonts w:hint="eastAsia"/>
              </w:rPr>
              <w:t>文件名称</w:t>
            </w:r>
          </w:p>
        </w:tc>
        <w:tc>
          <w:tcPr>
            <w:tcW w:w="9362" w:type="dxa"/>
          </w:tcPr>
          <w:p>
            <w:pPr>
              <w:jc w:val="left"/>
              <w:rPr>
                <w:rFonts w:hint="eastAsia" w:asciiTheme="majorEastAsia" w:hAnsiTheme="majorEastAsia" w:eastAsiaTheme="majorEastAsia"/>
              </w:rPr>
            </w:pPr>
            <w:r>
              <w:rPr>
                <w:rFonts w:hint="eastAsia"/>
              </w:rPr>
              <w:t>如：手册第</w:t>
            </w:r>
            <w:r>
              <w:rPr>
                <w:rFonts w:hint="eastAsia"/>
                <w:lang w:val="en-US" w:eastAsia="zh-CN"/>
              </w:rPr>
              <w:t>6.5</w:t>
            </w:r>
            <w:r>
              <w:rPr>
                <w:rFonts w:hint="eastAsia"/>
              </w:rPr>
              <w:t>条款、《</w:t>
            </w:r>
            <w:r>
              <w:rPr>
                <w:rFonts w:hint="eastAsia"/>
                <w:color w:val="000000"/>
                <w:szCs w:val="21"/>
              </w:rPr>
              <w:t>能源评审管理程序</w:t>
            </w:r>
            <w:r>
              <w:rPr>
                <w:rFonts w:hint="eastAsia"/>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362" w:type="dxa"/>
          </w:tcPr>
          <w:p>
            <w:pPr>
              <w:jc w:val="left"/>
              <w:rPr>
                <w:rFonts w:hint="eastAsia" w:asciiTheme="majorEastAsia" w:hAnsiTheme="majorEastAsia" w:eastAsiaTheme="majorEastAsia"/>
              </w:rPr>
            </w:pPr>
            <w:r>
              <w:rPr>
                <w:rFonts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asciiTheme="majorEastAsia" w:hAnsiTheme="majorEastAsia" w:eastAsiaTheme="majorEastAsia"/>
              </w:rPr>
              <w:t>当有数据显示相关变量显著影响能源绩效时，组织应对能源绩效参数和相应的能源基准进行归一化。</w:t>
            </w:r>
          </w:p>
          <w:p>
            <w:pPr>
              <w:jc w:val="left"/>
              <w:rPr>
                <w:rFonts w:hint="eastAsia" w:asciiTheme="majorEastAsia" w:hAnsiTheme="majorEastAsia" w:eastAsiaTheme="majorEastAsia"/>
              </w:rPr>
            </w:pPr>
            <w:r>
              <w:rPr>
                <w:rFonts w:asciiTheme="majorEastAsia" w:hAnsiTheme="majorEastAsia" w:eastAsiaTheme="majorEastAsia"/>
              </w:rPr>
              <w:t>根据</w:t>
            </w:r>
            <w:r>
              <w:rPr>
                <w:rFonts w:hint="eastAsia" w:asciiTheme="majorEastAsia" w:hAnsiTheme="majorEastAsia" w:eastAsiaTheme="majorEastAsia"/>
              </w:rPr>
              <w:t>企业</w:t>
            </w:r>
            <w:r>
              <w:rPr>
                <w:rFonts w:asciiTheme="majorEastAsia" w:hAnsiTheme="majorEastAsia" w:eastAsiaTheme="majorEastAsia"/>
              </w:rPr>
              <w:t xml:space="preserve">活动的性质，归一化可以是简单的调整，或者是更加复杂的过程。 当出现以下一种或多种情况时，应对能源基准进行调整： </w:t>
            </w:r>
          </w:p>
          <w:p>
            <w:pPr>
              <w:jc w:val="left"/>
              <w:rPr>
                <w:rFonts w:hint="eastAsia" w:asciiTheme="majorEastAsia" w:hAnsiTheme="majorEastAsia" w:eastAsiaTheme="majorEastAsia"/>
              </w:rPr>
            </w:pPr>
            <w:r>
              <w:rPr>
                <w:rFonts w:asciiTheme="majorEastAsia" w:hAnsiTheme="majorEastAsia" w:eastAsiaTheme="majorEastAsia"/>
              </w:rPr>
              <w:t xml:space="preserve">a）能源绩效参数不再能够反映组织的能源绩效时； </w:t>
            </w:r>
          </w:p>
          <w:p>
            <w:pPr>
              <w:jc w:val="left"/>
              <w:rPr>
                <w:rFonts w:hint="eastAsia" w:asciiTheme="majorEastAsia" w:hAnsiTheme="majorEastAsia" w:eastAsiaTheme="majorEastAsia"/>
              </w:rPr>
            </w:pPr>
            <w:r>
              <w:rPr>
                <w:rFonts w:asciiTheme="majorEastAsia" w:hAnsiTheme="majorEastAsia" w:eastAsiaTheme="majorEastAsia"/>
              </w:rPr>
              <w:t>b）静态因素发生重大变化时；</w:t>
            </w:r>
          </w:p>
          <w:p>
            <w:pPr>
              <w:jc w:val="left"/>
              <w:rPr>
                <w:rFonts w:asciiTheme="majorEastAsia" w:hAnsiTheme="majorEastAsia" w:eastAsiaTheme="majorEastAsia"/>
              </w:rPr>
            </w:pPr>
            <w:r>
              <w:rPr>
                <w:rFonts w:asciiTheme="majorEastAsia" w:hAnsiTheme="majorEastAsia" w:eastAsiaTheme="majorEastAsia"/>
              </w:rPr>
              <w:t>c）其他预先规定的情况。</w:t>
            </w:r>
          </w:p>
          <w:p>
            <w:pPr>
              <w:jc w:val="left"/>
            </w:pPr>
            <w:r>
              <w:rPr>
                <w:rFonts w:asciiTheme="majorEastAsia" w:hAnsiTheme="majorEastAsia" w:eastAsiaTheme="majorEastAsia"/>
              </w:rPr>
              <w:t>组织应保留能源基准、相关变量数据和能源基准的修改的文件化信息。</w:t>
            </w: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cs="Times New Roman" w:asciiTheme="majorEastAsia" w:hAnsiTheme="majorEastAsia" w:eastAsiaTheme="majorEastAsia"/>
                <w:color w:val="021DE4"/>
                <w:kern w:val="2"/>
                <w:sz w:val="21"/>
                <w:lang w:val="en-US" w:eastAsia="zh-CN" w:bidi="ar-SA"/>
              </w:rPr>
            </w:pPr>
            <w:r>
              <w:rPr>
                <w:rFonts w:hint="eastAsia" w:asciiTheme="majorEastAsia" w:hAnsiTheme="majorEastAsia" w:eastAsiaTheme="majorEastAsia"/>
                <w:szCs w:val="22"/>
                <w:highlight w:val="none"/>
                <w:lang w:val="en-US" w:eastAsia="zh-CN"/>
              </w:rPr>
              <w:t>2022年能源基准期：以2021年实际发生的数据，单位产值综合能耗为：</w:t>
            </w:r>
            <w:r>
              <w:rPr>
                <w:rFonts w:hint="eastAsia" w:ascii="宋体" w:hAnsi="宋体" w:cs="宋体" w:eastAsiaTheme="majorEastAsia"/>
                <w:highlight w:val="none"/>
                <w:lang w:val="en-US" w:eastAsia="zh-CN"/>
              </w:rPr>
              <w:t>27.66</w:t>
            </w:r>
            <w:r>
              <w:rPr>
                <w:rFonts w:hint="eastAsia" w:ascii="宋体" w:hAnsi="宋体" w:cs="宋体"/>
                <w:highlight w:val="none"/>
              </w:rPr>
              <w:t>kgce</w:t>
            </w:r>
            <w:r>
              <w:rPr>
                <w:rFonts w:ascii="宋体" w:hAnsi="宋体" w:cs="宋体"/>
                <w:highlight w:val="none"/>
              </w:rPr>
              <w:t>/</w:t>
            </w:r>
            <w:r>
              <w:rPr>
                <w:rFonts w:hint="eastAsia" w:ascii="宋体" w:hAnsi="宋体" w:cs="宋体"/>
                <w:highlight w:val="none"/>
              </w:rPr>
              <w:t>万元</w:t>
            </w:r>
            <w:r>
              <w:rPr>
                <w:rFonts w:hint="eastAsia" w:asciiTheme="majorEastAsia" w:hAnsiTheme="majorEastAsia" w:eastAsiaTheme="majorEastAsia"/>
                <w:szCs w:val="22"/>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73" w:type="dxa"/>
            <w:vMerge w:val="restart"/>
          </w:tcPr>
          <w:p>
            <w:r>
              <w:t>能源</w:t>
            </w:r>
            <w:r>
              <w:rPr>
                <w:rFonts w:hint="eastAsia"/>
              </w:rPr>
              <w:t>数据</w:t>
            </w:r>
            <w:r>
              <w:t>收集的策划</w:t>
            </w:r>
          </w:p>
        </w:tc>
        <w:tc>
          <w:tcPr>
            <w:tcW w:w="960" w:type="dxa"/>
            <w:vMerge w:val="restart"/>
          </w:tcPr>
          <w:p>
            <w:r>
              <w:rPr>
                <w:rFonts w:hint="eastAsia"/>
                <w:color w:val="000000"/>
                <w:szCs w:val="21"/>
              </w:rPr>
              <w:t>En6.6</w:t>
            </w:r>
          </w:p>
        </w:tc>
        <w:tc>
          <w:tcPr>
            <w:tcW w:w="745" w:type="dxa"/>
          </w:tcPr>
          <w:p>
            <w:r>
              <w:rPr>
                <w:rFonts w:hint="eastAsia"/>
              </w:rPr>
              <w:t>文件名称</w:t>
            </w:r>
          </w:p>
        </w:tc>
        <w:tc>
          <w:tcPr>
            <w:tcW w:w="9362" w:type="dxa"/>
          </w:tcPr>
          <w:p>
            <w:pPr>
              <w:jc w:val="left"/>
              <w:rPr>
                <w:rFonts w:asciiTheme="majorEastAsia" w:hAnsiTheme="majorEastAsia" w:eastAsiaTheme="majorEastAsia"/>
              </w:rPr>
            </w:pPr>
            <w:r>
              <w:rPr>
                <w:rFonts w:hint="eastAsia"/>
              </w:rPr>
              <w:t>如：手册第</w:t>
            </w:r>
            <w:r>
              <w:rPr>
                <w:rFonts w:hint="eastAsia"/>
                <w:lang w:val="en-US" w:eastAsia="zh-CN"/>
              </w:rPr>
              <w:t>6.6</w:t>
            </w:r>
            <w:r>
              <w:rPr>
                <w:rFonts w:hint="eastAsia"/>
              </w:rPr>
              <w:t>条款、《</w:t>
            </w:r>
            <w:r>
              <w:rPr>
                <w:rFonts w:hint="eastAsia"/>
                <w:color w:val="000000"/>
                <w:szCs w:val="21"/>
              </w:rPr>
              <w:t>能源评审管理程序</w:t>
            </w:r>
            <w:r>
              <w:rPr>
                <w:rFonts w:hint="eastAsia"/>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73" w:type="dxa"/>
            <w:vMerge w:val="continue"/>
          </w:tcPr>
          <w:p/>
        </w:tc>
        <w:tc>
          <w:tcPr>
            <w:tcW w:w="960" w:type="dxa"/>
            <w:vMerge w:val="continue"/>
          </w:tcPr>
          <w:p>
            <w:pPr>
              <w:rPr>
                <w:rFonts w:hint="eastAsia"/>
                <w:color w:val="000000"/>
                <w:szCs w:val="21"/>
              </w:rPr>
            </w:pPr>
          </w:p>
        </w:tc>
        <w:tc>
          <w:tcPr>
            <w:tcW w:w="745" w:type="dxa"/>
          </w:tcPr>
          <w:p>
            <w:pPr>
              <w:rPr>
                <w:rFonts w:hint="eastAsia"/>
              </w:rPr>
            </w:pPr>
            <w:r>
              <w:rPr>
                <w:rFonts w:hint="eastAsia"/>
              </w:rPr>
              <w:t>运行证据</w:t>
            </w:r>
          </w:p>
        </w:tc>
        <w:tc>
          <w:tcPr>
            <w:tcW w:w="9362" w:type="dxa"/>
          </w:tcPr>
          <w:p>
            <w:pPr>
              <w:jc w:val="left"/>
            </w:pPr>
            <w:r>
              <w:t>企业应确保对其运行中的影响能源绩效的关键特性在规定的时间间隔内进行识别、监视、测 量和分析。</w:t>
            </w:r>
          </w:p>
          <w:p>
            <w:pPr>
              <w:pStyle w:val="2"/>
              <w:rPr>
                <w:rFonts w:hint="eastAsia"/>
              </w:rPr>
            </w:pPr>
          </w:p>
          <w:p>
            <w:pPr>
              <w:jc w:val="left"/>
            </w:pPr>
            <w:r>
              <w:t>应制定和实施能源数据收集计划，计划应与企业的规模、复杂程度、资源及监视和测量设备相适应。计划应明确监视关键特性必要的数据，且应明确以何种方式、何种 频次对数据进行收集和保留。</w:t>
            </w:r>
          </w:p>
          <w:p>
            <w:pPr>
              <w:jc w:val="left"/>
            </w:pPr>
            <w:r>
              <w:t>所收集数据（或适用时通过测量获取）和保留的文件化信息</w:t>
            </w:r>
            <w:r>
              <w:rPr>
                <w:rFonts w:hint="eastAsia"/>
              </w:rPr>
              <w:t>。</w:t>
            </w:r>
            <w:r>
              <w:t>应包括：</w:t>
            </w:r>
          </w:p>
          <w:p>
            <w:pPr>
              <w:numPr>
                <w:ilvl w:val="0"/>
                <w:numId w:val="4"/>
              </w:numPr>
              <w:jc w:val="left"/>
              <w:rPr>
                <w:rFonts w:hint="eastAsia"/>
                <w:lang w:val="en-US" w:eastAsia="zh-CN"/>
              </w:rPr>
            </w:pPr>
            <w:r>
              <w:t>主要能源使用的相关变量；</w:t>
            </w:r>
            <w:r>
              <w:rPr>
                <w:rFonts w:hint="eastAsia"/>
                <w:lang w:val="en-US" w:eastAsia="zh-CN"/>
              </w:rP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numPr>
                <w:ilvl w:val="0"/>
                <w:numId w:val="4"/>
              </w:numPr>
              <w:jc w:val="left"/>
              <w:rPr>
                <w:rFonts w:hint="eastAsia"/>
              </w:rPr>
            </w:pPr>
            <w:r>
              <w:t>与主要能源使用和组织相关的能源消耗；</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r>
              <w:t xml:space="preserve"> </w:t>
            </w:r>
          </w:p>
          <w:p>
            <w:pPr>
              <w:numPr>
                <w:ilvl w:val="0"/>
                <w:numId w:val="4"/>
              </w:numPr>
              <w:ind w:left="0" w:leftChars="0" w:firstLine="0" w:firstLineChars="0"/>
              <w:jc w:val="left"/>
              <w:rPr>
                <w:rFonts w:hint="eastAsia"/>
                <w:u w:val="single"/>
                <w:lang w:val="en-US" w:eastAsia="zh-CN"/>
              </w:rPr>
            </w:pPr>
            <w:r>
              <w:t>与主要能源使用相关的运行准则；</w:t>
            </w:r>
            <w:r>
              <w:rPr>
                <w:rFonts w:hint="eastAsia"/>
                <w:lang w:val="en-US" w:eastAsia="zh-CN"/>
              </w:rPr>
              <w:t xml:space="preserve">     </w:t>
            </w:r>
            <w: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numPr>
                <w:ilvl w:val="0"/>
                <w:numId w:val="4"/>
              </w:numPr>
              <w:ind w:left="0" w:leftChars="0" w:firstLine="0" w:firstLineChars="0"/>
              <w:jc w:val="left"/>
              <w:rPr>
                <w:rFonts w:hint="eastAsia"/>
              </w:rPr>
            </w:pPr>
            <w:r>
              <w:t>适用时，静态因素；</w:t>
            </w:r>
            <w:r>
              <w:rPr>
                <w:rFonts w:hint="eastAsia"/>
                <w:lang w:val="en-US" w:eastAsia="zh-CN"/>
              </w:rP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r>
              <w:t xml:space="preserve"> </w:t>
            </w:r>
          </w:p>
          <w:p>
            <w:pPr>
              <w:jc w:val="left"/>
            </w:pPr>
            <w:r>
              <w:t>e）实施方案中特定的数据。</w:t>
            </w:r>
            <w:r>
              <w:rPr>
                <w:rFonts w:hint="eastAsia"/>
                <w:lang w:val="en-US" w:eastAsia="zh-CN"/>
              </w:rPr>
              <w:t xml:space="preserve">              </w:t>
            </w:r>
            <w:r>
              <w:rPr>
                <w:rFonts w:hint="eastAsia"/>
              </w:rPr>
              <w:sym w:font="Wingdings" w:char="00FE"/>
            </w:r>
            <w:r>
              <w:rPr>
                <w:rFonts w:hint="eastAsia"/>
                <w:lang w:val="en-US" w:eastAsia="zh-CN"/>
              </w:rPr>
              <w:t>有；</w:t>
            </w:r>
            <w:r>
              <w:rPr>
                <w:rFonts w:hint="eastAsia"/>
              </w:rPr>
              <w:sym w:font="Wingdings" w:char="00A8"/>
            </w:r>
            <w:r>
              <w:rPr>
                <w:rFonts w:hint="eastAsia"/>
                <w:lang w:val="en-US" w:eastAsia="zh-CN"/>
              </w:rPr>
              <w:t>无，说明：</w:t>
            </w:r>
            <w:r>
              <w:rPr>
                <w:rFonts w:hint="eastAsia"/>
                <w:u w:val="single"/>
                <w:lang w:val="en-US" w:eastAsia="zh-CN"/>
              </w:rPr>
              <w:t xml:space="preserve">                   </w:t>
            </w:r>
          </w:p>
          <w:p>
            <w:pPr>
              <w:jc w:val="left"/>
            </w:pPr>
            <w:r>
              <w:t>能源数据收集计划应按规定的时间间隔进行评审，并在适用时更新。 企业应确保用于测量关键特性的设备所提供的数据是准确、可重现的。组织应保留测量、监视和其他确立准确度和可重复性的方法的文件化信息。</w:t>
            </w:r>
          </w:p>
          <w:p>
            <w:pPr>
              <w:pStyle w:val="3"/>
            </w:pPr>
          </w:p>
          <w:p>
            <w:pPr>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公司能源数据情况：</w:t>
            </w:r>
          </w:p>
          <w:p>
            <w:pPr>
              <w:jc w:val="lef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每年对水、电、</w:t>
            </w:r>
            <w:r>
              <w:rPr>
                <w:rFonts w:hint="eastAsia" w:cs="Times New Roman"/>
                <w:szCs w:val="22"/>
                <w:lang w:val="en-US" w:eastAsia="zh-CN"/>
              </w:rPr>
              <w:t>柴油、</w:t>
            </w:r>
            <w:r>
              <w:rPr>
                <w:rFonts w:hint="eastAsia" w:ascii="Times New Roman" w:hAnsi="Times New Roman" w:eastAsia="宋体" w:cs="Times New Roman"/>
                <w:szCs w:val="22"/>
                <w:lang w:val="en-US" w:eastAsia="zh-CN"/>
              </w:rPr>
              <w:t>产值</w:t>
            </w:r>
            <w:r>
              <w:rPr>
                <w:rFonts w:hint="eastAsia" w:cs="Times New Roman"/>
                <w:szCs w:val="22"/>
                <w:lang w:val="en-US" w:eastAsia="zh-CN"/>
              </w:rPr>
              <w:t>、产品产量</w:t>
            </w:r>
            <w:r>
              <w:rPr>
                <w:rFonts w:hint="eastAsia" w:ascii="Times New Roman" w:hAnsi="Times New Roman" w:eastAsia="宋体" w:cs="Times New Roman"/>
                <w:szCs w:val="22"/>
                <w:lang w:val="en-US" w:eastAsia="zh-CN"/>
              </w:rPr>
              <w:t>等能源相关数据</w:t>
            </w:r>
            <w:r>
              <w:rPr>
                <w:rFonts w:hint="eastAsia" w:cs="Times New Roman"/>
                <w:szCs w:val="22"/>
                <w:lang w:val="en-US" w:eastAsia="zh-CN"/>
              </w:rPr>
              <w:t>每月</w:t>
            </w:r>
            <w:r>
              <w:rPr>
                <w:rFonts w:hint="eastAsia" w:ascii="Times New Roman" w:hAnsi="Times New Roman" w:eastAsia="宋体" w:cs="Times New Roman"/>
                <w:szCs w:val="22"/>
                <w:lang w:val="en-US" w:eastAsia="zh-CN"/>
              </w:rPr>
              <w:t>进行收集，统计，分析，对出现的异常数据查找原因进行整改。</w:t>
            </w:r>
          </w:p>
          <w:p>
            <w:r>
              <w:rPr>
                <w:rFonts w:hint="eastAsia" w:eastAsia="宋体"/>
                <w:lang w:eastAsia="zh-CN"/>
              </w:rPr>
              <w:drawing>
                <wp:inline distT="0" distB="0" distL="114300" distR="114300">
                  <wp:extent cx="2546985" cy="1176655"/>
                  <wp:effectExtent l="0" t="0" r="5715" b="4445"/>
                  <wp:docPr id="8" name="图片 8" descr="167055234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0552342686"/>
                          <pic:cNvPicPr>
                            <a:picLocks noChangeAspect="1"/>
                          </pic:cNvPicPr>
                        </pic:nvPicPr>
                        <pic:blipFill>
                          <a:blip r:embed="rId10"/>
                          <a:stretch>
                            <a:fillRect/>
                          </a:stretch>
                        </pic:blipFill>
                        <pic:spPr>
                          <a:xfrm>
                            <a:off x="0" y="0"/>
                            <a:ext cx="2546985" cy="117665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2465070" cy="1175385"/>
                  <wp:effectExtent l="0" t="0" r="11430" b="5715"/>
                  <wp:docPr id="9" name="图片 9" descr="167055238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0552382664"/>
                          <pic:cNvPicPr>
                            <a:picLocks noChangeAspect="1"/>
                          </pic:cNvPicPr>
                        </pic:nvPicPr>
                        <pic:blipFill>
                          <a:blip r:embed="rId11"/>
                          <a:stretch>
                            <a:fillRect/>
                          </a:stretch>
                        </pic:blipFill>
                        <pic:spPr>
                          <a:xfrm>
                            <a:off x="0" y="0"/>
                            <a:ext cx="2465070" cy="1175385"/>
                          </a:xfrm>
                          <a:prstGeom prst="rect">
                            <a:avLst/>
                          </a:prstGeom>
                        </pic:spPr>
                      </pic:pic>
                    </a:graphicData>
                  </a:graphic>
                </wp:inline>
              </w:drawing>
            </w:r>
          </w:p>
          <w:p>
            <w:pPr>
              <w:pStyle w:val="4"/>
              <w:numPr>
                <w:ilvl w:val="0"/>
                <w:numId w:val="0"/>
              </w:numPr>
              <w:rPr>
                <w:rFonts w:hint="eastAsia" w:eastAsia="宋体"/>
                <w:lang w:eastAsia="zh-CN"/>
              </w:rPr>
            </w:pPr>
            <w:r>
              <w:rPr>
                <w:rFonts w:hint="eastAsia" w:eastAsia="宋体"/>
                <w:lang w:eastAsia="zh-CN"/>
              </w:rPr>
              <w:drawing>
                <wp:inline distT="0" distB="0" distL="114300" distR="114300">
                  <wp:extent cx="3657600" cy="1714500"/>
                  <wp:effectExtent l="0" t="0" r="0" b="0"/>
                  <wp:docPr id="10" name="图片 10" descr="167055240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70552406695"/>
                          <pic:cNvPicPr>
                            <a:picLocks noChangeAspect="1"/>
                          </pic:cNvPicPr>
                        </pic:nvPicPr>
                        <pic:blipFill>
                          <a:blip r:embed="rId12"/>
                          <a:stretch>
                            <a:fillRect/>
                          </a:stretch>
                        </pic:blipFill>
                        <pic:spPr>
                          <a:xfrm>
                            <a:off x="0" y="0"/>
                            <a:ext cx="3657600" cy="1714500"/>
                          </a:xfrm>
                          <a:prstGeom prst="rect">
                            <a:avLst/>
                          </a:prstGeom>
                        </pic:spPr>
                      </pic:pic>
                    </a:graphicData>
                  </a:graphic>
                </wp:inline>
              </w:drawing>
            </w:r>
          </w:p>
          <w:p>
            <w:pPr>
              <w:rPr>
                <w:rFonts w:hint="default" w:eastAsia="宋体"/>
                <w:lang w:val="en-US" w:eastAsia="zh-CN"/>
              </w:rPr>
            </w:pPr>
            <w:r>
              <w:rPr>
                <w:rFonts w:hint="eastAsia"/>
                <w:lang w:val="en-US" w:eastAsia="zh-CN"/>
              </w:rPr>
              <w:t>2022年1-10月产量，产值</w:t>
            </w:r>
          </w:p>
          <w:p>
            <w:pPr>
              <w:rPr>
                <w:rFonts w:hint="eastAsia"/>
                <w:lang w:val="en-US" w:eastAsia="zh-CN"/>
              </w:rPr>
            </w:pPr>
            <w:r>
              <w:rPr>
                <w:rFonts w:hint="eastAsia" w:ascii="Times New Roman" w:hAnsi="Times New Roman" w:eastAsia="宋体" w:cs="Times New Roman"/>
                <w:szCs w:val="22"/>
                <w:lang w:val="en-US" w:eastAsia="zh-CN"/>
              </w:rPr>
              <w:drawing>
                <wp:inline distT="0" distB="0" distL="114300" distR="114300">
                  <wp:extent cx="2476500" cy="1492250"/>
                  <wp:effectExtent l="0" t="0" r="0" b="6350"/>
                  <wp:docPr id="11" name="图片 11" descr="167055243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0552436581"/>
                          <pic:cNvPicPr>
                            <a:picLocks noChangeAspect="1"/>
                          </pic:cNvPicPr>
                        </pic:nvPicPr>
                        <pic:blipFill>
                          <a:blip r:embed="rId13"/>
                          <a:stretch>
                            <a:fillRect/>
                          </a:stretch>
                        </pic:blipFill>
                        <pic:spPr>
                          <a:xfrm>
                            <a:off x="0" y="0"/>
                            <a:ext cx="2476500" cy="1492250"/>
                          </a:xfrm>
                          <a:prstGeom prst="rect">
                            <a:avLst/>
                          </a:prstGeom>
                        </pic:spPr>
                      </pic:pic>
                    </a:graphicData>
                  </a:graphic>
                </wp:inline>
              </w:drawing>
            </w:r>
          </w:p>
          <w:p>
            <w:pPr>
              <w:rPr>
                <w:rFonts w:hint="default"/>
                <w:szCs w:val="22"/>
                <w:lang w:val="en-US" w:eastAsia="zh-CN"/>
              </w:rPr>
            </w:pPr>
            <w:r>
              <w:rPr>
                <w:rFonts w:hint="eastAsia" w:ascii="Times New Roman" w:hAnsi="Times New Roman" w:eastAsia="宋体" w:cs="Times New Roman"/>
                <w:szCs w:val="22"/>
                <w:lang w:val="en-US" w:eastAsia="zh-CN"/>
              </w:rPr>
              <w:t>公司</w:t>
            </w:r>
            <w:r>
              <w:rPr>
                <w:rFonts w:hint="eastAsia" w:cs="Times New Roman"/>
                <w:szCs w:val="22"/>
                <w:lang w:val="en-US" w:eastAsia="zh-CN"/>
              </w:rPr>
              <w:t>生产过程</w:t>
            </w:r>
            <w:r>
              <w:rPr>
                <w:rFonts w:hint="eastAsia" w:ascii="Times New Roman" w:hAnsi="Times New Roman" w:eastAsia="宋体" w:cs="Times New Roman"/>
                <w:szCs w:val="22"/>
                <w:lang w:val="en-US" w:eastAsia="zh-CN"/>
              </w:rPr>
              <w:t>使用电能，计量表包括：公司</w:t>
            </w:r>
            <w:r>
              <w:rPr>
                <w:rFonts w:hint="eastAsia" w:cs="Times New Roman"/>
                <w:szCs w:val="22"/>
                <w:lang w:val="en-US" w:eastAsia="zh-CN"/>
              </w:rPr>
              <w:t>用于贸易结算的一块</w:t>
            </w:r>
            <w:r>
              <w:rPr>
                <w:rFonts w:hint="eastAsia" w:ascii="Times New Roman" w:hAnsi="Times New Roman" w:eastAsia="宋体" w:cs="Times New Roman"/>
                <w:szCs w:val="22"/>
                <w:lang w:val="en-US" w:eastAsia="zh-CN"/>
              </w:rPr>
              <w:t>电表；</w:t>
            </w:r>
            <w:r>
              <w:rPr>
                <w:rFonts w:hint="eastAsia" w:cs="Times New Roman"/>
                <w:szCs w:val="22"/>
                <w:lang w:val="en-US" w:eastAsia="zh-CN"/>
              </w:rPr>
              <w:t>进入系统和主要耗能设备的电表见下表。</w:t>
            </w:r>
            <w:r>
              <w:rPr>
                <w:rFonts w:hint="eastAsia" w:cs="Times New Roman"/>
                <w:color w:val="auto"/>
                <w:szCs w:val="22"/>
                <w:lang w:val="en-US" w:eastAsia="zh-CN"/>
              </w:rPr>
              <w:t>生产用水企业自取，但未见办理取水证</w:t>
            </w:r>
            <w:r>
              <w:rPr>
                <w:rFonts w:hint="eastAsia"/>
                <w:color w:val="auto"/>
                <w:szCs w:val="22"/>
                <w:lang w:val="en-US" w:eastAsia="zh-CN"/>
              </w:rPr>
              <w:t>，据企业介绍地方政府未要求办理。也未安装流量计。——问题项</w:t>
            </w:r>
            <w:r>
              <w:rPr>
                <w:rFonts w:hint="eastAsia"/>
                <w:szCs w:val="22"/>
                <w:lang w:val="en-US" w:eastAsia="zh-CN"/>
              </w:rPr>
              <w:t>已与企业进行沟通</w:t>
            </w:r>
          </w:p>
          <w:p>
            <w:pPr>
              <w:pStyle w:val="4"/>
              <w:numPr>
                <w:ilvl w:val="0"/>
                <w:numId w:val="0"/>
              </w:numPr>
            </w:pPr>
          </w:p>
          <w:tbl>
            <w:tblPr>
              <w:tblStyle w:val="16"/>
              <w:tblW w:w="8556" w:type="dxa"/>
              <w:tblInd w:w="93" w:type="dxa"/>
              <w:tblLayout w:type="fixed"/>
              <w:tblCellMar>
                <w:top w:w="0" w:type="dxa"/>
                <w:left w:w="108" w:type="dxa"/>
                <w:bottom w:w="0" w:type="dxa"/>
                <w:right w:w="108" w:type="dxa"/>
              </w:tblCellMar>
            </w:tblPr>
            <w:tblGrid>
              <w:gridCol w:w="698"/>
              <w:gridCol w:w="1608"/>
              <w:gridCol w:w="1800"/>
              <w:gridCol w:w="3370"/>
              <w:gridCol w:w="1080"/>
            </w:tblGrid>
            <w:tr>
              <w:tblPrEx>
                <w:tblCellMar>
                  <w:top w:w="0" w:type="dxa"/>
                  <w:left w:w="108" w:type="dxa"/>
                  <w:bottom w:w="0" w:type="dxa"/>
                  <w:right w:w="108" w:type="dxa"/>
                </w:tblCellMar>
              </w:tblPrEx>
              <w:trPr>
                <w:trHeight w:val="25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6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类别</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计量</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位置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r>
            <w:tr>
              <w:tblPrEx>
                <w:tblCellMar>
                  <w:top w:w="0" w:type="dxa"/>
                  <w:left w:w="108" w:type="dxa"/>
                  <w:bottom w:w="0" w:type="dxa"/>
                  <w:right w:w="108" w:type="dxa"/>
                </w:tblCellMar>
              </w:tblPrEx>
              <w:trPr>
                <w:trHeight w:val="23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608"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一级计量</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进户电表</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38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608"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二级计量</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lang w:bidi="ar"/>
                    </w:rPr>
                    <w:t>一体化监测汇集保护装置车间</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9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608"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二级计量</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lang w:bidi="ar"/>
                    </w:rPr>
                    <w:t>绝缘热缩防护产品的加工车间</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7"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608"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二级计量</w:t>
                  </w:r>
                </w:p>
              </w:tc>
              <w:tc>
                <w:tcPr>
                  <w:tcW w:w="33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highlight w:val="yellow"/>
                    </w:rPr>
                  </w:pPr>
                  <w:r>
                    <w:rPr>
                      <w:rFonts w:hint="eastAsia" w:ascii="宋体" w:hAnsi="宋体" w:cs="宋体"/>
                      <w:color w:val="000000"/>
                      <w:kern w:val="0"/>
                      <w:szCs w:val="21"/>
                      <w:lang w:bidi="ar"/>
                    </w:rPr>
                    <w:t>水泥预制构件车间</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r>
          </w:tbl>
          <w:p>
            <w:pPr>
              <w:rPr>
                <w:rFonts w:hint="eastAsia"/>
                <w:lang w:eastAsia="zh-CN"/>
              </w:rPr>
            </w:pPr>
            <w:r>
              <w:rPr>
                <w:rFonts w:hint="eastAsia"/>
                <w:szCs w:val="22"/>
              </w:rPr>
              <w:t>企业能源计量器具配备是企业开展能耗定额管理和其它能源的基础条件，公司领导一贯重视能源计量工作。现公司一、二级计量配备率基本完善，公司对主要的计量器具按国家要求进行计量检定，完好率为100%，但公司综合计量的配备率为90%，有改进空间</w:t>
            </w:r>
            <w:r>
              <w:rPr>
                <w:rFonts w:hint="eastAsia"/>
                <w:szCs w:val="22"/>
                <w:lang w:eastAsia="zh-CN"/>
              </w:rPr>
              <w:t>。</w:t>
            </w:r>
          </w:p>
          <w:p>
            <w:pPr>
              <w:rPr>
                <w:rFonts w:hint="default"/>
                <w:szCs w:val="22"/>
                <w:lang w:val="en-US" w:eastAsia="zh-CN"/>
              </w:rPr>
            </w:pPr>
            <w:r>
              <w:rPr>
                <w:rFonts w:hint="eastAsia"/>
              </w:rPr>
              <w:t xml:space="preserve">了解用于能源计量资源种类： </w:t>
            </w:r>
            <w:r>
              <w:rPr>
                <w:rFonts w:hint="eastAsia"/>
                <w:szCs w:val="22"/>
                <w:lang w:val="en-US" w:eastAsia="zh-CN"/>
              </w:rPr>
              <w:t>水计量表、电表</w:t>
            </w:r>
          </w:p>
          <w:p>
            <w:r>
              <w:rPr>
                <w:rFonts w:hint="eastAsia"/>
              </w:rPr>
              <w:sym w:font="Wingdings" w:char="00FE"/>
            </w:r>
            <w:r>
              <w:rPr>
                <w:rFonts w:hint="eastAsia"/>
              </w:rPr>
              <w:t xml:space="preserve">计量器具 ： </w:t>
            </w:r>
            <w:r>
              <w:rPr>
                <w:rFonts w:hint="eastAsia"/>
              </w:rPr>
              <w:sym w:font="Wingdings" w:char="00A8"/>
            </w:r>
            <w:r>
              <w:rPr>
                <w:rFonts w:hint="eastAsia"/>
              </w:rPr>
              <w:t xml:space="preserve">监视设备  </w:t>
            </w:r>
            <w:r>
              <w:rPr>
                <w:rFonts w:hint="eastAsia"/>
              </w:rPr>
              <w:sym w:font="Wingdings" w:char="00A8"/>
            </w:r>
          </w:p>
          <w:p>
            <w:pPr>
              <w:rPr>
                <w:rFonts w:hint="default"/>
                <w:szCs w:val="22"/>
                <w:lang w:val="en-US" w:eastAsia="zh-CN"/>
              </w:rPr>
            </w:pPr>
            <w:r>
              <w:rPr>
                <w:rFonts w:hint="eastAsia"/>
              </w:rPr>
              <w:t>监视设备：</w:t>
            </w:r>
            <w:r>
              <w:rPr>
                <w:rFonts w:hint="eastAsia"/>
              </w:rPr>
              <w:sym w:font="Wingdings" w:char="00FE"/>
            </w:r>
            <w:r>
              <w:rPr>
                <w:rFonts w:hint="eastAsia"/>
              </w:rPr>
              <w:t>定期验证的计划，频次：</w:t>
            </w:r>
            <w:r>
              <w:rPr>
                <w:rFonts w:hint="eastAsia"/>
                <w:szCs w:val="22"/>
                <w:lang w:val="en-US" w:eastAsia="zh-CN"/>
              </w:rPr>
              <w:t>由供方进行检验，但电表和水表的检定情况未能获取</w:t>
            </w:r>
          </w:p>
          <w:p>
            <w:pPr>
              <w:ind w:firstLine="1050" w:firstLineChars="500"/>
            </w:pPr>
            <w:r>
              <w:rPr>
                <w:rFonts w:hint="eastAsia"/>
              </w:rPr>
              <w:sym w:font="Wingdings" w:char="00A8"/>
            </w:r>
            <w:r>
              <w:rPr>
                <w:rFonts w:hint="eastAsia"/>
              </w:rPr>
              <w:t xml:space="preserve">抽查验证记录日期：                ；             ；               </w:t>
            </w:r>
          </w:p>
          <w:p>
            <w:pPr>
              <w:ind w:firstLine="1050" w:firstLineChars="500"/>
            </w:pPr>
            <w:r>
              <w:rPr>
                <w:rFonts w:hint="eastAsia"/>
              </w:rPr>
              <w:sym w:font="Wingdings" w:char="00A8"/>
            </w:r>
            <w:r>
              <w:rPr>
                <w:rFonts w:hint="eastAsia"/>
              </w:rPr>
              <w:t xml:space="preserve">按照验证计划实施 </w:t>
            </w:r>
            <w:r>
              <w:rPr>
                <w:rFonts w:hint="eastAsia"/>
              </w:rPr>
              <w:sym w:font="Wingdings" w:char="00A8"/>
            </w:r>
            <w:r>
              <w:rPr>
                <w:rFonts w:hint="eastAsia"/>
              </w:rPr>
              <w:t xml:space="preserve">未按照验证计划实施；说明                         </w:t>
            </w:r>
          </w:p>
          <w:p>
            <w:r>
              <w:rPr>
                <w:rFonts w:hint="eastAsia"/>
                <w:lang w:val="en-US" w:eastAsia="zh-CN"/>
              </w:rPr>
              <w:t xml:space="preserve">  </w:t>
            </w:r>
          </w:p>
          <w:p>
            <w:r>
              <w:rPr>
                <w:rFonts w:hint="eastAsia"/>
              </w:rPr>
              <w:t>抽查内部校准情况；抽查《内部校准计划》  《校准规程》  《校准记录》</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657"/>
              <w:gridCol w:w="338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1657" w:type="dxa"/>
                </w:tcPr>
                <w:p>
                  <w:r>
                    <w:rPr>
                      <w:rFonts w:hint="eastAsia"/>
                    </w:rPr>
                    <w:t>校准日期</w:t>
                  </w:r>
                </w:p>
              </w:tc>
              <w:tc>
                <w:tcPr>
                  <w:tcW w:w="3389" w:type="dxa"/>
                </w:tcPr>
                <w:p>
                  <w:r>
                    <w:rPr>
                      <w:rFonts w:hint="eastAsia"/>
                    </w:rPr>
                    <w:t>计划期限至</w:t>
                  </w:r>
                </w:p>
              </w:tc>
              <w:tc>
                <w:tcPr>
                  <w:tcW w:w="1864"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restart"/>
                </w:tcPr>
                <w:p>
                  <w:pPr>
                    <w:rPr>
                      <w:rFonts w:hint="default" w:eastAsia="宋体"/>
                      <w:lang w:val="en-US" w:eastAsia="zh-CN"/>
                    </w:rPr>
                  </w:pPr>
                  <w:r>
                    <w:rPr>
                      <w:rFonts w:hint="eastAsia"/>
                      <w:lang w:val="en-US" w:eastAsia="zh-CN"/>
                    </w:rPr>
                    <w:t>电表</w:t>
                  </w:r>
                </w:p>
              </w:tc>
              <w:tc>
                <w:tcPr>
                  <w:tcW w:w="1657" w:type="dxa"/>
                </w:tcPr>
                <w:p>
                  <w:pPr>
                    <w:rPr>
                      <w:rFonts w:hint="default" w:eastAsia="宋体"/>
                      <w:lang w:val="en-US" w:eastAsia="zh-CN"/>
                    </w:rPr>
                  </w:pPr>
                  <w:r>
                    <w:rPr>
                      <w:rFonts w:hint="eastAsia"/>
                      <w:lang w:val="en-US" w:eastAsia="zh-CN"/>
                    </w:rPr>
                    <w:t>由供方校准</w:t>
                  </w:r>
                </w:p>
              </w:tc>
              <w:tc>
                <w:tcPr>
                  <w:tcW w:w="3389" w:type="dxa"/>
                  <w:vMerge w:val="restart"/>
                </w:tcPr>
                <w:p>
                  <w:pPr>
                    <w:rPr>
                      <w:rFonts w:hint="default"/>
                      <w:szCs w:val="22"/>
                      <w:lang w:val="en-US" w:eastAsia="zh-CN"/>
                    </w:rPr>
                  </w:pPr>
                  <w:r>
                    <w:rPr>
                      <w:rFonts w:hint="eastAsia"/>
                      <w:szCs w:val="22"/>
                      <w:lang w:val="en-US" w:eastAsia="zh-CN"/>
                    </w:rPr>
                    <w:t>企业介绍：公司用于贸易结算的供电供电局负责。资产归供方所有。用水企业自取。</w:t>
                  </w:r>
                </w:p>
                <w:p>
                  <w:pPr>
                    <w:pStyle w:val="2"/>
                    <w:ind w:left="0" w:leftChars="0" w:firstLine="0" w:firstLineChars="0"/>
                    <w:rPr>
                      <w:rFonts w:hint="default"/>
                      <w:lang w:val="en-US"/>
                    </w:rPr>
                  </w:pPr>
                  <w:r>
                    <w:rPr>
                      <w:rFonts w:hint="eastAsia" w:ascii="Times New Roman" w:hAnsi="Times New Roman" w:eastAsia="宋体" w:cs="Times New Roman"/>
                      <w:color w:val="auto"/>
                      <w:kern w:val="2"/>
                      <w:sz w:val="21"/>
                      <w:szCs w:val="22"/>
                      <w:lang w:val="en-US" w:eastAsia="zh-CN" w:bidi="ar-SA"/>
                    </w:rPr>
                    <w:t>生产过程安装的电表未进行校准和测试</w:t>
                  </w:r>
                  <w:r>
                    <w:rPr>
                      <w:rFonts w:hint="eastAsia" w:cs="Times New Roman"/>
                      <w:color w:val="auto"/>
                      <w:kern w:val="2"/>
                      <w:sz w:val="21"/>
                      <w:szCs w:val="22"/>
                      <w:lang w:val="en-US" w:eastAsia="zh-CN" w:bidi="ar-SA"/>
                    </w:rPr>
                    <w:t>，已沟通</w:t>
                  </w:r>
                </w:p>
              </w:tc>
              <w:tc>
                <w:tcPr>
                  <w:tcW w:w="1864" w:type="dxa"/>
                </w:tcPr>
                <w:p>
                  <w:r>
                    <w:rPr>
                      <w:rFonts w:hint="eastAsia"/>
                    </w:rPr>
                    <w:sym w:font="Wingdings" w:char="00FE"/>
                  </w:r>
                  <w:r>
                    <w:rPr>
                      <w:rFonts w:hint="eastAsia"/>
                      <w:lang w:val="en-US" w:eastAsia="zh-CN"/>
                    </w:rPr>
                    <w:t>企业</w:t>
                  </w:r>
                  <w:r>
                    <w:rPr>
                      <w:rFonts w:hint="eastAsia"/>
                    </w:rPr>
                    <w:t xml:space="preserve">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continue"/>
                </w:tcPr>
                <w:p>
                  <w:pPr>
                    <w:rPr>
                      <w:rFonts w:hint="default" w:eastAsia="宋体"/>
                      <w:lang w:val="en-US" w:eastAsia="zh-CN"/>
                    </w:rPr>
                  </w:pPr>
                </w:p>
              </w:tc>
              <w:tc>
                <w:tcPr>
                  <w:tcW w:w="1657" w:type="dxa"/>
                </w:tcPr>
                <w:p>
                  <w:r>
                    <w:rPr>
                      <w:rFonts w:hint="eastAsia"/>
                      <w:lang w:val="en-US" w:eastAsia="zh-CN"/>
                    </w:rPr>
                    <w:t>由供方校准</w:t>
                  </w:r>
                </w:p>
              </w:tc>
              <w:tc>
                <w:tcPr>
                  <w:tcW w:w="3389" w:type="dxa"/>
                  <w:vMerge w:val="continue"/>
                </w:tcPr>
                <w:p/>
              </w:tc>
              <w:tc>
                <w:tcPr>
                  <w:tcW w:w="1864" w:type="dxa"/>
                </w:tcPr>
                <w:p>
                  <w:r>
                    <w:rPr>
                      <w:rFonts w:hint="eastAsia"/>
                    </w:rPr>
                    <w:sym w:font="Wingdings" w:char="00FE"/>
                  </w:r>
                  <w:r>
                    <w:rPr>
                      <w:rFonts w:hint="eastAsia"/>
                      <w:lang w:val="en-US" w:eastAsia="zh-CN"/>
                    </w:rPr>
                    <w:t>企业</w:t>
                  </w:r>
                  <w:r>
                    <w:rPr>
                      <w:rFonts w:hint="eastAsia"/>
                    </w:rPr>
                    <w:t xml:space="preserve">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restart"/>
                </w:tcPr>
                <w:p>
                  <w:pPr>
                    <w:rPr>
                      <w:rFonts w:hint="eastAsia" w:eastAsia="宋体"/>
                      <w:lang w:val="en-US" w:eastAsia="zh-CN"/>
                    </w:rPr>
                  </w:pPr>
                  <w:r>
                    <w:rPr>
                      <w:rFonts w:hint="eastAsia"/>
                      <w:lang w:val="en-US" w:eastAsia="zh-CN"/>
                    </w:rPr>
                    <w:t>水表</w:t>
                  </w:r>
                </w:p>
              </w:tc>
              <w:tc>
                <w:tcPr>
                  <w:tcW w:w="1657" w:type="dxa"/>
                </w:tcPr>
                <w:p>
                  <w:r>
                    <w:rPr>
                      <w:rFonts w:hint="eastAsia"/>
                      <w:lang w:val="en-US" w:eastAsia="zh-CN"/>
                    </w:rPr>
                    <w:t>由供方校准</w:t>
                  </w:r>
                </w:p>
              </w:tc>
              <w:tc>
                <w:tcPr>
                  <w:tcW w:w="3389" w:type="dxa"/>
                  <w:vMerge w:val="continue"/>
                </w:tcPr>
                <w:p/>
              </w:tc>
              <w:tc>
                <w:tcPr>
                  <w:tcW w:w="1864" w:type="dxa"/>
                </w:tcPr>
                <w:p>
                  <w:r>
                    <w:rPr>
                      <w:rFonts w:hint="eastAsia"/>
                    </w:rPr>
                    <w:sym w:font="Wingdings" w:char="00FE"/>
                  </w:r>
                  <w:r>
                    <w:rPr>
                      <w:rFonts w:hint="eastAsia"/>
                      <w:lang w:val="en-US" w:eastAsia="zh-CN"/>
                    </w:rPr>
                    <w:t xml:space="preserve">企业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vMerge w:val="continue"/>
                </w:tcPr>
                <w:p>
                  <w:pPr>
                    <w:rPr>
                      <w:rFonts w:hint="eastAsia"/>
                      <w:lang w:val="en-US" w:eastAsia="zh-CN"/>
                    </w:rPr>
                  </w:pPr>
                </w:p>
              </w:tc>
              <w:tc>
                <w:tcPr>
                  <w:tcW w:w="1657" w:type="dxa"/>
                </w:tcPr>
                <w:p>
                  <w:r>
                    <w:rPr>
                      <w:rFonts w:hint="eastAsia"/>
                      <w:lang w:val="en-US" w:eastAsia="zh-CN"/>
                    </w:rPr>
                    <w:t>由供方校准，</w:t>
                  </w:r>
                </w:p>
              </w:tc>
              <w:tc>
                <w:tcPr>
                  <w:tcW w:w="3389" w:type="dxa"/>
                  <w:vMerge w:val="continue"/>
                </w:tcPr>
                <w:p/>
              </w:tc>
              <w:tc>
                <w:tcPr>
                  <w:tcW w:w="1864" w:type="dxa"/>
                </w:tcPr>
                <w:p>
                  <w:pPr>
                    <w:rPr>
                      <w:rFonts w:hint="eastAsia"/>
                    </w:rPr>
                  </w:pPr>
                </w:p>
              </w:tc>
            </w:tr>
          </w:tbl>
          <w:p>
            <w:pPr>
              <w:pStyle w:val="2"/>
              <w:ind w:left="0" w:leftChars="0" w:firstLine="0" w:firstLineChars="0"/>
              <w:rPr>
                <w:rFonts w:hint="eastAsia" w:eastAsia="宋体"/>
                <w:lang w:val="en-US" w:eastAsia="zh-CN"/>
              </w:rPr>
            </w:pPr>
          </w:p>
          <w:p>
            <w:pPr>
              <w:pStyle w:val="2"/>
              <w:ind w:left="0" w:leftChars="0" w:firstLine="0" w:firstLineChars="0"/>
              <w:rPr>
                <w:rFonts w:hint="eastAsia" w:ascii="宋体" w:hAnsi="宋体" w:cs="Times New Roman"/>
                <w:color w:val="0000FF"/>
                <w:kern w:val="2"/>
                <w:sz w:val="21"/>
                <w:szCs w:val="22"/>
                <w:lang w:val="en-US" w:eastAsia="zh-CN" w:bidi="ar-SA"/>
              </w:rPr>
            </w:pPr>
            <w:r>
              <w:rPr>
                <w:rFonts w:hint="eastAsia" w:ascii="宋体" w:hAnsi="宋体" w:cs="Times New Roman"/>
                <w:color w:val="auto"/>
                <w:kern w:val="2"/>
                <w:sz w:val="21"/>
                <w:szCs w:val="22"/>
                <w:lang w:val="en-US" w:eastAsia="zh-CN" w:bidi="ar-SA"/>
              </w:rPr>
              <w:t>计量器具校验还需要加强管理——问题项，已沟通。</w:t>
            </w:r>
          </w:p>
          <w:p>
            <w:pPr>
              <w:pStyle w:val="2"/>
              <w:ind w:left="0" w:leftChars="0" w:firstLine="0" w:firstLineChars="0"/>
              <w:rPr>
                <w:rFonts w:hint="eastAsia"/>
                <w:lang w:val="en-US" w:eastAsia="zh-CN"/>
              </w:rPr>
            </w:pPr>
            <w:r>
              <w:rPr>
                <w:rFonts w:hint="eastAsia" w:ascii="Times New Roman" w:hAnsi="Times New Roman" w:eastAsia="宋体" w:cs="Times New Roman"/>
                <w:kern w:val="2"/>
                <w:sz w:val="21"/>
                <w:szCs w:val="22"/>
                <w:lang w:val="en-US" w:eastAsia="zh-CN" w:bidi="ar-SA"/>
              </w:rPr>
              <w:t>生产中测量设备通常采用</w:t>
            </w:r>
            <w:r>
              <w:rPr>
                <w:rFonts w:hint="eastAsia" w:cs="Times New Roman"/>
                <w:kern w:val="2"/>
                <w:sz w:val="21"/>
                <w:szCs w:val="22"/>
                <w:lang w:val="en-US" w:eastAsia="zh-CN" w:bidi="ar-SA"/>
              </w:rPr>
              <w:t>数字多用表</w:t>
            </w:r>
            <w:r>
              <w:rPr>
                <w:rFonts w:hint="eastAsia" w:ascii="Times New Roman" w:hAnsi="Times New Roman" w:eastAsia="宋体" w:cs="Times New Roman"/>
                <w:kern w:val="2"/>
                <w:sz w:val="21"/>
                <w:szCs w:val="22"/>
                <w:lang w:val="en-US" w:eastAsia="zh-CN" w:bidi="ar-SA"/>
              </w:rPr>
              <w:t>、卷尺</w:t>
            </w:r>
            <w:r>
              <w:rPr>
                <w:rFonts w:hint="eastAsia" w:cs="Times New Roman"/>
                <w:kern w:val="2"/>
                <w:sz w:val="21"/>
                <w:szCs w:val="22"/>
                <w:lang w:val="en-US" w:eastAsia="zh-CN" w:bidi="ar-SA"/>
              </w:rPr>
              <w:t>、电阻测试仪</w:t>
            </w:r>
            <w:r>
              <w:rPr>
                <w:rFonts w:hint="eastAsia" w:ascii="Times New Roman" w:hAnsi="Times New Roman" w:eastAsia="宋体" w:cs="Times New Roman"/>
                <w:kern w:val="2"/>
                <w:sz w:val="21"/>
                <w:szCs w:val="22"/>
                <w:lang w:val="en-US" w:eastAsia="zh-CN" w:bidi="ar-SA"/>
              </w:rPr>
              <w:t>等进行产品的检验，抽</w:t>
            </w:r>
            <w:r>
              <w:rPr>
                <w:rFonts w:hint="eastAsia" w:cs="Times New Roman"/>
                <w:kern w:val="2"/>
                <w:sz w:val="21"/>
                <w:szCs w:val="22"/>
                <w:lang w:val="en-US" w:eastAsia="zh-CN" w:bidi="ar-SA"/>
              </w:rPr>
              <w:t>取</w:t>
            </w:r>
            <w:r>
              <w:rPr>
                <w:rFonts w:hint="eastAsia" w:ascii="Times New Roman" w:hAnsi="Times New Roman" w:eastAsia="宋体" w:cs="Times New Roman"/>
                <w:kern w:val="2"/>
                <w:sz w:val="21"/>
                <w:szCs w:val="22"/>
                <w:lang w:val="en-US" w:eastAsia="zh-CN" w:bidi="ar-SA"/>
              </w:rPr>
              <w:t>校准报告</w:t>
            </w:r>
            <w:r>
              <w:rPr>
                <w:rFonts w:hint="eastAsia" w:cs="Times New Roman"/>
                <w:kern w:val="2"/>
                <w:sz w:val="21"/>
                <w:szCs w:val="22"/>
                <w:lang w:val="en-US" w:eastAsia="zh-CN" w:bidi="ar-SA"/>
              </w:rPr>
              <w:t>如下</w:t>
            </w:r>
          </w:p>
          <w:p>
            <w:pPr>
              <w:pStyle w:val="2"/>
              <w:ind w:left="0" w:leftChars="0" w:firstLine="0" w:firstLineChars="0"/>
              <w:rPr>
                <w:rFonts w:hint="eastAsia" w:ascii="Times New Roman" w:hAnsi="Times New Roman" w:eastAsia="宋体" w:cs="Times New Roman"/>
                <w:bCs/>
                <w:spacing w:val="10"/>
                <w:kern w:val="2"/>
                <w:sz w:val="21"/>
                <w:szCs w:val="22"/>
                <w:lang w:val="en-US" w:eastAsia="zh-CN" w:bidi="ar-SA"/>
              </w:rPr>
            </w:pPr>
            <w:r>
              <w:rPr>
                <w:rFonts w:hint="eastAsia"/>
                <w:lang w:val="en-US" w:eastAsia="zh-CN"/>
              </w:rPr>
              <w:t xml:space="preserve"> </w:t>
            </w:r>
            <w:r>
              <w:drawing>
                <wp:inline distT="0" distB="0" distL="114300" distR="114300">
                  <wp:extent cx="909320" cy="1257935"/>
                  <wp:effectExtent l="0" t="0" r="5080" b="12065"/>
                  <wp:docPr id="12" name="图片 12" descr="167055251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70552515432"/>
                          <pic:cNvPicPr>
                            <a:picLocks noChangeAspect="1"/>
                          </pic:cNvPicPr>
                        </pic:nvPicPr>
                        <pic:blipFill>
                          <a:blip r:embed="rId14"/>
                          <a:stretch>
                            <a:fillRect/>
                          </a:stretch>
                        </pic:blipFill>
                        <pic:spPr>
                          <a:xfrm>
                            <a:off x="0" y="0"/>
                            <a:ext cx="909320" cy="1257935"/>
                          </a:xfrm>
                          <a:prstGeom prst="rect">
                            <a:avLst/>
                          </a:prstGeom>
                        </pic:spPr>
                      </pic:pic>
                    </a:graphicData>
                  </a:graphic>
                </wp:inline>
              </w:drawing>
            </w:r>
            <w:r>
              <w:rPr>
                <w:rFonts w:hint="eastAsia"/>
                <w:lang w:val="en-US" w:eastAsia="zh-CN"/>
              </w:rPr>
              <w:t xml:space="preserve"> </w:t>
            </w:r>
            <w:r>
              <w:rPr>
                <w:rFonts w:hint="eastAsia" w:eastAsia="宋体"/>
                <w:lang w:val="en-US" w:eastAsia="zh-CN"/>
              </w:rPr>
              <w:drawing>
                <wp:inline distT="0" distB="0" distL="114300" distR="114300">
                  <wp:extent cx="916305" cy="1280795"/>
                  <wp:effectExtent l="0" t="0" r="10795" b="1905"/>
                  <wp:docPr id="13" name="图片 13" descr="167055254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70552546233"/>
                          <pic:cNvPicPr>
                            <a:picLocks noChangeAspect="1"/>
                          </pic:cNvPicPr>
                        </pic:nvPicPr>
                        <pic:blipFill>
                          <a:blip r:embed="rId15"/>
                          <a:stretch>
                            <a:fillRect/>
                          </a:stretch>
                        </pic:blipFill>
                        <pic:spPr>
                          <a:xfrm>
                            <a:off x="0" y="0"/>
                            <a:ext cx="916305" cy="1280795"/>
                          </a:xfrm>
                          <a:prstGeom prst="rect">
                            <a:avLst/>
                          </a:prstGeom>
                        </pic:spPr>
                      </pic:pic>
                    </a:graphicData>
                  </a:graphic>
                </wp:inline>
              </w:drawing>
            </w:r>
            <w:r>
              <w:rPr>
                <w:rFonts w:hint="eastAsia" w:eastAsia="宋体"/>
                <w:lang w:val="en-US" w:eastAsia="zh-CN"/>
              </w:rPr>
              <w:t xml:space="preserve"> </w:t>
            </w:r>
            <w:r>
              <w:rPr>
                <w:rFonts w:hint="default" w:eastAsia="宋体"/>
                <w:lang w:val="en-US" w:eastAsia="zh-CN"/>
              </w:rPr>
              <w:drawing>
                <wp:inline distT="0" distB="0" distL="114300" distR="114300">
                  <wp:extent cx="921385" cy="1297305"/>
                  <wp:effectExtent l="0" t="0" r="5715" b="10795"/>
                  <wp:docPr id="14" name="图片 14" descr="167055257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70552576493"/>
                          <pic:cNvPicPr>
                            <a:picLocks noChangeAspect="1"/>
                          </pic:cNvPicPr>
                        </pic:nvPicPr>
                        <pic:blipFill>
                          <a:blip r:embed="rId16"/>
                          <a:stretch>
                            <a:fillRect/>
                          </a:stretch>
                        </pic:blipFill>
                        <pic:spPr>
                          <a:xfrm>
                            <a:off x="0" y="0"/>
                            <a:ext cx="921385" cy="129730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908685" cy="1295400"/>
                  <wp:effectExtent l="0" t="0" r="5715" b="0"/>
                  <wp:docPr id="15" name="图片 15" descr="167055260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70552601470"/>
                          <pic:cNvPicPr>
                            <a:picLocks noChangeAspect="1"/>
                          </pic:cNvPicPr>
                        </pic:nvPicPr>
                        <pic:blipFill>
                          <a:blip r:embed="rId17"/>
                          <a:stretch>
                            <a:fillRect/>
                          </a:stretch>
                        </pic:blipFill>
                        <pic:spPr>
                          <a:xfrm>
                            <a:off x="0" y="0"/>
                            <a:ext cx="908685" cy="1295400"/>
                          </a:xfrm>
                          <a:prstGeom prst="rect">
                            <a:avLst/>
                          </a:prstGeom>
                        </pic:spPr>
                      </pic:pic>
                    </a:graphicData>
                  </a:graphic>
                </wp:inline>
              </w:drawing>
            </w:r>
            <w:r>
              <w:rPr>
                <w:rFonts w:hint="eastAsia" w:eastAsia="宋体"/>
                <w:lang w:val="en-US" w:eastAsia="zh-CN"/>
              </w:rPr>
              <w:t xml:space="preserve"> </w:t>
            </w:r>
          </w:p>
          <w:p>
            <w:pPr>
              <w:pStyle w:val="2"/>
              <w:ind w:left="0" w:leftChars="0" w:firstLine="0" w:firstLineChars="0"/>
              <w:rPr>
                <w:rFonts w:hint="default"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73"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62" w:type="dxa"/>
          </w:tcPr>
          <w:p>
            <w:pPr>
              <w:rPr>
                <w:rFonts w:hint="eastAsia"/>
                <w:vertAlign w:val="baseline"/>
                <w:lang w:val="en-US"/>
              </w:rPr>
            </w:pPr>
            <w:r>
              <w:rPr>
                <w:rFonts w:hint="eastAsia"/>
              </w:rPr>
              <w:t>手册第</w:t>
            </w:r>
            <w:r>
              <w:rPr>
                <w:rFonts w:hint="eastAsia"/>
                <w:lang w:val="en-US" w:eastAsia="zh-CN"/>
              </w:rPr>
              <w:t>8.1</w:t>
            </w:r>
            <w:r>
              <w:rPr>
                <w:rFonts w:hint="eastAsia"/>
              </w:rPr>
              <w:t>条款、《运行控制程序》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362" w:type="dxa"/>
            <w:vAlign w:val="top"/>
          </w:tcPr>
          <w:p>
            <w:pPr>
              <w:pStyle w:val="20"/>
              <w:rPr>
                <w:rFonts w:hint="default"/>
                <w:lang w:val="en-US" w:eastAsia="zh-CN"/>
              </w:rPr>
            </w:pPr>
            <w:r>
              <w:rPr>
                <w:rFonts w:hint="eastAsia"/>
                <w:lang w:val="en-US" w:eastAsia="zh-CN"/>
              </w:rPr>
              <w:t>1.节约用电的控制：</w:t>
            </w:r>
            <w:r>
              <w:rPr>
                <w:rFonts w:hint="eastAsia"/>
                <w:lang w:val="en-US" w:eastAsia="zh-CN"/>
              </w:rPr>
              <w:sym w:font="Wingdings" w:char="00FE"/>
            </w:r>
            <w:r>
              <w:rPr>
                <w:rFonts w:hint="eastAsia"/>
                <w:lang w:val="en-US" w:eastAsia="zh-CN"/>
              </w:rPr>
              <w:t>随手关灯、</w:t>
            </w:r>
            <w:r>
              <w:rPr>
                <w:rFonts w:hint="eastAsia"/>
                <w:lang w:val="en-US" w:eastAsia="zh-CN"/>
              </w:rPr>
              <w:sym w:font="Wingdings" w:char="00FE"/>
            </w:r>
            <w:r>
              <w:rPr>
                <w:rFonts w:hint="eastAsia"/>
                <w:lang w:val="en-US" w:eastAsia="zh-CN"/>
              </w:rPr>
              <w:t>下班前关闭电源、</w:t>
            </w:r>
            <w:r>
              <w:rPr>
                <w:rFonts w:hint="eastAsia"/>
                <w:lang w:val="en-US" w:eastAsia="zh-CN"/>
              </w:rPr>
              <w:sym w:font="Wingdings" w:char="00FE"/>
            </w:r>
            <w:r>
              <w:rPr>
                <w:rFonts w:hint="eastAsia"/>
                <w:lang w:val="en-US" w:eastAsia="zh-CN"/>
              </w:rPr>
              <w:t>控制空调温度（夏季≥26℃；冬季≤20℃）</w:t>
            </w:r>
          </w:p>
          <w:p>
            <w:pPr>
              <w:pStyle w:val="20"/>
              <w:rPr>
                <w:rFonts w:hint="default"/>
                <w:lang w:val="en-US" w:eastAsia="zh-CN"/>
              </w:rPr>
            </w:pPr>
            <w:r>
              <w:rPr>
                <w:rFonts w:hint="eastAsia"/>
                <w:lang w:val="en-US" w:eastAsia="zh-CN"/>
              </w:rPr>
              <w:t>2.节约用水的控制：</w:t>
            </w:r>
            <w:r>
              <w:rPr>
                <w:rFonts w:hint="eastAsia"/>
                <w:lang w:val="en-US" w:eastAsia="zh-CN"/>
              </w:rPr>
              <w:sym w:font="Wingdings" w:char="00FE"/>
            </w:r>
            <w:r>
              <w:rPr>
                <w:rFonts w:hint="eastAsia"/>
                <w:lang w:val="en-US" w:eastAsia="zh-CN"/>
              </w:rPr>
              <w:t xml:space="preserve">随手关水龙头  </w:t>
            </w:r>
            <w:r>
              <w:rPr>
                <w:rFonts w:hint="eastAsia"/>
                <w:lang w:val="en-US" w:eastAsia="zh-CN"/>
              </w:rPr>
              <w:sym w:font="Wingdings" w:char="00FE"/>
            </w:r>
            <w:r>
              <w:rPr>
                <w:rFonts w:hint="eastAsia"/>
                <w:lang w:val="en-US" w:eastAsia="zh-CN"/>
              </w:rPr>
              <w:t>使用节水龙头及马桶</w:t>
            </w:r>
          </w:p>
          <w:p>
            <w:pPr>
              <w:pStyle w:val="3"/>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kern w:val="2"/>
                <w:sz w:val="21"/>
                <w:szCs w:val="22"/>
                <w:highlight w:val="none"/>
                <w:lang w:val="en-US" w:eastAsia="zh-CN" w:bidi="ar-SA"/>
              </w:rPr>
            </w:pPr>
            <w:r>
              <w:rPr>
                <w:rFonts w:hint="eastAsia" w:ascii="Times New Roman" w:hAnsi="Times New Roman" w:eastAsia="宋体" w:cs="Times New Roman"/>
                <w:bCs/>
                <w:spacing w:val="10"/>
                <w:kern w:val="2"/>
                <w:sz w:val="21"/>
                <w:szCs w:val="22"/>
                <w:lang w:val="en-US" w:eastAsia="zh-CN" w:bidi="ar-SA"/>
              </w:rPr>
              <w:t>3.消防的管理：定期检查附近</w:t>
            </w:r>
            <w:r>
              <w:rPr>
                <w:rFonts w:hint="eastAsia" w:ascii="Times New Roman" w:hAnsi="Times New Roman" w:eastAsia="宋体" w:cs="Times New Roman"/>
                <w:bCs/>
                <w:spacing w:val="10"/>
                <w:kern w:val="2"/>
                <w:sz w:val="21"/>
                <w:szCs w:val="22"/>
                <w:lang w:val="en-US" w:eastAsia="zh-CN" w:bidi="ar-SA"/>
              </w:rPr>
              <w:sym w:font="Wingdings" w:char="00FE"/>
            </w:r>
            <w:r>
              <w:rPr>
                <w:rFonts w:hint="eastAsia" w:ascii="Times New Roman" w:hAnsi="Times New Roman" w:eastAsia="宋体" w:cs="Times New Roman"/>
                <w:bCs/>
                <w:spacing w:val="10"/>
                <w:kern w:val="2"/>
                <w:sz w:val="21"/>
                <w:szCs w:val="22"/>
                <w:lang w:val="en-US" w:eastAsia="zh-CN" w:bidi="ar-SA"/>
              </w:rPr>
              <w:t>灭火器和</w:t>
            </w:r>
            <w:r>
              <w:rPr>
                <w:rFonts w:hint="eastAsia" w:ascii="Times New Roman" w:hAnsi="Times New Roman" w:eastAsia="宋体" w:cs="Times New Roman"/>
                <w:bCs/>
                <w:spacing w:val="10"/>
                <w:kern w:val="2"/>
                <w:sz w:val="21"/>
                <w:szCs w:val="22"/>
                <w:lang w:val="en-US" w:eastAsia="zh-CN" w:bidi="ar-SA"/>
              </w:rPr>
              <w:sym w:font="Wingdings" w:char="00FE"/>
            </w:r>
            <w:r>
              <w:rPr>
                <w:rFonts w:hint="eastAsia" w:ascii="Times New Roman" w:hAnsi="Times New Roman" w:eastAsia="宋体" w:cs="Times New Roman"/>
                <w:bCs/>
                <w:spacing w:val="10"/>
                <w:kern w:val="2"/>
                <w:sz w:val="21"/>
                <w:szCs w:val="22"/>
                <w:lang w:val="en-US" w:eastAsia="zh-CN" w:bidi="ar-SA"/>
              </w:rPr>
              <w:t>消防栓</w:t>
            </w:r>
            <w:r>
              <w:rPr>
                <w:rFonts w:hint="eastAsia" w:ascii="Times New Roman" w:hAnsi="Times New Roman" w:eastAsia="宋体" w:cs="Times New Roman"/>
                <w:bCs/>
                <w:spacing w:val="10"/>
                <w:kern w:val="2"/>
                <w:sz w:val="21"/>
                <w:szCs w:val="22"/>
                <w:lang w:val="en-US" w:eastAsia="zh-CN" w:bidi="ar-SA"/>
              </w:rPr>
              <w:sym w:font="Wingdings" w:char="00FE"/>
            </w:r>
            <w:r>
              <w:rPr>
                <w:rFonts w:hint="eastAsia" w:ascii="Times New Roman" w:hAnsi="Times New Roman" w:eastAsia="宋体" w:cs="Times New Roman"/>
                <w:bCs/>
                <w:spacing w:val="10"/>
                <w:kern w:val="2"/>
                <w:sz w:val="21"/>
                <w:szCs w:val="22"/>
                <w:lang w:val="en-US" w:eastAsia="zh-CN" w:bidi="ar-SA"/>
              </w:rPr>
              <w:t>安全出口标志；</w:t>
            </w:r>
            <w:r>
              <w:rPr>
                <w:rFonts w:hint="eastAsia" w:ascii="Times New Roman" w:hAnsi="Times New Roman" w:eastAsia="宋体" w:cs="Times New Roman"/>
                <w:bCs/>
                <w:spacing w:val="10"/>
                <w:kern w:val="2"/>
                <w:sz w:val="21"/>
                <w:szCs w:val="22"/>
                <w:lang w:val="en-US" w:eastAsia="zh-CN" w:bidi="ar-SA"/>
              </w:rPr>
              <w:tab/>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工艺流程图：</w:t>
            </w:r>
          </w:p>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庆丰源</w:t>
            </w:r>
            <w:r>
              <w:rPr>
                <w:rFonts w:hint="eastAsia" w:ascii="宋体" w:hAnsi="宋体" w:eastAsia="宋体" w:cs="宋体"/>
                <w:b w:val="0"/>
                <w:bCs w:val="0"/>
                <w:sz w:val="21"/>
                <w:szCs w:val="21"/>
              </w:rPr>
              <w:t>多功能蓄能井口保护器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抽油机智能保护器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智能自动皮带调节报警装置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工艺流程图</w:t>
            </w:r>
            <w:r>
              <w:rPr>
                <w:rFonts w:hint="eastAsia" w:ascii="宋体" w:hAnsi="宋体" w:eastAsia="宋体" w:cs="宋体"/>
                <w:b w:val="0"/>
                <w:bCs w:val="0"/>
                <w:sz w:val="21"/>
                <w:szCs w:val="21"/>
                <w:lang w:eastAsia="zh-CN"/>
              </w:rPr>
              <w:t>：</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采购原材料→下料→加工→焊接→装配→打磨喷漆→检验→打包出厂</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防雷击防腐蚀防护网</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变压器平台预警远传保护器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一体化监测汇集保护装置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母液流量调节器</w:t>
            </w:r>
            <w:r>
              <w:rPr>
                <w:rFonts w:hint="eastAsia" w:ascii="宋体" w:hAnsi="宋体" w:eastAsia="宋体" w:cs="宋体"/>
                <w:b w:val="0"/>
                <w:bCs w:val="0"/>
                <w:sz w:val="21"/>
                <w:szCs w:val="21"/>
                <w:lang w:eastAsia="zh-CN"/>
              </w:rPr>
              <w:t>工艺流程：</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采购</w:t>
            </w:r>
            <w:r>
              <w:rPr>
                <w:rFonts w:hint="eastAsia" w:ascii="宋体" w:hAnsi="宋体" w:eastAsia="宋体" w:cs="宋体"/>
                <w:b w:val="0"/>
                <w:bCs w:val="0"/>
                <w:sz w:val="21"/>
                <w:szCs w:val="21"/>
                <w:lang w:eastAsia="zh-CN"/>
              </w:rPr>
              <w:t>电子元器件</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元器件测试</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电器件装配</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电器件配线</w:t>
            </w:r>
            <w:r>
              <w:rPr>
                <w:rFonts w:hint="eastAsia" w:ascii="宋体" w:hAnsi="宋体" w:eastAsia="宋体" w:cs="宋体"/>
                <w:b w:val="0"/>
                <w:bCs w:val="0"/>
                <w:sz w:val="21"/>
                <w:szCs w:val="21"/>
              </w:rPr>
              <w:t>→装</w:t>
            </w:r>
            <w:r>
              <w:rPr>
                <w:rFonts w:hint="eastAsia" w:ascii="宋体" w:hAnsi="宋体" w:eastAsia="宋体" w:cs="宋体"/>
                <w:b w:val="0"/>
                <w:bCs w:val="0"/>
                <w:sz w:val="21"/>
                <w:szCs w:val="21"/>
                <w:lang w:eastAsia="zh-CN"/>
              </w:rPr>
              <w:t>机调试</w:t>
            </w:r>
            <w:r>
              <w:rPr>
                <w:rFonts w:hint="eastAsia" w:ascii="宋体" w:hAnsi="宋体" w:eastAsia="宋体" w:cs="宋体"/>
                <w:b w:val="0"/>
                <w:bCs w:val="0"/>
                <w:sz w:val="21"/>
                <w:szCs w:val="21"/>
              </w:rPr>
              <w:t>→检验→打包出厂</w:t>
            </w:r>
          </w:p>
          <w:p>
            <w:pPr>
              <w:pStyle w:val="2"/>
              <w:spacing w:line="240" w:lineRule="auto"/>
              <w:ind w:left="0" w:leftChars="0" w:firstLine="0" w:firstLineChars="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绝缘热缩防护</w:t>
            </w:r>
            <w:r>
              <w:rPr>
                <w:rFonts w:hint="eastAsia" w:ascii="宋体" w:hAnsi="宋体" w:eastAsia="宋体" w:cs="宋体"/>
                <w:b w:val="0"/>
                <w:bCs w:val="0"/>
                <w:sz w:val="21"/>
                <w:szCs w:val="21"/>
                <w:lang w:eastAsia="zh-CN"/>
              </w:rPr>
              <w:t>盒</w:t>
            </w:r>
            <w:r>
              <w:rPr>
                <w:rFonts w:hint="eastAsia" w:ascii="宋体" w:hAnsi="宋体" w:eastAsia="宋体" w:cs="宋体"/>
                <w:b w:val="0"/>
                <w:bCs w:val="0"/>
                <w:sz w:val="21"/>
                <w:szCs w:val="21"/>
                <w:lang w:val="en-US" w:eastAsia="zh-CN"/>
              </w:rPr>
              <w:t>的生产工艺流程</w:t>
            </w:r>
            <w:r>
              <w:rPr>
                <w:rFonts w:hint="eastAsia" w:ascii="宋体" w:hAnsi="宋体" w:eastAsia="宋体" w:cs="宋体"/>
                <w:b w:val="0"/>
                <w:bCs w:val="0"/>
                <w:sz w:val="21"/>
                <w:szCs w:val="21"/>
                <w:lang w:eastAsia="zh-CN"/>
              </w:rPr>
              <w:t>：</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采购原材料→下料→加工→</w:t>
            </w:r>
            <w:r>
              <w:rPr>
                <w:rFonts w:hint="eastAsia" w:ascii="宋体" w:hAnsi="宋体" w:eastAsia="宋体" w:cs="宋体"/>
                <w:b w:val="0"/>
                <w:bCs w:val="0"/>
                <w:sz w:val="21"/>
                <w:szCs w:val="21"/>
                <w:lang w:eastAsia="zh-CN"/>
              </w:rPr>
              <w:t>修理毛边</w:t>
            </w:r>
            <w:r>
              <w:rPr>
                <w:rFonts w:hint="eastAsia" w:ascii="宋体" w:hAnsi="宋体" w:eastAsia="宋体" w:cs="宋体"/>
                <w:b w:val="0"/>
                <w:bCs w:val="0"/>
                <w:sz w:val="21"/>
                <w:szCs w:val="21"/>
              </w:rPr>
              <w:t>→检验→打包出厂</w:t>
            </w:r>
          </w:p>
          <w:p>
            <w:pPr>
              <w:pStyle w:val="2"/>
              <w:spacing w:line="24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水泥预制构件、井下工具</w:t>
            </w:r>
            <w:r>
              <w:rPr>
                <w:rFonts w:hint="eastAsia" w:ascii="宋体" w:hAnsi="宋体" w:eastAsia="宋体" w:cs="宋体"/>
                <w:b w:val="0"/>
                <w:bCs w:val="0"/>
                <w:sz w:val="21"/>
                <w:szCs w:val="21"/>
                <w:lang w:val="en-US" w:eastAsia="zh-CN"/>
              </w:rPr>
              <w:t>的销售工艺流程：</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highlight w:val="none"/>
                <w:lang w:val="en-US" w:eastAsia="zh-CN" w:bidi="ar-SA"/>
              </w:rPr>
            </w:pPr>
            <w:r>
              <w:rPr>
                <w:rFonts w:hint="eastAsia" w:ascii="宋体" w:hAnsi="宋体" w:eastAsia="宋体" w:cs="宋体"/>
                <w:b w:val="0"/>
                <w:bCs w:val="0"/>
                <w:sz w:val="21"/>
                <w:szCs w:val="21"/>
                <w:lang w:val="en-US" w:eastAsia="zh-CN"/>
              </w:rPr>
              <w:t>顾客需求-合同评审-签订合同-产品采购-供方发货-客户验收-销售服务</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cs="Times New Roman"/>
                <w:kern w:val="2"/>
                <w:sz w:val="21"/>
                <w:szCs w:val="22"/>
                <w:highlight w:val="none"/>
                <w:lang w:val="en-US" w:eastAsia="zh-CN" w:bidi="ar-SA"/>
              </w:rPr>
            </w:pPr>
            <w:r>
              <w:rPr>
                <w:rFonts w:hint="eastAsia" w:cs="Times New Roman"/>
                <w:kern w:val="2"/>
                <w:sz w:val="21"/>
                <w:szCs w:val="22"/>
                <w:highlight w:val="none"/>
                <w:lang w:val="en-US" w:eastAsia="zh-CN" w:bidi="ar-SA"/>
              </w:rPr>
              <w:t>过程控制如下：有操作工人根据设计出具的图纸进行操作，产品加工完成后有检验人员进行测量检验符合客户要求后出厂。</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cs="Times New Roman"/>
                <w:kern w:val="2"/>
                <w:sz w:val="21"/>
                <w:szCs w:val="22"/>
                <w:highlight w:val="none"/>
                <w:lang w:val="en-US" w:eastAsia="zh-CN" w:bidi="ar-SA"/>
              </w:rPr>
            </w:pPr>
            <w:r>
              <w:rPr>
                <w:rFonts w:hint="eastAsia" w:cs="Times New Roman"/>
                <w:kern w:val="2"/>
                <w:sz w:val="21"/>
                <w:szCs w:val="22"/>
                <w:highlight w:val="none"/>
                <w:lang w:val="en-US" w:eastAsia="zh-CN" w:bidi="ar-SA"/>
              </w:rPr>
              <w:t>如：智能自动皮带调节报警装置是由大庆联勤装备制造工程有限公司出具的图纸来加工生产而成，通过采购原材料→下料→加工→焊接→装配→打磨喷漆，最终由验收人员进行检测产品合格后出厂交付客户。生产过程中能源 消耗主要是设备用电，钻床冷却用水，及原材料及产品厂内运输使用的叉车用柴油。抽取底座和抽油杆保护器的设计图纸，因涉密，截图部分图片。</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lang w:val="en-US" w:eastAsia="zh-CN"/>
              </w:rPr>
            </w:pPr>
            <w:r>
              <w:rPr>
                <w:rFonts w:hint="eastAsia" w:ascii="Times New Roman" w:hAnsi="Times New Roman" w:eastAsia="宋体" w:cs="Times New Roman"/>
                <w:kern w:val="2"/>
                <w:sz w:val="21"/>
                <w:szCs w:val="22"/>
                <w:highlight w:val="none"/>
                <w:lang w:val="en-US" w:eastAsia="zh-CN" w:bidi="ar-SA"/>
              </w:rPr>
              <w:drawing>
                <wp:inline distT="0" distB="0" distL="114300" distR="114300">
                  <wp:extent cx="1176655" cy="1950085"/>
                  <wp:effectExtent l="0" t="0" r="4445" b="5715"/>
                  <wp:docPr id="16" name="图片 16" descr="167055274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70552742807"/>
                          <pic:cNvPicPr>
                            <a:picLocks noChangeAspect="1"/>
                          </pic:cNvPicPr>
                        </pic:nvPicPr>
                        <pic:blipFill>
                          <a:blip r:embed="rId18"/>
                          <a:stretch>
                            <a:fillRect/>
                          </a:stretch>
                        </pic:blipFill>
                        <pic:spPr>
                          <a:xfrm>
                            <a:off x="0" y="0"/>
                            <a:ext cx="1176655" cy="1950085"/>
                          </a:xfrm>
                          <a:prstGeom prst="rect">
                            <a:avLst/>
                          </a:prstGeom>
                        </pic:spPr>
                      </pic:pic>
                    </a:graphicData>
                  </a:graphic>
                </wp:inline>
              </w:drawing>
            </w:r>
            <w:r>
              <w:rPr>
                <w:rFonts w:hint="eastAsia" w:cs="Times New Roman"/>
                <w:kern w:val="2"/>
                <w:sz w:val="21"/>
                <w:szCs w:val="22"/>
                <w:highlight w:val="none"/>
                <w:lang w:val="en-US" w:eastAsia="zh-CN" w:bidi="ar-SA"/>
              </w:rPr>
              <w:t xml:space="preserve">  </w:t>
            </w:r>
            <w:r>
              <w:rPr>
                <w:rFonts w:hint="default"/>
                <w:lang w:val="en-US" w:eastAsia="zh-CN"/>
              </w:rPr>
              <w:drawing>
                <wp:inline distT="0" distB="0" distL="114300" distR="114300">
                  <wp:extent cx="1132205" cy="1993900"/>
                  <wp:effectExtent l="0" t="0" r="10795" b="0"/>
                  <wp:docPr id="17" name="图片 17" descr="16705527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70552785317"/>
                          <pic:cNvPicPr>
                            <a:picLocks noChangeAspect="1"/>
                          </pic:cNvPicPr>
                        </pic:nvPicPr>
                        <pic:blipFill>
                          <a:blip r:embed="rId19"/>
                          <a:stretch>
                            <a:fillRect/>
                          </a:stretch>
                        </pic:blipFill>
                        <pic:spPr>
                          <a:xfrm>
                            <a:off x="0" y="0"/>
                            <a:ext cx="1132205" cy="199390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42365" cy="1980565"/>
                  <wp:effectExtent l="0" t="0" r="635" b="635"/>
                  <wp:docPr id="18" name="图片 18" descr="167055280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70552809133"/>
                          <pic:cNvPicPr>
                            <a:picLocks noChangeAspect="1"/>
                          </pic:cNvPicPr>
                        </pic:nvPicPr>
                        <pic:blipFill>
                          <a:blip r:embed="rId20"/>
                          <a:stretch>
                            <a:fillRect/>
                          </a:stretch>
                        </pic:blipFill>
                        <pic:spPr>
                          <a:xfrm>
                            <a:off x="0" y="0"/>
                            <a:ext cx="1142365" cy="19805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提供</w:t>
            </w:r>
            <w:r>
              <w:rPr>
                <w:rFonts w:hint="eastAsia"/>
                <w:szCs w:val="22"/>
                <w:lang w:val="en-US" w:eastAsia="zh-CN"/>
              </w:rPr>
              <w:t>耗能设备表，从表中可见企业不存在重点用能设备；</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其他设备：查看企业提供的设备及铭牌，无淘汰落后设备。</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特种设备控制——无特种设备；</w:t>
            </w:r>
            <w:r>
              <w:rPr>
                <w:rFonts w:hint="eastAsia"/>
                <w:szCs w:val="22"/>
                <w:lang w:val="en-US" w:eastAsia="zh-CN"/>
              </w:rPr>
              <w:t>铲车——使用柴油。</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eastAsia"/>
                <w:lang w:val="en-US" w:eastAsia="zh-CN"/>
              </w:rPr>
              <w:t xml:space="preserve"> </w:t>
            </w:r>
            <w:r>
              <w:rPr>
                <w:rFonts w:hint="eastAsia"/>
                <w:lang w:val="en-US" w:eastAsia="zh-CN"/>
              </w:rPr>
              <w:sym w:font="Wingdings" w:char="00A8"/>
            </w:r>
            <w:r>
              <w:rPr>
                <w:rFonts w:hint="eastAsia"/>
                <w:lang w:val="en-US" w:eastAsia="zh-CN"/>
              </w:rPr>
              <w:t xml:space="preserve">锅炉的能效测试  </w:t>
            </w:r>
            <w:r>
              <w:rPr>
                <w:rFonts w:hint="eastAsia"/>
                <w:lang w:val="en-US" w:eastAsia="zh-CN"/>
              </w:rPr>
              <w:sym w:font="Wingdings" w:char="00A8"/>
            </w:r>
            <w:r>
              <w:rPr>
                <w:rFonts w:hint="eastAsia"/>
                <w:lang w:val="en-US" w:eastAsia="zh-CN"/>
              </w:rPr>
              <w:t>压力容器和压力管道</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提供2022年</w:t>
            </w:r>
            <w:r>
              <w:rPr>
                <w:rFonts w:hint="eastAsia"/>
                <w:highlight w:val="none"/>
                <w:lang w:val="en-US" w:eastAsia="zh-CN"/>
              </w:rPr>
              <w:t>设备运行日常保养检查记录，有维修设备名称、日期等，经查符合要求。</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紧急过程能源消耗的管理</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r>
              <w:rPr>
                <w:rFonts w:hint="eastAsia"/>
                <w:lang w:val="en-US" w:eastAsia="zh-CN"/>
              </w:rPr>
              <w:t>现场巡视：企业的生产不属于连续生产，单班工作，应急状态有处置预案和应急处置，措施有效，符合要求。</w:t>
            </w: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宋体"/>
                <w:lang w:val="en-US" w:eastAsia="zh-CN"/>
              </w:rPr>
            </w:pPr>
            <w:r>
              <w:rPr>
                <w:rFonts w:hint="eastAsia"/>
                <w:lang w:val="en-US" w:eastAsia="zh-CN"/>
              </w:rPr>
              <w:t xml:space="preserve">现场视频企业生产用能情况。 </w:t>
            </w:r>
          </w:p>
          <w:p>
            <w:pPr>
              <w:pStyle w:val="2"/>
              <w:ind w:left="0" w:leftChars="0" w:firstLine="0" w:firstLineChars="0"/>
              <w:rPr>
                <w:rFonts w:hint="eastAsia" w:eastAsia="宋体"/>
                <w:lang w:val="en-US" w:eastAsia="zh-CN"/>
              </w:rPr>
            </w:pPr>
            <w:r>
              <w:rPr>
                <w:rFonts w:hint="eastAsia"/>
                <w:lang w:val="en-US" w:eastAsia="zh-CN"/>
              </w:rPr>
              <w:t xml:space="preserve"> </w:t>
            </w:r>
            <w:r>
              <w:rPr>
                <w:rFonts w:hint="eastAsia"/>
                <w:lang w:val="en-US" w:eastAsia="zh-CN"/>
              </w:rPr>
              <w:drawing>
                <wp:inline distT="0" distB="0" distL="114300" distR="114300">
                  <wp:extent cx="771525" cy="1447800"/>
                  <wp:effectExtent l="0" t="0" r="3175" b="0"/>
                  <wp:docPr id="19" name="图片 19" descr="a2fe67f03d7f9601e4cc55491ef8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a2fe67f03d7f9601e4cc55491ef803d"/>
                          <pic:cNvPicPr>
                            <a:picLocks noChangeAspect="1"/>
                          </pic:cNvPicPr>
                        </pic:nvPicPr>
                        <pic:blipFill>
                          <a:blip r:embed="rId21"/>
                          <a:stretch>
                            <a:fillRect/>
                          </a:stretch>
                        </pic:blipFill>
                        <pic:spPr>
                          <a:xfrm>
                            <a:off x="0" y="0"/>
                            <a:ext cx="771525" cy="1447800"/>
                          </a:xfrm>
                          <a:prstGeom prst="rect">
                            <a:avLst/>
                          </a:prstGeom>
                        </pic:spPr>
                      </pic:pic>
                    </a:graphicData>
                  </a:graphic>
                </wp:inline>
              </w:drawing>
            </w:r>
            <w:r>
              <w:rPr>
                <w:rFonts w:hint="eastAsia"/>
                <w:lang w:val="en-US" w:eastAsia="zh-CN"/>
              </w:rPr>
              <w:t xml:space="preserve"> </w:t>
            </w:r>
            <w:r>
              <w:drawing>
                <wp:inline distT="0" distB="0" distL="114300" distR="114300">
                  <wp:extent cx="772160" cy="1429385"/>
                  <wp:effectExtent l="0" t="0" r="2540" b="5715"/>
                  <wp:docPr id="20" name="图片 20" descr="4f01efb68c5132540b5e5075b6053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f01efb68c5132540b5e5075b60532f"/>
                          <pic:cNvPicPr>
                            <a:picLocks noChangeAspect="1"/>
                          </pic:cNvPicPr>
                        </pic:nvPicPr>
                        <pic:blipFill>
                          <a:blip r:embed="rId22"/>
                          <a:stretch>
                            <a:fillRect/>
                          </a:stretch>
                        </pic:blipFill>
                        <pic:spPr>
                          <a:xfrm>
                            <a:off x="0" y="0"/>
                            <a:ext cx="772160" cy="1429385"/>
                          </a:xfrm>
                          <a:prstGeom prst="rect">
                            <a:avLst/>
                          </a:prstGeom>
                        </pic:spPr>
                      </pic:pic>
                    </a:graphicData>
                  </a:graphic>
                </wp:inline>
              </w:drawing>
            </w:r>
            <w:r>
              <w:rPr>
                <w:rFonts w:hint="eastAsia"/>
                <w:lang w:val="en-US" w:eastAsia="zh-CN"/>
              </w:rPr>
              <w:t xml:space="preserve"> </w:t>
            </w:r>
            <w:r>
              <w:rPr>
                <w:rFonts w:hint="eastAsia" w:eastAsia="宋体"/>
                <w:lang w:val="en-US" w:eastAsia="zh-CN"/>
              </w:rPr>
              <w:drawing>
                <wp:inline distT="0" distB="0" distL="114300" distR="114300">
                  <wp:extent cx="853440" cy="1435735"/>
                  <wp:effectExtent l="0" t="0" r="10160" b="12065"/>
                  <wp:docPr id="21" name="图片 21" descr="52b0959fecc305d9d4e28a4d429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2b0959fecc305d9d4e28a4d4295891"/>
                          <pic:cNvPicPr>
                            <a:picLocks noChangeAspect="1"/>
                          </pic:cNvPicPr>
                        </pic:nvPicPr>
                        <pic:blipFill>
                          <a:blip r:embed="rId23"/>
                          <a:stretch>
                            <a:fillRect/>
                          </a:stretch>
                        </pic:blipFill>
                        <pic:spPr>
                          <a:xfrm>
                            <a:off x="0" y="0"/>
                            <a:ext cx="853440" cy="143573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806450" cy="1456055"/>
                  <wp:effectExtent l="0" t="0" r="6350" b="4445"/>
                  <wp:docPr id="22" name="图片 22" descr="5daaefa4b7867ee0e7ac8df2904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daaefa4b7867ee0e7ac8df29042456"/>
                          <pic:cNvPicPr>
                            <a:picLocks noChangeAspect="1"/>
                          </pic:cNvPicPr>
                        </pic:nvPicPr>
                        <pic:blipFill>
                          <a:blip r:embed="rId24"/>
                          <a:stretch>
                            <a:fillRect/>
                          </a:stretch>
                        </pic:blipFill>
                        <pic:spPr>
                          <a:xfrm>
                            <a:off x="0" y="0"/>
                            <a:ext cx="806450" cy="1456055"/>
                          </a:xfrm>
                          <a:prstGeom prst="rect">
                            <a:avLst/>
                          </a:prstGeom>
                        </pic:spPr>
                      </pic:pic>
                    </a:graphicData>
                  </a:graphic>
                </wp:inline>
              </w:drawing>
            </w:r>
            <w:r>
              <w:rPr>
                <w:rFonts w:hint="eastAsia" w:eastAsia="宋体"/>
                <w:lang w:val="en-US" w:eastAsia="zh-CN"/>
              </w:rPr>
              <w:t xml:space="preserve"> </w:t>
            </w:r>
            <w:r>
              <w:rPr>
                <w:rFonts w:hint="default" w:eastAsia="宋体"/>
                <w:lang w:val="en-US" w:eastAsia="zh-CN"/>
              </w:rPr>
              <w:drawing>
                <wp:inline distT="0" distB="0" distL="114300" distR="114300">
                  <wp:extent cx="875665" cy="1459230"/>
                  <wp:effectExtent l="0" t="0" r="635" b="1270"/>
                  <wp:docPr id="23" name="图片 23" descr="635c4cae93477ed8f0f3c1ee4312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35c4cae93477ed8f0f3c1ee4312a51"/>
                          <pic:cNvPicPr>
                            <a:picLocks noChangeAspect="1"/>
                          </pic:cNvPicPr>
                        </pic:nvPicPr>
                        <pic:blipFill>
                          <a:blip r:embed="rId25"/>
                          <a:stretch>
                            <a:fillRect/>
                          </a:stretch>
                        </pic:blipFill>
                        <pic:spPr>
                          <a:xfrm>
                            <a:off x="0" y="0"/>
                            <a:ext cx="875665" cy="145923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925195" cy="1447165"/>
                  <wp:effectExtent l="0" t="0" r="1905" b="635"/>
                  <wp:docPr id="24" name="图片 24" descr="fca0a0e3a0b5bff4bb5a9cdf7ede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ca0a0e3a0b5bff4bb5a9cdf7ede215"/>
                          <pic:cNvPicPr>
                            <a:picLocks noChangeAspect="1"/>
                          </pic:cNvPicPr>
                        </pic:nvPicPr>
                        <pic:blipFill>
                          <a:blip r:embed="rId26"/>
                          <a:stretch>
                            <a:fillRect/>
                          </a:stretch>
                        </pic:blipFill>
                        <pic:spPr>
                          <a:xfrm>
                            <a:off x="0" y="0"/>
                            <a:ext cx="925195" cy="144716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其他现场巡视见Z盘视频录像。</w:t>
            </w:r>
          </w:p>
        </w:tc>
        <w:tc>
          <w:tcPr>
            <w:tcW w:w="1585" w:type="dxa"/>
            <w:vMerge w:val="continue"/>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73" w:type="dxa"/>
            <w:vAlign w:val="top"/>
          </w:tcPr>
          <w:p>
            <w:r>
              <w:rPr>
                <w:rFonts w:hint="eastAsia"/>
              </w:rPr>
              <w:t>设计</w:t>
            </w:r>
          </w:p>
          <w:p>
            <w:pPr>
              <w:rPr>
                <w:rFonts w:hint="eastAsia" w:ascii="Times New Roman" w:hAnsi="Times New Roman" w:eastAsia="宋体" w:cs="Times New Roman"/>
                <w:kern w:val="2"/>
                <w:sz w:val="21"/>
                <w:lang w:val="en-US" w:eastAsia="zh-CN" w:bidi="ar-SA"/>
              </w:rPr>
            </w:pPr>
          </w:p>
        </w:tc>
        <w:tc>
          <w:tcPr>
            <w:tcW w:w="960" w:type="dxa"/>
            <w:vAlign w:val="top"/>
          </w:tcPr>
          <w:p>
            <w:r>
              <w:rPr>
                <w:rFonts w:hint="eastAsia"/>
              </w:rPr>
              <w:t>En8.2</w:t>
            </w:r>
          </w:p>
          <w:p>
            <w:pPr>
              <w:rPr>
                <w:rFonts w:hint="eastAsia" w:ascii="Times New Roman" w:hAnsi="Times New Roman" w:eastAsia="宋体" w:cs="Times New Roman"/>
                <w:kern w:val="2"/>
                <w:sz w:val="21"/>
                <w:lang w:val="en-US" w:eastAsia="zh-CN" w:bidi="ar-S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62" w:type="dxa"/>
            <w:vAlign w:val="top"/>
          </w:tcPr>
          <w:p>
            <w:pPr>
              <w:rPr>
                <w:rFonts w:hint="default" w:ascii="Times New Roman" w:hAnsi="Times New Roman" w:eastAsia="宋体" w:cs="Times New Roman"/>
                <w:kern w:val="2"/>
                <w:sz w:val="21"/>
                <w:lang w:val="en-US" w:eastAsia="zh-CN" w:bidi="ar-SA"/>
              </w:rPr>
            </w:pPr>
            <w:r>
              <w:rPr>
                <w:rFonts w:hint="eastAsia"/>
              </w:rPr>
              <w:t>如手册第</w:t>
            </w:r>
            <w:r>
              <w:rPr>
                <w:rFonts w:hint="eastAsia"/>
                <w:lang w:val="en-US" w:eastAsia="zh-CN"/>
              </w:rPr>
              <w:t>8.2</w:t>
            </w:r>
            <w:r>
              <w:rPr>
                <w:rFonts w:hint="eastAsia"/>
              </w:rPr>
              <w:t>条款</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73" w:type="dxa"/>
          </w:tcPr>
          <w:p>
            <w:pPr>
              <w:rPr>
                <w:rFonts w:hint="eastAsia"/>
                <w:lang w:val="en-US" w:eastAsia="zh-CN"/>
              </w:rPr>
            </w:pPr>
          </w:p>
        </w:tc>
        <w:tc>
          <w:tcPr>
            <w:tcW w:w="960" w:type="dxa"/>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运行控制</w:t>
            </w:r>
          </w:p>
        </w:tc>
        <w:tc>
          <w:tcPr>
            <w:tcW w:w="9362" w:type="dxa"/>
            <w:vAlign w:val="top"/>
          </w:tcPr>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szCs w:val="22"/>
                <w:lang w:val="en-US" w:eastAsia="zh-CN"/>
              </w:rPr>
            </w:pPr>
            <w:r>
              <w:rPr>
                <w:rFonts w:hint="eastAsia"/>
                <w:lang w:val="en-US" w:eastAsia="zh-CN"/>
              </w:rPr>
              <w:t>公</w:t>
            </w:r>
            <w:r>
              <w:rPr>
                <w:rFonts w:hint="eastAsia"/>
                <w:szCs w:val="22"/>
                <w:lang w:val="en-US" w:eastAsia="zh-CN"/>
              </w:rPr>
              <w:t>司管理手册规定：应对公司生产、运行过程的节能设计、设备、设施配置、能源采购以及生产和服务进行控制。在设计过程中，优先考虑能源绩效改进机会较大的项目、设备设施，并将能源绩效评价纳入项目的规范、设计和采购活动中。</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szCs w:val="22"/>
                <w:lang w:val="en-US" w:eastAsia="zh-CN"/>
              </w:rPr>
            </w:pPr>
            <w:r>
              <w:rPr>
                <w:rFonts w:hint="eastAsia"/>
                <w:szCs w:val="22"/>
                <w:lang w:val="en-US" w:eastAsia="zh-CN"/>
              </w:rPr>
              <w:t>公司建立、实施并保持节能设计管理制度，对已实施的设计和新的设计活动进行控制，确保设计活动和结果符合节能要求。</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szCs w:val="22"/>
                <w:lang w:val="en-US" w:eastAsia="zh-CN"/>
              </w:rPr>
            </w:pPr>
            <w:r>
              <w:rPr>
                <w:rFonts w:hint="eastAsia"/>
                <w:szCs w:val="22"/>
                <w:lang w:val="en-US" w:eastAsia="zh-CN"/>
              </w:rPr>
              <w:t>公司实施的新改扩建项目在产品生产过程的设计或改进中应考虑能源的合理利用，以降低能源消耗提高能源利用效率。在进行公司新的生产系统、辅助系统以及生产工艺过程的设计或改进过程中，应充分考虑能源的合理利用，以降低能源消耗、提高能源利用效率和改进能源管理绩效。同时还应做到：确保符合国家相关能源法律法规和标准的要求；考虑所使用能源的种类、经济性、质量、环境影响，以及可获得性等；合理匹配生产、辅助各系统和设备设施，优化用能，从设计开始关注系统节能；借鉴节能新技术和方法、最佳节能实践与经验；利用新能源和可再生能源等。</w:t>
            </w:r>
          </w:p>
          <w:p>
            <w:pPr>
              <w:keepNext w:val="0"/>
              <w:keepLines w:val="0"/>
              <w:pageBreakBefore w:val="0"/>
              <w:widowControl/>
              <w:kinsoku/>
              <w:wordWrap/>
              <w:overflowPunct/>
              <w:topLinePunct w:val="0"/>
              <w:autoSpaceDE w:val="0"/>
              <w:autoSpaceDN w:val="0"/>
              <w:bidi w:val="0"/>
              <w:adjustRightInd w:val="0"/>
              <w:snapToGrid/>
              <w:spacing w:before="157" w:beforeLines="50" w:line="240" w:lineRule="auto"/>
              <w:jc w:val="left"/>
              <w:textAlignment w:val="auto"/>
              <w:rPr>
                <w:rFonts w:hint="eastAsia"/>
                <w:lang w:val="en-US" w:eastAsia="zh-CN"/>
              </w:rPr>
            </w:pPr>
            <w:r>
              <w:rPr>
                <w:rFonts w:hint="eastAsia"/>
                <w:szCs w:val="22"/>
                <w:lang w:val="en-US" w:eastAsia="zh-CN"/>
              </w:rPr>
              <w:t>在新项目设计实施前应由组织有关专家和部门进行有效的评审和确认。</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rPr>
            </w:pPr>
            <w:r>
              <w:rPr>
                <w:rFonts w:hint="eastAsia"/>
              </w:rPr>
              <w:sym w:font="Wingdings" w:char="00FE"/>
            </w:r>
            <w:r>
              <w:rPr>
                <w:rFonts w:hint="eastAsia"/>
                <w:lang w:val="en-US" w:eastAsia="zh-CN"/>
              </w:rPr>
              <w:t xml:space="preserve">目前无设计和开发  </w:t>
            </w:r>
            <w:r>
              <w:rPr>
                <w:rFonts w:hint="eastAsia"/>
              </w:rPr>
              <w:sym w:font="Wingdings" w:char="00A8"/>
            </w:r>
            <w:r>
              <w:rPr>
                <w:rFonts w:hint="eastAsia"/>
                <w:lang w:val="en-US" w:eastAsia="zh-CN"/>
              </w:rPr>
              <w:t>有设计和开发</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目前进行设计开发项目的性质：</w:t>
            </w:r>
            <w:r>
              <w:rPr>
                <w:rFonts w:hint="eastAsia"/>
              </w:rPr>
              <w:sym w:font="Wingdings" w:char="00A8"/>
            </w:r>
            <w:r>
              <w:rPr>
                <w:rFonts w:hint="eastAsia"/>
              </w:rPr>
              <w:t xml:space="preserve">新产品 </w:t>
            </w:r>
            <w:r>
              <w:rPr>
                <w:rFonts w:hint="eastAsia"/>
              </w:rPr>
              <w:sym w:font="Wingdings" w:char="00A8"/>
            </w:r>
            <w:r>
              <w:rPr>
                <w:rFonts w:hint="eastAsia"/>
              </w:rPr>
              <w:t xml:space="preserve">新服务项目 </w:t>
            </w:r>
            <w:r>
              <w:rPr>
                <w:rFonts w:hint="eastAsia"/>
              </w:rPr>
              <w:sym w:font="Wingdings" w:char="00A8"/>
            </w:r>
            <w:r>
              <w:rPr>
                <w:rFonts w:hint="eastAsia"/>
              </w:rPr>
              <w:t>技术改进</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rPr>
            </w:pPr>
            <w:r>
              <w:rPr>
                <w:rFonts w:hint="eastAsia"/>
              </w:rPr>
              <w:t>设计开发的主体：</w:t>
            </w:r>
            <w:r>
              <w:rPr>
                <w:rFonts w:hint="eastAsia"/>
              </w:rPr>
              <w:sym w:font="Wingdings" w:char="00A8"/>
            </w:r>
            <w:r>
              <w:rPr>
                <w:rFonts w:hint="eastAsia"/>
              </w:rPr>
              <w:t xml:space="preserve">自主开发  </w:t>
            </w:r>
            <w:r>
              <w:rPr>
                <w:rFonts w:hint="eastAsia"/>
              </w:rPr>
              <w:sym w:font="Wingdings" w:char="00A8"/>
            </w:r>
            <w:r>
              <w:rPr>
                <w:rFonts w:hint="eastAsia"/>
              </w:rPr>
              <w:t xml:space="preserve">外包   </w:t>
            </w:r>
            <w:r>
              <w:rPr>
                <w:rFonts w:hint="eastAsia"/>
              </w:rPr>
              <w:sym w:font="Wingdings" w:char="00A8"/>
            </w:r>
            <w:r>
              <w:rPr>
                <w:rFonts w:hint="eastAsia"/>
              </w:rPr>
              <w:t>购买新</w:t>
            </w:r>
            <w:r>
              <w:rPr>
                <w:rFonts w:hint="eastAsia"/>
                <w:lang w:val="en-US" w:eastAsia="zh-CN"/>
              </w:rPr>
              <w:t>产品</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基本</w:t>
            </w:r>
            <w:r>
              <w:rPr>
                <w:rFonts w:hint="eastAsia" w:ascii="Times New Roman" w:hAnsi="Times New Roman" w:eastAsia="宋体" w:cs="Times New Roman"/>
                <w:kern w:val="2"/>
                <w:sz w:val="21"/>
                <w:szCs w:val="22"/>
                <w:highlight w:val="none"/>
                <w:lang w:val="en-US" w:eastAsia="zh-CN" w:bidi="ar-SA"/>
              </w:rPr>
              <w:t>满足要求。</w:t>
            </w: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default" w:ascii="Times New Roman" w:hAnsi="Times New Roman" w:eastAsia="宋体" w:cs="Times New Roman"/>
                <w:kern w:val="2"/>
                <w:sz w:val="24"/>
                <w:lang w:val="en-US" w:eastAsia="zh-CN" w:bidi="ar-SA"/>
              </w:rPr>
            </w:pP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法律法规、</w:t>
            </w:r>
            <w:r>
              <w:rPr>
                <w:rFonts w:hint="eastAsia"/>
              </w:rPr>
              <w:t>合规</w:t>
            </w:r>
            <w:r>
              <w:rPr>
                <w:rFonts w:hint="eastAsia"/>
                <w:lang w:val="en-US" w:eastAsia="zh-CN"/>
              </w:rPr>
              <w:t>性评价</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color w:val="000000"/>
                <w:szCs w:val="21"/>
              </w:rPr>
              <w:t>En4.2</w:t>
            </w:r>
            <w:r>
              <w:rPr>
                <w:rFonts w:hint="eastAsia"/>
                <w:color w:val="000000"/>
                <w:szCs w:val="21"/>
                <w:lang w:val="en-US" w:eastAsia="zh-CN"/>
              </w:rPr>
              <w:t xml:space="preserve"> </w:t>
            </w:r>
            <w:r>
              <w:rPr>
                <w:rFonts w:hint="eastAsia"/>
                <w:color w:val="000000"/>
                <w:szCs w:val="21"/>
              </w:rPr>
              <w:t>En9.1.2</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362" w:type="dxa"/>
            <w:vAlign w:val="top"/>
          </w:tcPr>
          <w:p>
            <w:pPr>
              <w:rPr>
                <w:rFonts w:hint="default" w:ascii="Times New Roman" w:hAnsi="Times New Roman" w:eastAsia="宋体" w:cs="Times New Roman"/>
                <w:kern w:val="2"/>
                <w:sz w:val="21"/>
                <w:lang w:val="en-US" w:eastAsia="zh-CN" w:bidi="ar-SA"/>
              </w:rPr>
            </w:pPr>
            <w:r>
              <w:rPr>
                <w:rFonts w:hint="eastAsia"/>
              </w:rPr>
              <w:t>如：</w:t>
            </w:r>
            <w:r>
              <w:rPr>
                <w:color w:val="000000"/>
                <w:highlight w:val="none"/>
              </w:rPr>
              <w:sym w:font="Wingdings" w:char="00FE"/>
            </w:r>
            <w:r>
              <w:rPr>
                <w:rFonts w:hint="eastAsia"/>
                <w:highlight w:val="none"/>
              </w:rPr>
              <w:t>手册第</w:t>
            </w:r>
            <w:r>
              <w:rPr>
                <w:rFonts w:hint="eastAsia"/>
                <w:highlight w:val="none"/>
                <w:lang w:val="en-US" w:eastAsia="zh-CN"/>
              </w:rPr>
              <w:t>4.2</w:t>
            </w:r>
            <w:r>
              <w:rPr>
                <w:rFonts w:hint="eastAsia"/>
                <w:highlight w:val="none"/>
              </w:rPr>
              <w:t>条款、</w:t>
            </w:r>
            <w:r>
              <w:rPr>
                <w:rFonts w:hint="eastAsia"/>
                <w:highlight w:val="none"/>
                <w:lang w:val="en-US" w:eastAsia="zh-CN"/>
              </w:rPr>
              <w:t>9.1.2条款、</w:t>
            </w:r>
            <w:r>
              <w:rPr>
                <w:color w:val="000000"/>
                <w:highlight w:val="none"/>
              </w:rPr>
              <w:sym w:font="Wingdings" w:char="00A8"/>
            </w:r>
            <w:r>
              <w:rPr>
                <w:rFonts w:hint="eastAsia"/>
                <w:highlight w:val="none"/>
              </w:rPr>
              <w:t>《</w:t>
            </w:r>
            <w:r>
              <w:rPr>
                <w:rFonts w:hint="eastAsia" w:ascii="宋体" w:hAnsi="宋体"/>
                <w:sz w:val="21"/>
                <w:szCs w:val="21"/>
                <w:highlight w:val="none"/>
              </w:rPr>
              <w:t>法律法规和其他要求</w:t>
            </w:r>
            <w:r>
              <w:rPr>
                <w:rFonts w:hint="eastAsia" w:ascii="宋体" w:hAnsi="宋体"/>
                <w:sz w:val="21"/>
                <w:szCs w:val="21"/>
                <w:highlight w:val="none"/>
                <w:lang w:val="en-US" w:eastAsia="zh-CN"/>
              </w:rPr>
              <w:t>识别</w:t>
            </w:r>
            <w:r>
              <w:rPr>
                <w:rFonts w:hint="eastAsia" w:ascii="宋体" w:hAnsi="宋体"/>
                <w:sz w:val="21"/>
                <w:szCs w:val="21"/>
                <w:highlight w:val="none"/>
              </w:rPr>
              <w:t>控制程序</w:t>
            </w:r>
            <w:r>
              <w:rPr>
                <w:rFonts w:hint="eastAsia"/>
                <w:sz w:val="21"/>
                <w:szCs w:val="21"/>
                <w:highlight w:val="none"/>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73" w:type="dxa"/>
          </w:tcPr>
          <w:p/>
        </w:tc>
        <w:tc>
          <w:tcPr>
            <w:tcW w:w="960" w:type="dxa"/>
          </w:tcP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362" w:type="dxa"/>
            <w:vAlign w:val="top"/>
          </w:tcPr>
          <w:p>
            <w:r>
              <w:rPr>
                <w:rFonts w:hint="eastAsia"/>
              </w:rPr>
              <w:t>组织收集法律法规和其他要求的渠道：</w:t>
            </w:r>
          </w:p>
          <w:p>
            <w:r>
              <w:rPr/>
              <w:sym w:font="Wingdings" w:char="00FE"/>
            </w:r>
            <w:r>
              <w:rPr>
                <w:rFonts w:hint="eastAsia"/>
              </w:rPr>
              <w:t xml:space="preserve">专业网站  </w:t>
            </w:r>
            <w:r>
              <w:rPr/>
              <w:sym w:font="Wingdings" w:char="00FE"/>
            </w:r>
            <w:r>
              <w:rPr>
                <w:rFonts w:hint="eastAsia"/>
              </w:rPr>
              <w:t xml:space="preserve">主管机构    </w:t>
            </w:r>
            <w:r>
              <w:rPr/>
              <w:sym w:font="Wingdings" w:char="00FE"/>
            </w:r>
            <w:r>
              <w:rPr>
                <w:rFonts w:hint="eastAsia"/>
              </w:rPr>
              <w:t xml:space="preserve">专业书店   </w:t>
            </w:r>
            <w:r>
              <w:rPr/>
              <w:sym w:font="Wingdings" w:char="00A8"/>
            </w:r>
            <w:r>
              <w:rPr>
                <w:rFonts w:hint="eastAsia"/>
              </w:rPr>
              <w:t>其他</w:t>
            </w:r>
          </w:p>
          <w:p/>
          <w:p>
            <w:r>
              <w:rPr>
                <w:rFonts w:hint="eastAsia"/>
              </w:rPr>
              <w:t>列举主要的相关法律法规是：</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1167"/>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r>
                    <w:rPr>
                      <w:rFonts w:hint="eastAsia"/>
                    </w:rPr>
                    <w:t>法律法规名称</w:t>
                  </w:r>
                </w:p>
              </w:tc>
              <w:tc>
                <w:tcPr>
                  <w:tcW w:w="1167" w:type="dxa"/>
                  <w:noWrap w:val="0"/>
                  <w:vAlign w:val="top"/>
                </w:tcPr>
                <w:p>
                  <w:r>
                    <w:rPr>
                      <w:rFonts w:hint="eastAsia"/>
                    </w:rPr>
                    <w:t>具体条款</w:t>
                  </w:r>
                </w:p>
              </w:tc>
              <w:tc>
                <w:tcPr>
                  <w:tcW w:w="1671" w:type="dxa"/>
                  <w:noWrap w:val="0"/>
                  <w:vAlign w:val="top"/>
                </w:tcPr>
                <w:p>
                  <w:r>
                    <w:rPr>
                      <w:rFonts w:hint="eastAsia"/>
                    </w:rPr>
                    <w:t>应用过程</w:t>
                  </w:r>
                </w:p>
              </w:tc>
              <w:tc>
                <w:tcPr>
                  <w:tcW w:w="1453" w:type="dxa"/>
                  <w:noWrap w:val="0"/>
                  <w:vAlign w:val="top"/>
                </w:tcPr>
                <w:p>
                  <w:r>
                    <w:rPr>
                      <w:rFonts w:hint="eastAsi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167" w:type="dxa"/>
                  <w:noWrap w:val="0"/>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能源计量</w:t>
                  </w:r>
                </w:p>
              </w:tc>
              <w:tc>
                <w:tcPr>
                  <w:tcW w:w="1453" w:type="dxa"/>
                  <w:noWrap w:val="0"/>
                  <w:vAlign w:val="center"/>
                </w:tcPr>
                <w:p>
                  <w:pPr>
                    <w:rPr>
                      <w:rFonts w:hint="default" w:ascii="Times New Roman" w:hAnsi="Times New Roman" w:eastAsia="宋体" w:cs="Times New Roman"/>
                      <w:szCs w:val="22"/>
                      <w:lang w:val="en-US" w:eastAsia="zh-CN"/>
                    </w:rPr>
                  </w:pPr>
                  <w:r>
                    <w:rPr>
                      <w:rFonts w:hint="eastAsia" w:cs="Times New Roman"/>
                      <w:szCs w:val="22"/>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w:t>
                  </w:r>
                  <w:r>
                    <w:rPr>
                      <w:rFonts w:hint="eastAsia" w:ascii="Times New Roman" w:hAnsi="Times New Roman" w:eastAsia="宋体" w:cs="Times New Roman"/>
                      <w:szCs w:val="22"/>
                      <w:lang w:val="en-US" w:eastAsia="zh-CN"/>
                    </w:rPr>
                    <w:tab/>
                  </w:r>
                  <w:r>
                    <w:rPr>
                      <w:rFonts w:hint="eastAsia" w:ascii="Times New Roman" w:hAnsi="Times New Roman" w:eastAsia="宋体" w:cs="Times New Roman"/>
                      <w:szCs w:val="22"/>
                      <w:lang w:val="en-US" w:eastAsia="zh-CN"/>
                    </w:rPr>
                    <w:t>综合能耗计算通则</w:t>
                  </w:r>
                </w:p>
              </w:tc>
              <w:tc>
                <w:tcPr>
                  <w:tcW w:w="1167" w:type="dxa"/>
                  <w:noWrap w:val="0"/>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全部</w:t>
                  </w:r>
                </w:p>
              </w:tc>
              <w:tc>
                <w:tcPr>
                  <w:tcW w:w="1671" w:type="dxa"/>
                  <w:noWrap w:val="0"/>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能源评审</w:t>
                  </w:r>
                  <w:r>
                    <w:rPr>
                      <w:rFonts w:hint="eastAsia" w:cs="Times New Roman"/>
                      <w:szCs w:val="22"/>
                      <w:lang w:val="en-US" w:eastAsia="zh-CN"/>
                    </w:rPr>
                    <w:t>、计算</w:t>
                  </w:r>
                </w:p>
              </w:tc>
              <w:tc>
                <w:tcPr>
                  <w:tcW w:w="1453" w:type="dxa"/>
                  <w:noWrap w:val="0"/>
                  <w:vAlign w:val="center"/>
                </w:tcPr>
                <w:p>
                  <w:pPr>
                    <w:rPr>
                      <w:rFonts w:hint="eastAsia" w:ascii="Times New Roman" w:hAnsi="Times New Roman" w:eastAsia="宋体" w:cs="Times New Roman"/>
                      <w:szCs w:val="22"/>
                      <w:lang w:val="en-US" w:eastAsia="zh-CN"/>
                    </w:rPr>
                  </w:pPr>
                  <w:r>
                    <w:rPr>
                      <w:rFonts w:hint="eastAsia" w:cs="Times New Roman"/>
                      <w:szCs w:val="22"/>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167" w:type="dxa"/>
                  <w:noWrap w:val="0"/>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全部</w:t>
                  </w:r>
                </w:p>
              </w:tc>
              <w:tc>
                <w:tcPr>
                  <w:tcW w:w="1671" w:type="dxa"/>
                  <w:noWrap w:val="0"/>
                  <w:vAlign w:val="center"/>
                </w:tcPr>
                <w:p>
                  <w:p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能源管理</w:t>
                  </w:r>
                </w:p>
              </w:tc>
              <w:tc>
                <w:tcPr>
                  <w:tcW w:w="1453" w:type="dxa"/>
                  <w:noWrap w:val="0"/>
                  <w:vAlign w:val="center"/>
                </w:tcPr>
                <w:p>
                  <w:pPr>
                    <w:rPr>
                      <w:rFonts w:hint="eastAsia" w:ascii="Times New Roman" w:hAnsi="Times New Roman" w:eastAsia="宋体" w:cs="Times New Roman"/>
                      <w:kern w:val="2"/>
                      <w:sz w:val="21"/>
                      <w:szCs w:val="22"/>
                      <w:lang w:val="en-US" w:eastAsia="zh-CN" w:bidi="ar-SA"/>
                    </w:rPr>
                  </w:pPr>
                  <w:r>
                    <w:rPr>
                      <w:rFonts w:hint="eastAsia" w:cs="Times New Roman"/>
                      <w:szCs w:val="22"/>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noWrap w:val="0"/>
                  <w:vAlign w:val="top"/>
                </w:tcPr>
                <w:p>
                  <w:pPr>
                    <w:rPr>
                      <w:rFonts w:hint="eastAsia" w:ascii="Times New Roman" w:hAnsi="Times New Roman" w:eastAsia="宋体" w:cs="Times New Roman"/>
                      <w:kern w:val="2"/>
                      <w:sz w:val="21"/>
                      <w:szCs w:val="22"/>
                      <w:lang w:val="en-US" w:eastAsia="zh-CN" w:bidi="ar-SA"/>
                    </w:rPr>
                  </w:pPr>
                </w:p>
              </w:tc>
              <w:tc>
                <w:tcPr>
                  <w:tcW w:w="1167" w:type="dxa"/>
                  <w:noWrap w:val="0"/>
                  <w:vAlign w:val="top"/>
                </w:tcPr>
                <w:p>
                  <w:pPr>
                    <w:rPr>
                      <w:rFonts w:hint="eastAsia" w:ascii="Times New Roman" w:hAnsi="Times New Roman" w:eastAsia="宋体" w:cs="Times New Roman"/>
                      <w:kern w:val="2"/>
                      <w:sz w:val="21"/>
                      <w:szCs w:val="22"/>
                      <w:lang w:val="en-US" w:eastAsia="zh-CN" w:bidi="ar-SA"/>
                    </w:rPr>
                  </w:pPr>
                </w:p>
              </w:tc>
              <w:tc>
                <w:tcPr>
                  <w:tcW w:w="1671" w:type="dxa"/>
                  <w:noWrap w:val="0"/>
                  <w:vAlign w:val="top"/>
                </w:tcPr>
                <w:p>
                  <w:pPr>
                    <w:rPr>
                      <w:rFonts w:hint="default" w:ascii="Times New Roman" w:hAnsi="Times New Roman" w:eastAsia="宋体" w:cs="Times New Roman"/>
                      <w:kern w:val="2"/>
                      <w:sz w:val="21"/>
                      <w:szCs w:val="22"/>
                      <w:lang w:val="en-US" w:eastAsia="zh-CN" w:bidi="ar-SA"/>
                    </w:rPr>
                  </w:pPr>
                </w:p>
              </w:tc>
              <w:tc>
                <w:tcPr>
                  <w:tcW w:w="1453" w:type="dxa"/>
                  <w:noWrap w:val="0"/>
                  <w:vAlign w:val="top"/>
                </w:tcPr>
                <w:p>
                  <w:pPr>
                    <w:rPr>
                      <w:rFonts w:hint="default" w:ascii="Times New Roman" w:hAnsi="Times New Roman" w:eastAsia="宋体" w:cs="Times New Roman"/>
                      <w:kern w:val="2"/>
                      <w:sz w:val="21"/>
                      <w:szCs w:val="22"/>
                      <w:lang w:val="en-US" w:eastAsia="zh-CN" w:bidi="ar-SA"/>
                    </w:rPr>
                  </w:pPr>
                </w:p>
              </w:tc>
            </w:tr>
          </w:tbl>
          <w:p>
            <w:r>
              <w:rPr>
                <w:rFonts w:hint="eastAsia"/>
              </w:rPr>
              <w:t xml:space="preserve"> </w:t>
            </w:r>
          </w:p>
          <w:p>
            <w:r>
              <w:rPr>
                <w:rFonts w:hint="eastAsia"/>
              </w:rPr>
              <w:t>企业的合规性评价是不是按照文件要求执行，结论描述是否准确。</w:t>
            </w:r>
          </w:p>
          <w:p>
            <w:r>
              <w:rPr/>
              <w:sym w:font="Wingdings" w:char="00FE"/>
            </w:r>
            <w:r>
              <w:rPr>
                <w:rFonts w:hint="eastAsia"/>
              </w:rPr>
              <w:t>自管理体系建立后/</w:t>
            </w:r>
            <w:r>
              <w:rPr/>
              <w:sym w:font="Wingdings" w:char="00A8"/>
            </w:r>
            <w:r>
              <w:rPr>
                <w:rFonts w:hint="eastAsia"/>
              </w:rPr>
              <w:t>近一年，合规义务如下：</w:t>
            </w:r>
          </w:p>
          <w:p>
            <w:pPr>
              <w:rPr>
                <w:rFonts w:hint="eastAsia"/>
                <w:lang w:val="en-US" w:eastAsia="zh-CN"/>
              </w:rPr>
            </w:pPr>
            <w:r>
              <w:rPr>
                <w:rFonts w:hint="eastAsia"/>
                <w:lang w:val="en-US" w:eastAsia="zh-CN"/>
              </w:rPr>
              <w:t>有</w:t>
            </w:r>
            <w:r>
              <w:rPr>
                <w:rFonts w:hint="eastAsia"/>
                <w:lang w:eastAsia="zh-CN"/>
              </w:rPr>
              <w:t>《</w:t>
            </w:r>
            <w:r>
              <w:rPr>
                <w:rFonts w:hint="eastAsia"/>
                <w:lang w:val="en-US" w:eastAsia="zh-CN"/>
              </w:rPr>
              <w:t>合规性评价报告</w:t>
            </w:r>
            <w:r>
              <w:rPr>
                <w:rFonts w:hint="eastAsia"/>
                <w:lang w:eastAsia="zh-CN"/>
              </w:rPr>
              <w:t>》</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1737"/>
              <w:gridCol w:w="2045"/>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r>
                    <w:rPr>
                      <w:rFonts w:hint="eastAsia"/>
                    </w:rPr>
                    <w:t>合规义务</w:t>
                  </w:r>
                </w:p>
              </w:tc>
              <w:tc>
                <w:tcPr>
                  <w:tcW w:w="1737" w:type="dxa"/>
                  <w:noWrap w:val="0"/>
                  <w:vAlign w:val="top"/>
                </w:tcPr>
                <w:p>
                  <w:r>
                    <w:rPr>
                      <w:rFonts w:hint="eastAsia"/>
                    </w:rPr>
                    <w:t>评价日期</w:t>
                  </w:r>
                </w:p>
              </w:tc>
              <w:tc>
                <w:tcPr>
                  <w:tcW w:w="2045" w:type="dxa"/>
                  <w:noWrap w:val="0"/>
                  <w:vAlign w:val="top"/>
                </w:tcPr>
                <w:p>
                  <w:r>
                    <w:rPr>
                      <w:rFonts w:hint="eastAsia"/>
                    </w:rPr>
                    <w:t>评价概述或结果</w:t>
                  </w:r>
                </w:p>
              </w:tc>
              <w:tc>
                <w:tcPr>
                  <w:tcW w:w="1828" w:type="dxa"/>
                  <w:noWrap w:val="0"/>
                  <w:vAlign w:val="top"/>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GB17167-2006用能单位能源计量器具配备及管理导则</w:t>
                  </w:r>
                </w:p>
              </w:tc>
              <w:tc>
                <w:tcPr>
                  <w:tcW w:w="1737" w:type="dxa"/>
                  <w:noWrap w:val="0"/>
                  <w:vAlign w:val="top"/>
                </w:tcPr>
                <w:p>
                  <w:pPr>
                    <w:rPr>
                      <w:rFonts w:hint="default" w:ascii="Times New Roman" w:hAnsi="Times New Roman" w:eastAsia="宋体" w:cs="Times New Roman"/>
                      <w:szCs w:val="22"/>
                      <w:lang w:val="en-US" w:eastAsia="zh-CN"/>
                    </w:rPr>
                  </w:pPr>
                  <w:r>
                    <w:rPr>
                      <w:rFonts w:hint="eastAsia" w:cs="Times New Roman"/>
                      <w:szCs w:val="22"/>
                      <w:lang w:val="en-US" w:eastAsia="zh-CN"/>
                    </w:rPr>
                    <w:t>2022-06-10</w:t>
                  </w:r>
                </w:p>
              </w:tc>
              <w:tc>
                <w:tcPr>
                  <w:tcW w:w="2045" w:type="dxa"/>
                  <w:noWrap w:val="0"/>
                  <w:vAlign w:val="top"/>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 2589- 2020综合能耗计算通则</w:t>
                  </w:r>
                </w:p>
              </w:tc>
              <w:tc>
                <w:tcPr>
                  <w:tcW w:w="1737" w:type="dxa"/>
                  <w:noWrap w:val="0"/>
                  <w:vAlign w:val="top"/>
                </w:tcPr>
                <w:p>
                  <w:pPr>
                    <w:rPr>
                      <w:rFonts w:hint="default" w:ascii="Times New Roman" w:hAnsi="Times New Roman" w:eastAsia="宋体" w:cs="Times New Roman"/>
                      <w:szCs w:val="22"/>
                      <w:lang w:val="en-US" w:eastAsia="zh-CN"/>
                    </w:rPr>
                  </w:pPr>
                  <w:r>
                    <w:rPr>
                      <w:rFonts w:hint="eastAsia" w:cs="Times New Roman"/>
                      <w:szCs w:val="22"/>
                      <w:lang w:val="en-US" w:eastAsia="zh-CN"/>
                    </w:rPr>
                    <w:t>2022-06-10</w:t>
                  </w:r>
                </w:p>
              </w:tc>
              <w:tc>
                <w:tcPr>
                  <w:tcW w:w="2045"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符合法规要求</w:t>
                  </w:r>
                </w:p>
              </w:tc>
              <w:tc>
                <w:tcPr>
                  <w:tcW w:w="1828"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GB 24789-2009《用水单位水计量器具配备和管理通则》</w:t>
                  </w:r>
                </w:p>
              </w:tc>
              <w:tc>
                <w:tcPr>
                  <w:tcW w:w="1737" w:type="dxa"/>
                  <w:noWrap w:val="0"/>
                  <w:vAlign w:val="top"/>
                </w:tcPr>
                <w:p>
                  <w:pPr>
                    <w:rPr>
                      <w:rFonts w:hint="default" w:ascii="Times New Roman" w:hAnsi="Times New Roman" w:eastAsia="宋体" w:cs="Times New Roman"/>
                      <w:kern w:val="2"/>
                      <w:sz w:val="21"/>
                      <w:szCs w:val="22"/>
                      <w:lang w:val="en-US" w:eastAsia="zh-CN" w:bidi="ar-SA"/>
                    </w:rPr>
                  </w:pPr>
                  <w:r>
                    <w:rPr>
                      <w:rFonts w:hint="eastAsia" w:cs="Times New Roman"/>
                      <w:szCs w:val="22"/>
                      <w:lang w:val="en-US" w:eastAsia="zh-CN"/>
                    </w:rPr>
                    <w:t>2022-06-10</w:t>
                  </w:r>
                </w:p>
              </w:tc>
              <w:tc>
                <w:tcPr>
                  <w:tcW w:w="2045"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符合法规要求</w:t>
                  </w:r>
                </w:p>
              </w:tc>
              <w:tc>
                <w:tcPr>
                  <w:tcW w:w="1828" w:type="dxa"/>
                  <w:noWrap w:val="0"/>
                  <w:vAlign w:val="top"/>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top"/>
                </w:tcPr>
                <w:p>
                  <w:pPr>
                    <w:rPr>
                      <w:rFonts w:hint="default" w:ascii="Times New Roman" w:hAnsi="Times New Roman" w:eastAsia="宋体" w:cs="Times New Roman"/>
                      <w:szCs w:val="22"/>
                      <w:lang w:val="en-US" w:eastAsia="zh-CN"/>
                    </w:rPr>
                  </w:pPr>
                </w:p>
              </w:tc>
              <w:tc>
                <w:tcPr>
                  <w:tcW w:w="1737" w:type="dxa"/>
                  <w:noWrap w:val="0"/>
                  <w:vAlign w:val="top"/>
                </w:tcPr>
                <w:p>
                  <w:pPr>
                    <w:rPr>
                      <w:rFonts w:hint="default" w:ascii="Times New Roman" w:hAnsi="Times New Roman" w:eastAsia="宋体" w:cs="Times New Roman"/>
                      <w:kern w:val="2"/>
                      <w:sz w:val="21"/>
                      <w:szCs w:val="22"/>
                      <w:lang w:val="en-US" w:eastAsia="zh-CN" w:bidi="ar-SA"/>
                    </w:rPr>
                  </w:pPr>
                </w:p>
              </w:tc>
              <w:tc>
                <w:tcPr>
                  <w:tcW w:w="2045" w:type="dxa"/>
                  <w:noWrap w:val="0"/>
                  <w:vAlign w:val="top"/>
                </w:tcPr>
                <w:p>
                  <w:pPr>
                    <w:rPr>
                      <w:rFonts w:hint="eastAsia" w:ascii="Times New Roman" w:hAnsi="Times New Roman" w:eastAsia="宋体" w:cs="Times New Roman"/>
                      <w:kern w:val="2"/>
                      <w:sz w:val="21"/>
                      <w:szCs w:val="22"/>
                      <w:lang w:val="en-US" w:eastAsia="zh-CN" w:bidi="ar-SA"/>
                    </w:rPr>
                  </w:pPr>
                </w:p>
              </w:tc>
              <w:tc>
                <w:tcPr>
                  <w:tcW w:w="1828" w:type="dxa"/>
                  <w:noWrap w:val="0"/>
                  <w:vAlign w:val="top"/>
                </w:tcPr>
                <w:p>
                  <w:pPr>
                    <w:rPr>
                      <w:rFonts w:hint="eastAsia" w:ascii="Times New Roman" w:hAnsi="Times New Roman" w:eastAsia="宋体" w:cs="Times New Roman"/>
                      <w:kern w:val="2"/>
                      <w:sz w:val="21"/>
                      <w:szCs w:val="22"/>
                      <w:lang w:val="en-US" w:eastAsia="zh-CN" w:bidi="ar-SA"/>
                    </w:rPr>
                  </w:pPr>
                </w:p>
              </w:tc>
            </w:tr>
          </w:tbl>
          <w:p>
            <w:pPr>
              <w:rPr>
                <w:rFonts w:hint="default" w:ascii="Times New Roman" w:hAnsi="Times New Roman" w:eastAsia="宋体" w:cs="Times New Roman"/>
                <w:kern w:val="2"/>
                <w:sz w:val="21"/>
                <w:lang w:val="en-US" w:eastAsia="zh-CN" w:bidi="ar-SA"/>
              </w:rPr>
            </w:pPr>
          </w:p>
        </w:tc>
        <w:tc>
          <w:tcPr>
            <w:tcW w:w="1585" w:type="dxa"/>
            <w:vMerge w:val="continue"/>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73" w:type="dxa"/>
            <w:vMerge w:val="restart"/>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能源绩效和EnMS的监视、测量、分析和评价</w:t>
            </w:r>
          </w:p>
          <w:p/>
        </w:tc>
        <w:tc>
          <w:tcPr>
            <w:tcW w:w="960" w:type="dxa"/>
            <w:vMerge w:val="restart"/>
          </w:tcPr>
          <w:p>
            <w:pPr>
              <w:numPr>
                <w:ilvl w:val="0"/>
                <w:numId w:val="0"/>
              </w:num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En9.1.1</w:t>
            </w:r>
          </w:p>
          <w:p/>
        </w:tc>
        <w:tc>
          <w:tcPr>
            <w:tcW w:w="7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文件名称</w:t>
            </w:r>
          </w:p>
        </w:tc>
        <w:tc>
          <w:tcPr>
            <w:tcW w:w="9362" w:type="dxa"/>
            <w:vAlign w:val="top"/>
          </w:tcPr>
          <w:p>
            <w:pPr>
              <w:pStyle w:val="19"/>
              <w:rPr>
                <w:rFonts w:hint="default" w:ascii="Times New Roman" w:hAnsi="Times New Roman" w:eastAsia="宋体" w:cs="Times New Roman"/>
                <w:color w:val="FF0000"/>
                <w:spacing w:val="0"/>
                <w:kern w:val="2"/>
                <w:sz w:val="21"/>
                <w:szCs w:val="22"/>
                <w:highlight w:val="none"/>
                <w:lang w:val="en-US" w:eastAsia="zh-CN" w:bidi="ar-SA"/>
              </w:rPr>
            </w:pPr>
            <w:r>
              <w:rPr>
                <w:rFonts w:hint="eastAsia" w:ascii="Times New Roman" w:hAnsi="Times New Roman" w:eastAsia="宋体" w:cs="Times New Roman"/>
                <w:color w:val="auto"/>
                <w:spacing w:val="0"/>
                <w:kern w:val="2"/>
                <w:sz w:val="21"/>
                <w:szCs w:val="22"/>
                <w:highlight w:val="none"/>
                <w:lang w:val="en-US" w:eastAsia="zh-CN" w:bidi="ar-SA"/>
              </w:rPr>
              <w:t>如：</w:t>
            </w:r>
            <w:r>
              <w:rPr>
                <w:rFonts w:hint="eastAsia" w:ascii="Times New Roman" w:hAnsi="Times New Roman" w:eastAsia="宋体" w:cs="Times New Roman"/>
                <w:color w:val="auto"/>
                <w:spacing w:val="0"/>
                <w:kern w:val="2"/>
                <w:sz w:val="21"/>
                <w:szCs w:val="22"/>
                <w:highlight w:val="none"/>
                <w:lang w:val="en-US" w:eastAsia="zh-CN" w:bidi="ar-SA"/>
              </w:rPr>
              <w:sym w:font="Wingdings" w:char="00FE"/>
            </w:r>
            <w:r>
              <w:rPr>
                <w:rFonts w:hint="eastAsia" w:ascii="Times New Roman" w:hAnsi="Times New Roman" w:eastAsia="宋体" w:cs="Times New Roman"/>
                <w:color w:val="auto"/>
                <w:spacing w:val="0"/>
                <w:kern w:val="2"/>
                <w:sz w:val="21"/>
                <w:szCs w:val="22"/>
                <w:highlight w:val="none"/>
                <w:lang w:val="en-US" w:eastAsia="zh-CN" w:bidi="ar-SA"/>
              </w:rPr>
              <w:t>管理手册9.1.1条款、</w:t>
            </w:r>
            <w:r>
              <w:rPr>
                <w:rFonts w:hint="eastAsia" w:ascii="Times New Roman" w:hAnsi="Times New Roman" w:eastAsia="宋体" w:cs="Times New Roman"/>
                <w:color w:val="auto"/>
                <w:spacing w:val="0"/>
                <w:kern w:val="2"/>
                <w:sz w:val="21"/>
                <w:szCs w:val="22"/>
                <w:highlight w:val="none"/>
                <w:lang w:val="en-US" w:eastAsia="zh-CN" w:bidi="ar-SA"/>
              </w:rPr>
              <w:sym w:font="Wingdings" w:char="00FE"/>
            </w:r>
            <w:r>
              <w:rPr>
                <w:rFonts w:hint="eastAsia" w:ascii="Times New Roman" w:hAnsi="Times New Roman" w:eastAsia="宋体" w:cs="Times New Roman"/>
                <w:color w:val="auto"/>
                <w:spacing w:val="0"/>
                <w:kern w:val="2"/>
                <w:sz w:val="21"/>
                <w:szCs w:val="22"/>
                <w:highlight w:val="none"/>
                <w:lang w:val="en-US" w:eastAsia="zh-CN" w:bidi="ar-SA"/>
              </w:rPr>
              <w:t>《绩效测量控制程序》</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Merge w:val="continue"/>
          </w:tcPr>
          <w:p/>
        </w:tc>
        <w:tc>
          <w:tcPr>
            <w:tcW w:w="960" w:type="dxa"/>
            <w:vMerge w:val="continue"/>
          </w:tcPr>
          <w:p/>
        </w:tc>
        <w:tc>
          <w:tcPr>
            <w:tcW w:w="7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运行证据</w:t>
            </w:r>
          </w:p>
        </w:tc>
        <w:tc>
          <w:tcPr>
            <w:tcW w:w="9362" w:type="dxa"/>
            <w:vAlign w:val="top"/>
          </w:tcPr>
          <w:p>
            <w:pPr>
              <w:pStyle w:val="25"/>
              <w:keepNext w:val="0"/>
              <w:keepLines w:val="0"/>
              <w:pageBreakBefore w:val="0"/>
              <w:widowControl w:val="0"/>
              <w:numPr>
                <w:ilvl w:val="0"/>
                <w:numId w:val="0"/>
              </w:numPr>
              <w:tabs>
                <w:tab w:val="left" w:pos="1936"/>
              </w:tabs>
              <w:kinsoku/>
              <w:wordWrap/>
              <w:overflowPunct/>
              <w:topLinePunct w:val="0"/>
              <w:autoSpaceDE/>
              <w:autoSpaceDN/>
              <w:bidi w:val="0"/>
              <w:adjustRightInd/>
              <w:snapToGrid/>
              <w:spacing w:before="120" w:after="0" w:line="240" w:lineRule="auto"/>
              <w:ind w:right="0" w:rightChars="0"/>
              <w:jc w:val="left"/>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查《监视和测量控制程序》规定的监测内容包括 ：有关法律法规的遵循情况；体系运行的覆盖情况；用能系统、过程和环节是否在规定状态下运行；目标、指标的实现情况和能源管理方案的进展情况；考核制度的落实情况；能源计量、统计制度的执行情况；设施设备的运行、维护和</w:t>
            </w:r>
            <w:r>
              <w:rPr>
                <w:rFonts w:hint="eastAsia" w:cs="Times New Roman"/>
                <w:szCs w:val="22"/>
                <w:lang w:val="en-US" w:eastAsia="zh-CN"/>
              </w:rPr>
              <w:t>检</w:t>
            </w:r>
            <w:r>
              <w:rPr>
                <w:rFonts w:hint="eastAsia" w:ascii="Times New Roman" w:hAnsi="Times New Roman" w:eastAsia="宋体" w:cs="Times New Roman"/>
                <w:szCs w:val="22"/>
                <w:lang w:val="en-US" w:eastAsia="zh-CN"/>
              </w:rPr>
              <w:t>定情况；</w:t>
            </w:r>
          </w:p>
          <w:p>
            <w:pPr>
              <w:pStyle w:val="3"/>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w:t>
            </w:r>
            <w:r>
              <w:rPr>
                <w:rFonts w:hint="eastAsia" w:cs="Times New Roman"/>
                <w:kern w:val="2"/>
                <w:sz w:val="21"/>
                <w:szCs w:val="22"/>
                <w:lang w:val="en-US" w:eastAsia="zh-CN" w:bidi="ar-SA"/>
              </w:rPr>
              <w:t>生产技术部</w:t>
            </w:r>
            <w:r>
              <w:rPr>
                <w:rFonts w:hint="eastAsia" w:ascii="Times New Roman" w:hAnsi="Times New Roman" w:eastAsia="宋体" w:cs="Times New Roman"/>
                <w:kern w:val="2"/>
                <w:sz w:val="21"/>
                <w:szCs w:val="22"/>
                <w:lang w:val="en-US" w:eastAsia="zh-CN" w:bidi="ar-SA"/>
              </w:rPr>
              <w:t>每月对能源绩效的相关的关键活动、关键区域、关键设备设施的运行控制情况进行检查和评价，以便及时发现问题并采取措施进行有效控制。包括：能源目标和指标的实现情况；能源管理实施方案进展和效果；能源绩效参数的变化；关键运行特性的控制；优控能源绩效改进机会的控制；实际能源消耗与预期的对比；检查和评价的方法包括目测、实测、巡视、关键参数记录的分析等。按规定的控制准则监测工艺运行参数,各主要用能部门指定专人对部门用能情况进行巡视和监控，确保关键运行特性得到逐级控制，发现的用能异常情况应及时在设备运行记录中体现并及时处置或反馈给责任部门处理。对于发现的较大偏差，应上报</w:t>
            </w:r>
            <w:r>
              <w:rPr>
                <w:rFonts w:hint="eastAsia" w:cs="Times New Roman"/>
                <w:kern w:val="2"/>
                <w:sz w:val="21"/>
                <w:szCs w:val="22"/>
                <w:lang w:val="en-US" w:eastAsia="zh-CN" w:bidi="ar-SA"/>
              </w:rPr>
              <w:t>生产技术部</w:t>
            </w:r>
            <w:r>
              <w:rPr>
                <w:rFonts w:hint="eastAsia" w:ascii="Times New Roman" w:hAnsi="Times New Roman" w:eastAsia="宋体" w:cs="Times New Roman"/>
                <w:kern w:val="2"/>
                <w:sz w:val="21"/>
                <w:szCs w:val="22"/>
                <w:lang w:val="en-US" w:eastAsia="zh-CN" w:bidi="ar-SA"/>
              </w:rPr>
              <w:t>,由</w:t>
            </w:r>
            <w:r>
              <w:rPr>
                <w:rFonts w:hint="eastAsia" w:cs="Times New Roman"/>
                <w:kern w:val="2"/>
                <w:sz w:val="21"/>
                <w:szCs w:val="22"/>
                <w:lang w:val="en-US" w:eastAsia="zh-CN" w:bidi="ar-SA"/>
              </w:rPr>
              <w:t>生产技术部</w:t>
            </w:r>
            <w:r>
              <w:rPr>
                <w:rFonts w:hint="eastAsia" w:ascii="Times New Roman" w:hAnsi="Times New Roman" w:eastAsia="宋体" w:cs="Times New Roman"/>
                <w:kern w:val="2"/>
                <w:sz w:val="21"/>
                <w:szCs w:val="22"/>
                <w:lang w:val="en-US" w:eastAsia="zh-CN" w:bidi="ar-SA"/>
              </w:rPr>
              <w:t>组织调查原因,采取纠偏措施。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有关法律法规的遵循情况；见9.1.2审核记录；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体系运行的覆盖情况；见</w:t>
            </w:r>
            <w:r>
              <w:rPr>
                <w:rFonts w:hint="eastAsia" w:cs="Times New Roman"/>
                <w:kern w:val="2"/>
                <w:sz w:val="21"/>
                <w:szCs w:val="22"/>
                <w:lang w:val="en-US" w:eastAsia="zh-CN" w:bidi="ar-SA"/>
              </w:rPr>
              <w:t>生产技术部</w:t>
            </w:r>
            <w:r>
              <w:rPr>
                <w:rFonts w:hint="eastAsia" w:ascii="Times New Roman" w:hAnsi="Times New Roman" w:eastAsia="宋体" w:cs="Times New Roman"/>
                <w:kern w:val="2"/>
                <w:sz w:val="21"/>
                <w:szCs w:val="22"/>
                <w:lang w:val="en-US" w:eastAsia="zh-CN" w:bidi="ar-SA"/>
              </w:rPr>
              <w:t>内审记录、管理层管理评审记录；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用能系统、过程和环节是否在规定状态下运行；现场巡视</w:t>
            </w:r>
            <w:r>
              <w:rPr>
                <w:rFonts w:hint="eastAsia" w:cs="Times New Roman"/>
                <w:kern w:val="2"/>
                <w:sz w:val="21"/>
                <w:szCs w:val="22"/>
                <w:lang w:val="en-US" w:eastAsia="zh-CN" w:bidi="ar-SA"/>
              </w:rPr>
              <w:t>生产技术</w:t>
            </w:r>
            <w:r>
              <w:rPr>
                <w:rFonts w:hint="eastAsia" w:ascii="Times New Roman" w:hAnsi="Times New Roman" w:eastAsia="宋体" w:cs="Times New Roman"/>
                <w:kern w:val="2"/>
                <w:sz w:val="21"/>
                <w:szCs w:val="22"/>
                <w:lang w:val="en-US" w:eastAsia="zh-CN" w:bidi="ar-SA"/>
              </w:rPr>
              <w:t>部未发现不正常状态；</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目标、指标的实现情况和能源管理方案的进展情况按计划实施。</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能源计量、统计制度的执行情况；用于贸易结算的能源计量主要是</w:t>
            </w:r>
            <w:r>
              <w:rPr>
                <w:rFonts w:hint="eastAsia" w:ascii="Times New Roman" w:hAnsi="Times New Roman" w:eastAsia="宋体" w:cs="Times New Roman"/>
                <w:kern w:val="2"/>
                <w:sz w:val="21"/>
                <w:szCs w:val="22"/>
                <w:highlight w:val="none"/>
                <w:lang w:val="en-US" w:eastAsia="zh-CN" w:bidi="ar-SA"/>
              </w:rPr>
              <w:t>供方电力局和自来水公司</w:t>
            </w:r>
            <w:r>
              <w:rPr>
                <w:rFonts w:hint="eastAsia" w:ascii="Times New Roman" w:hAnsi="Times New Roman" w:eastAsia="宋体" w:cs="Times New Roman"/>
                <w:kern w:val="2"/>
                <w:sz w:val="21"/>
                <w:szCs w:val="22"/>
                <w:lang w:val="en-US" w:eastAsia="zh-CN" w:bidi="ar-SA"/>
              </w:rPr>
              <w:t>提供设备并安装进行计量，</w:t>
            </w:r>
            <w:r>
              <w:rPr>
                <w:rFonts w:hint="eastAsia" w:cs="Times New Roman"/>
                <w:kern w:val="2"/>
                <w:sz w:val="21"/>
                <w:szCs w:val="22"/>
                <w:lang w:val="en-US" w:eastAsia="zh-CN" w:bidi="ar-SA"/>
              </w:rPr>
              <w:t>公司</w:t>
            </w:r>
            <w:r>
              <w:rPr>
                <w:rFonts w:hint="eastAsia" w:ascii="Times New Roman" w:hAnsi="Times New Roman" w:eastAsia="宋体" w:cs="Times New Roman"/>
                <w:kern w:val="2"/>
                <w:sz w:val="21"/>
                <w:szCs w:val="22"/>
                <w:lang w:val="en-US" w:eastAsia="zh-CN" w:bidi="ar-SA"/>
              </w:rPr>
              <w:t>对能源计量不控制；已沟通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组织提供的计算数据和分析：见6.6条款及8.1条款审核记录。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default"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企业的能源种类有：电和水</w:t>
            </w:r>
            <w:r>
              <w:rPr>
                <w:rFonts w:hint="eastAsia" w:cs="Times New Roman"/>
                <w:kern w:val="2"/>
                <w:sz w:val="21"/>
                <w:szCs w:val="22"/>
                <w:lang w:val="en-US" w:eastAsia="zh-CN" w:bidi="ar-SA"/>
              </w:rPr>
              <w:t>及铲车用的柴油</w:t>
            </w:r>
            <w:r>
              <w:rPr>
                <w:rFonts w:hint="eastAsia" w:ascii="Times New Roman" w:hAnsi="Times New Roman" w:eastAsia="宋体" w:cs="Times New Roman"/>
                <w:kern w:val="2"/>
                <w:sz w:val="21"/>
                <w:szCs w:val="22"/>
                <w:lang w:val="en-US" w:eastAsia="zh-CN" w:bidi="ar-SA"/>
              </w:rPr>
              <w:t>；主要能源使用为：电；影响主要能源使用的相关变量见6.3条款审核记录</w:t>
            </w:r>
            <w:r>
              <w:rPr>
                <w:rFonts w:hint="eastAsia" w:cs="Times New Roman"/>
                <w:kern w:val="2"/>
                <w:sz w:val="21"/>
                <w:szCs w:val="2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能源数据分析：2022年1-1</w:t>
            </w:r>
            <w:r>
              <w:rPr>
                <w:rFonts w:hint="eastAsia" w:cs="Times New Roman"/>
                <w:kern w:val="2"/>
                <w:sz w:val="21"/>
                <w:szCs w:val="22"/>
                <w:lang w:val="en-US" w:eastAsia="zh-CN" w:bidi="ar-SA"/>
              </w:rPr>
              <w:t>0</w:t>
            </w:r>
            <w:r>
              <w:rPr>
                <w:rFonts w:hint="eastAsia" w:ascii="Times New Roman" w:hAnsi="Times New Roman" w:eastAsia="宋体" w:cs="Times New Roman"/>
                <w:kern w:val="2"/>
                <w:sz w:val="21"/>
                <w:szCs w:val="22"/>
                <w:lang w:val="en-US" w:eastAsia="zh-CN" w:bidi="ar-SA"/>
              </w:rPr>
              <w:t>月综合能耗为</w:t>
            </w:r>
            <w:r>
              <w:rPr>
                <w:rFonts w:hint="eastAsia" w:cs="Times New Roman"/>
                <w:kern w:val="2"/>
                <w:sz w:val="21"/>
                <w:szCs w:val="22"/>
                <w:lang w:val="en-US" w:eastAsia="zh-CN" w:bidi="ar-SA"/>
              </w:rPr>
              <w:t>2766</w:t>
            </w:r>
            <w:r>
              <w:rPr>
                <w:rFonts w:hint="eastAsia" w:ascii="Times New Roman" w:hAnsi="Times New Roman" w:eastAsia="宋体" w:cs="Times New Roman"/>
                <w:kern w:val="2"/>
                <w:sz w:val="21"/>
                <w:szCs w:val="22"/>
                <w:lang w:val="en-US" w:eastAsia="zh-CN" w:bidi="ar-SA"/>
              </w:rPr>
              <w:t>．3</w:t>
            </w:r>
            <w:r>
              <w:rPr>
                <w:rFonts w:hint="eastAsia" w:cs="Times New Roman"/>
                <w:kern w:val="2"/>
                <w:sz w:val="21"/>
                <w:szCs w:val="22"/>
                <w:lang w:val="en-US" w:eastAsia="zh-CN" w:bidi="ar-SA"/>
              </w:rPr>
              <w:t>9</w:t>
            </w:r>
            <w:r>
              <w:rPr>
                <w:rFonts w:hint="eastAsia" w:ascii="Times New Roman" w:hAnsi="Times New Roman" w:eastAsia="宋体" w:cs="Times New Roman"/>
                <w:kern w:val="2"/>
                <w:sz w:val="21"/>
                <w:szCs w:val="22"/>
                <w:lang w:val="en-US" w:eastAsia="zh-CN" w:bidi="ar-SA"/>
              </w:rPr>
              <w:t>kgce</w:t>
            </w:r>
          </w:p>
          <w:p>
            <w:pPr>
              <w:pStyle w:val="3"/>
              <w:ind w:firstLine="1470" w:firstLineChars="7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2022年1-1</w:t>
            </w:r>
            <w:r>
              <w:rPr>
                <w:rFonts w:hint="eastAsia" w:cs="Times New Roman"/>
                <w:kern w:val="2"/>
                <w:sz w:val="21"/>
                <w:szCs w:val="22"/>
                <w:lang w:val="en-US" w:eastAsia="zh-CN" w:bidi="ar-SA"/>
              </w:rPr>
              <w:t>0</w:t>
            </w:r>
            <w:r>
              <w:rPr>
                <w:rFonts w:hint="eastAsia" w:ascii="Times New Roman" w:hAnsi="Times New Roman" w:eastAsia="宋体" w:cs="Times New Roman"/>
                <w:kern w:val="2"/>
                <w:sz w:val="21"/>
                <w:szCs w:val="22"/>
                <w:lang w:val="en-US" w:eastAsia="zh-CN" w:bidi="ar-SA"/>
              </w:rPr>
              <w:t>月份的产值为：</w:t>
            </w:r>
            <w:r>
              <w:rPr>
                <w:rFonts w:hint="eastAsia" w:cs="Times New Roman"/>
                <w:kern w:val="2"/>
                <w:sz w:val="21"/>
                <w:szCs w:val="22"/>
                <w:lang w:val="en-US" w:eastAsia="zh-CN" w:bidi="ar-SA"/>
              </w:rPr>
              <w:t>87.9805</w:t>
            </w:r>
            <w:r>
              <w:rPr>
                <w:rFonts w:hint="eastAsia" w:ascii="Times New Roman" w:hAnsi="Times New Roman" w:eastAsia="宋体" w:cs="Times New Roman"/>
                <w:kern w:val="2"/>
                <w:sz w:val="21"/>
                <w:szCs w:val="22"/>
                <w:lang w:val="en-US" w:eastAsia="zh-CN" w:bidi="ar-SA"/>
              </w:rPr>
              <w:t>万元</w:t>
            </w:r>
          </w:p>
          <w:p>
            <w:pPr>
              <w:pStyle w:val="3"/>
              <w:ind w:firstLine="1470" w:firstLineChars="700"/>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2022年1-1</w:t>
            </w:r>
            <w:r>
              <w:rPr>
                <w:rFonts w:hint="eastAsia" w:cs="Times New Roman"/>
                <w:kern w:val="2"/>
                <w:sz w:val="21"/>
                <w:szCs w:val="22"/>
                <w:lang w:val="en-US" w:eastAsia="zh-CN" w:bidi="ar-SA"/>
              </w:rPr>
              <w:t>0</w:t>
            </w:r>
            <w:r>
              <w:rPr>
                <w:rFonts w:hint="eastAsia" w:ascii="Times New Roman" w:hAnsi="Times New Roman" w:eastAsia="宋体" w:cs="Times New Roman"/>
                <w:kern w:val="2"/>
                <w:sz w:val="21"/>
                <w:szCs w:val="22"/>
                <w:lang w:val="en-US" w:eastAsia="zh-CN" w:bidi="ar-SA"/>
              </w:rPr>
              <w:t>月份单位产值能耗为：</w:t>
            </w:r>
            <w:r>
              <w:rPr>
                <w:rFonts w:hint="eastAsia" w:cs="Times New Roman"/>
                <w:kern w:val="2"/>
                <w:sz w:val="21"/>
                <w:szCs w:val="22"/>
                <w:lang w:val="en-US" w:eastAsia="zh-CN" w:bidi="ar-SA"/>
              </w:rPr>
              <w:t>31.44</w:t>
            </w:r>
            <w:r>
              <w:rPr>
                <w:rFonts w:hint="eastAsia" w:ascii="Times New Roman" w:hAnsi="Times New Roman" w:eastAsia="宋体" w:cs="Times New Roman"/>
                <w:kern w:val="2"/>
                <w:sz w:val="21"/>
                <w:szCs w:val="22"/>
                <w:lang w:val="en-US" w:eastAsia="zh-CN" w:bidi="ar-SA"/>
              </w:rPr>
              <w:t>kce/万元；</w:t>
            </w:r>
          </w:p>
          <w:p>
            <w:pPr>
              <w:pStyle w:val="19"/>
              <w:rPr>
                <w:rFonts w:hint="default" w:ascii="Times New Roman" w:hAnsi="Times New Roman" w:eastAsia="宋体" w:cs="Times New Roman"/>
                <w:color w:val="auto"/>
                <w:spacing w:val="0"/>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 基本符合要求。</w:t>
            </w:r>
          </w:p>
        </w:tc>
        <w:tc>
          <w:tcPr>
            <w:tcW w:w="1585" w:type="dxa"/>
            <w:vMerge w:val="continue"/>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highlight w:val="none"/>
              </w:rPr>
              <w:t>不符合与纠正措施</w:t>
            </w:r>
          </w:p>
        </w:tc>
        <w:tc>
          <w:tcPr>
            <w:tcW w:w="960" w:type="dxa"/>
            <w:vAlign w:val="top"/>
          </w:tcPr>
          <w:p>
            <w:pPr>
              <w:pStyle w:val="20"/>
              <w:rPr>
                <w:rFonts w:ascii="Times New Roman" w:hAnsi="Times New Roman" w:eastAsia="宋体" w:cs="Times New Roman"/>
                <w:bCs/>
                <w:spacing w:val="10"/>
                <w:kern w:val="2"/>
                <w:sz w:val="21"/>
                <w:lang w:val="en-US" w:eastAsia="zh-CN" w:bidi="ar-SA"/>
              </w:rPr>
            </w:pPr>
            <w:r>
              <w:rPr>
                <w:rFonts w:hint="eastAsia"/>
                <w:highlight w:val="none"/>
                <w:lang w:val="en-US" w:eastAsia="zh-CN"/>
              </w:rPr>
              <w:t>En10.1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highlight w:val="none"/>
              </w:rPr>
              <w:t>文件名称</w:t>
            </w:r>
          </w:p>
        </w:tc>
        <w:tc>
          <w:tcPr>
            <w:tcW w:w="9362" w:type="dxa"/>
            <w:vAlign w:val="top"/>
          </w:tcPr>
          <w:p>
            <w:pPr>
              <w:rPr>
                <w:rFonts w:hint="eastAsia" w:ascii="Times New Roman" w:hAnsi="Times New Roman" w:eastAsia="宋体" w:cs="Times New Roman"/>
                <w:kern w:val="2"/>
                <w:sz w:val="21"/>
                <w:lang w:val="en-US" w:eastAsia="zh-CN" w:bidi="ar-SA"/>
              </w:rPr>
            </w:pPr>
            <w:r>
              <w:rPr>
                <w:rFonts w:hint="eastAsia"/>
                <w:highlight w:val="none"/>
              </w:rPr>
              <w:t>如：</w:t>
            </w:r>
            <w:r>
              <w:rPr>
                <w:color w:val="auto"/>
                <w:highlight w:val="none"/>
              </w:rPr>
              <w:sym w:font="Wingdings" w:char="00FE"/>
            </w:r>
            <w:r>
              <w:rPr>
                <w:rFonts w:hint="eastAsia"/>
                <w:highlight w:val="none"/>
              </w:rPr>
              <w:t>《</w:t>
            </w:r>
            <w:r>
              <w:rPr>
                <w:rFonts w:hint="eastAsia" w:ascii="Times New Roman" w:hAnsi="Times New Roman" w:eastAsia="宋体" w:cs="Times New Roman"/>
                <w:szCs w:val="22"/>
                <w:highlight w:val="none"/>
                <w:lang w:val="en-US" w:eastAsia="zh-CN"/>
              </w:rPr>
              <w:t>不符合、纠正、改进措施程序</w:t>
            </w:r>
            <w:r>
              <w:rPr>
                <w:rFonts w:hint="eastAsia"/>
                <w:highlight w:val="none"/>
              </w:rPr>
              <w:t>》</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tcPr>
          <w:p/>
        </w:tc>
        <w:tc>
          <w:tcPr>
            <w:tcW w:w="960" w:type="dxa"/>
          </w:tcPr>
          <w:p/>
        </w:tc>
        <w:tc>
          <w:tcPr>
            <w:tcW w:w="745" w:type="dxa"/>
            <w:vAlign w:val="top"/>
          </w:tcPr>
          <w:p>
            <w:pPr>
              <w:rPr>
                <w:rFonts w:hint="eastAsia" w:ascii="Times New Roman" w:hAnsi="Times New Roman" w:eastAsia="宋体" w:cs="Times New Roman"/>
                <w:kern w:val="2"/>
                <w:sz w:val="21"/>
                <w:lang w:val="en-US" w:eastAsia="zh-CN" w:bidi="ar-SA"/>
              </w:rPr>
            </w:pPr>
            <w:r>
              <w:rPr>
                <w:rFonts w:hint="eastAsia"/>
                <w:highlight w:val="none"/>
              </w:rPr>
              <w:t>运行证据</w:t>
            </w:r>
          </w:p>
        </w:tc>
        <w:tc>
          <w:tcPr>
            <w:tcW w:w="9362" w:type="dxa"/>
            <w:vAlign w:val="top"/>
          </w:tcPr>
          <w:p>
            <w:r>
              <w:rPr>
                <w:rFonts w:hint="eastAsia"/>
              </w:rPr>
              <w:t>不符合的来源：</w:t>
            </w:r>
          </w:p>
          <w:p>
            <w:pPr>
              <w:rPr>
                <w:rFonts w:hint="default"/>
                <w:highlight w:val="none"/>
                <w:lang w:val="en-US" w:eastAsia="zh-CN"/>
              </w:rPr>
            </w:pPr>
            <w:r>
              <w:rPr>
                <w:rFonts w:hint="eastAsia"/>
                <w:lang w:val="en-US" w:eastAsia="zh-CN"/>
              </w:rPr>
              <w:t xml:space="preserve"> </w:t>
            </w:r>
            <w:r>
              <w:rPr>
                <w:rFonts w:hint="eastAsia"/>
                <w:lang w:val="en-US" w:eastAsia="zh-CN"/>
              </w:rPr>
              <w:sym w:font="Wingdings" w:char="00FE"/>
            </w:r>
            <w:r>
              <w:rPr>
                <w:rFonts w:hint="eastAsia"/>
                <w:lang w:val="en-US" w:eastAsia="zh-CN"/>
              </w:rPr>
              <w:t xml:space="preserve">工作运行中发现的问题  </w:t>
            </w:r>
            <w:r>
              <w:rPr>
                <w:rFonts w:hint="eastAsia"/>
                <w:lang w:val="en-US" w:eastAsia="zh-CN"/>
              </w:rPr>
              <w:sym w:font="Wingdings" w:char="00FE"/>
            </w:r>
            <w:r>
              <w:rPr>
                <w:rFonts w:hint="eastAsia"/>
                <w:lang w:val="en-US" w:eastAsia="zh-CN"/>
              </w:rPr>
              <w:t>内审 ——</w:t>
            </w:r>
            <w:r>
              <w:rPr>
                <w:rFonts w:hint="eastAsia"/>
                <w:highlight w:val="none"/>
                <w:lang w:val="en-US" w:eastAsia="zh-CN"/>
              </w:rPr>
              <w:t>本次内审发现不符合1项</w:t>
            </w:r>
          </w:p>
          <w:p>
            <w:pPr>
              <w:pStyle w:val="2"/>
              <w:rPr>
                <w:rFonts w:hint="eastAsia"/>
                <w:lang w:val="en-US" w:eastAsia="zh-CN"/>
              </w:rPr>
            </w:pPr>
          </w:p>
          <w:p>
            <w:r>
              <w:rPr>
                <w:rFonts w:hint="eastAsia"/>
              </w:rPr>
              <w:t>抽查采取纠正措施相关记录名称：《</w:t>
            </w:r>
            <w:r>
              <w:rPr>
                <w:rFonts w:hint="eastAsia"/>
                <w:lang w:val="en-US" w:eastAsia="zh-CN"/>
              </w:rPr>
              <w:t>不符合报告</w:t>
            </w:r>
            <w:r>
              <w:rPr>
                <w:rFonts w:hint="eastAsia"/>
              </w:rPr>
              <w:t xml:space="preserve"> 》</w:t>
            </w:r>
          </w:p>
          <w:tbl>
            <w:tblPr>
              <w:tblStyle w:val="1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83"/>
              <w:gridCol w:w="1779"/>
              <w:gridCol w:w="1295"/>
              <w:gridCol w:w="198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683" w:type="dxa"/>
                </w:tcPr>
                <w:p>
                  <w:r>
                    <w:rPr>
                      <w:rFonts w:hint="eastAsia"/>
                    </w:rPr>
                    <w:t>不符合描述</w:t>
                  </w:r>
                </w:p>
              </w:tc>
              <w:tc>
                <w:tcPr>
                  <w:tcW w:w="1779" w:type="dxa"/>
                </w:tcPr>
                <w:p>
                  <w:r>
                    <w:rPr>
                      <w:rFonts w:hint="eastAsia"/>
                    </w:rPr>
                    <w:t>不符合纠正</w:t>
                  </w:r>
                </w:p>
              </w:tc>
              <w:tc>
                <w:tcPr>
                  <w:tcW w:w="1295" w:type="dxa"/>
                </w:tcPr>
                <w:p>
                  <w:r>
                    <w:rPr>
                      <w:rFonts w:hint="eastAsia"/>
                    </w:rPr>
                    <w:t>原因分析</w:t>
                  </w:r>
                </w:p>
              </w:tc>
              <w:tc>
                <w:tcPr>
                  <w:tcW w:w="1981"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lang w:val="en-US" w:eastAsia="zh-CN"/>
                    </w:rPr>
                  </w:pPr>
                  <w:r>
                    <w:rPr>
                      <w:rFonts w:hint="eastAsia"/>
                      <w:lang w:val="en-US" w:eastAsia="zh-CN"/>
                    </w:rPr>
                    <w:t>2022.111-20</w:t>
                  </w:r>
                </w:p>
              </w:tc>
              <w:tc>
                <w:tcPr>
                  <w:tcW w:w="168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8"/>
                      <w:szCs w:val="28"/>
                    </w:rPr>
                  </w:pPr>
                  <w:r>
                    <w:rPr>
                      <w:rFonts w:hint="eastAsia" w:ascii="Times New Roman" w:hAnsi="Times New Roman" w:eastAsia="宋体" w:cs="Times New Roman"/>
                      <w:szCs w:val="22"/>
                      <w:lang w:val="en-US" w:eastAsia="zh-CN"/>
                    </w:rPr>
                    <w:t>提供的数据搜集计划未覆盖办公用水。</w:t>
                  </w:r>
                </w:p>
                <w:p>
                  <w:pPr>
                    <w:rPr>
                      <w:rFonts w:hint="default"/>
                      <w:szCs w:val="22"/>
                      <w:lang w:val="en-US" w:eastAsia="zh-CN"/>
                    </w:rPr>
                  </w:pPr>
                </w:p>
              </w:tc>
              <w:tc>
                <w:tcPr>
                  <w:tcW w:w="177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立即更新数据搜集计划，增加办公用用水的相关数据。</w:t>
                  </w:r>
                </w:p>
              </w:tc>
              <w:tc>
                <w:tcPr>
                  <w:tcW w:w="12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能源管理人员工作疏忽，遗漏了办公用水。</w:t>
                  </w:r>
                </w:p>
              </w:tc>
              <w:tc>
                <w:tcPr>
                  <w:tcW w:w="198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对相关人员进行标准条款培训，举一反三，防止此类不符合再次发生</w:t>
                  </w:r>
                </w:p>
              </w:tc>
              <w:tc>
                <w:tcPr>
                  <w:tcW w:w="1508" w:type="dxa"/>
                </w:tcPr>
                <w:p>
                  <w:r>
                    <w:rPr>
                      <w:rFonts w:hint="eastAsia"/>
                    </w:rPr>
                    <w:sym w:font="Wingdings" w:char="00FE"/>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lang w:val="en-US" w:eastAsia="zh-CN"/>
                    </w:rPr>
                  </w:pPr>
                </w:p>
              </w:tc>
              <w:tc>
                <w:tcPr>
                  <w:tcW w:w="1683" w:type="dxa"/>
                </w:tcPr>
                <w:p>
                  <w:pPr>
                    <w:rPr>
                      <w:rFonts w:hint="default"/>
                      <w:szCs w:val="22"/>
                      <w:lang w:val="en-US" w:eastAsia="zh-CN"/>
                    </w:rPr>
                  </w:pPr>
                </w:p>
              </w:tc>
              <w:tc>
                <w:tcPr>
                  <w:tcW w:w="1779" w:type="dxa"/>
                </w:tcPr>
                <w:p>
                  <w:pPr>
                    <w:rPr>
                      <w:rFonts w:hint="default"/>
                      <w:lang w:val="en-US" w:eastAsia="zh-CN"/>
                    </w:rPr>
                  </w:pPr>
                </w:p>
              </w:tc>
              <w:tc>
                <w:tcPr>
                  <w:tcW w:w="1295" w:type="dxa"/>
                </w:tcPr>
                <w:p>
                  <w:pPr>
                    <w:rPr>
                      <w:rFonts w:hint="default"/>
                      <w:lang w:val="en-US" w:eastAsia="zh-CN"/>
                    </w:rPr>
                  </w:pPr>
                </w:p>
              </w:tc>
              <w:tc>
                <w:tcPr>
                  <w:tcW w:w="1981" w:type="dxa"/>
                </w:tcPr>
                <w:p>
                  <w:pPr>
                    <w:rPr>
                      <w:rFonts w:hint="default"/>
                      <w:lang w:val="en-US" w:eastAsia="zh-CN"/>
                    </w:rPr>
                  </w:pPr>
                </w:p>
              </w:tc>
              <w:tc>
                <w:tcPr>
                  <w:tcW w:w="1508" w:type="dxa"/>
                </w:tcPr>
                <w:p>
                  <w:r>
                    <w:rPr>
                      <w:rFonts w:hint="eastAsia"/>
                    </w:rPr>
                    <w:sym w:font="Wingdings" w:char="00A8"/>
                  </w:r>
                  <w:r>
                    <w:rPr>
                      <w:rFonts w:hint="eastAsia"/>
                    </w:rPr>
                    <w:t>未再次发生</w:t>
                  </w:r>
                </w:p>
                <w:p>
                  <w:pPr>
                    <w:rPr>
                      <w:rFonts w:hint="eastAsia"/>
                    </w:rPr>
                  </w:pPr>
                  <w:r>
                    <w:rPr>
                      <w:rFonts w:hint="eastAsia"/>
                    </w:rPr>
                    <w:sym w:font="Wingdings" w:char="00A8"/>
                  </w:r>
                  <w:r>
                    <w:rPr>
                      <w:rFonts w:hint="eastAsia"/>
                    </w:rPr>
                    <w:t>再次发生</w:t>
                  </w:r>
                </w:p>
              </w:tc>
            </w:tr>
          </w:tbl>
          <w:p>
            <w:pPr>
              <w:pStyle w:val="20"/>
              <w:rPr>
                <w:rFonts w:hint="eastAsia" w:ascii="Times New Roman" w:hAnsi="Times New Roman" w:eastAsia="宋体" w:cs="Times New Roman"/>
                <w:bCs/>
                <w:spacing w:val="10"/>
                <w:kern w:val="2"/>
                <w:sz w:val="21"/>
                <w:lang w:val="en-US" w:eastAsia="zh-CN" w:bidi="ar-SA"/>
              </w:rPr>
            </w:pPr>
            <w:r>
              <w:rPr>
                <w:rFonts w:hint="eastAsia"/>
                <w:lang w:val="en-US" w:eastAsia="zh-CN"/>
              </w:rPr>
              <w:t>通过内审、管理评审的问题及时进行纠正及整改。</w:t>
            </w:r>
          </w:p>
        </w:tc>
        <w:tc>
          <w:tcPr>
            <w:tcW w:w="1585" w:type="dxa"/>
            <w:vMerge w:val="continue"/>
          </w:tcPr>
          <w:p>
            <w:pPr>
              <w:rPr>
                <w:highlight w:val="cyan"/>
              </w:rPr>
            </w:pPr>
          </w:p>
        </w:tc>
      </w:tr>
    </w:tbl>
    <w:p>
      <w:pPr>
        <w:pStyle w:val="10"/>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E-BZ9-PK748344">
    <w:altName w:val="Segoe Print"/>
    <w:panose1 w:val="00000000000000000000"/>
    <w:charset w:val="00"/>
    <w:family w:val="auto"/>
    <w:pitch w:val="default"/>
    <w:sig w:usb0="00000000" w:usb1="00000000" w:usb2="00000000" w:usb3="00000000" w:csb0="00000000" w:csb1="00000000"/>
  </w:font>
  <w:font w:name="H-SS9-PK748200002a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7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0GmJGcYBAAB7AwAADgAAAGRycy9lMm9Eb2MueG1srVPB&#10;jtMwEL0j8Q+W7zRp2O5C1HQlqMoFAdLCB7iOk1iyPdbYbdMfgD/gxIU739XvYOx0u7Bc9kAOiT3z&#10;5nneG2d5O1rD9gqDBtfw+azkTDkJrXZ9w7983rx4xVmIwrXCgFMNP6rAb1fPny0PvlYVDGBahYxI&#10;XKgPvuFDjL4uiiAHZUWYgVeOkh2gFZG22BctigOxW1NUZXldHABbjyBVCBRdT0l+ZsSnEELXaanW&#10;IHdWuTixojIikqQwaB/4KnfbdUrGj10XVGSm4aQ05jcdQutteherpah7FH7Q8tyCeEoLjzRZoR0d&#10;eqFaiyjYDvU/VFZLhABdnEmwxSQkO0Iq5uUjb+4G4VXWQlYHfzE9/D9a+WH/CZluG35zw5kTliZ+&#10;+v7t9OPX6edXNi+rRbLo4ENNyDtP2Di+gZEuzn08UDApHzu06UuaGOXJ4OPFYDVGJlPRy/Kqek0p&#10;Sblqcb24yhMoHqo9hvhOgWVp0XCkAWZfxf59iNQJQe8h6bAARrcbbUzeYL99a5DtBQ17k5/UJJX8&#10;BTMugR2ksimdIkXSOGlJqzhux7PwLbRH0r3zqPuBesrKM5xmkunP9ycN/c99Jn34Z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ETYAAAACwEAAA8AAAAAAAAAAQAgAAAAIgAAAGRycy9kb3du&#10;cmV2LnhtbFBLAQIUABQAAAAIAIdO4kDQaYkZxgEAAHsDAAAOAAAAAAAAAAEAIAAAACc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1"/>
      <w:pBdr>
        <w:bottom w:val="none" w:color="auto" w:sz="0" w:space="0"/>
      </w:pBdr>
      <w:spacing w:line="320" w:lineRule="exact"/>
      <w:ind w:firstLine="756" w:firstLineChars="400"/>
      <w:jc w:val="left"/>
    </w:pPr>
    <w:r>
      <w:rPr>
        <w:rStyle w:val="2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47D63"/>
    <w:multiLevelType w:val="singleLevel"/>
    <w:tmpl w:val="9E047D63"/>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00000015"/>
    <w:multiLevelType w:val="multilevel"/>
    <w:tmpl w:val="00000015"/>
    <w:lvl w:ilvl="0" w:tentative="0">
      <w:start w:val="1"/>
      <w:numFmt w:val="lowerLetter"/>
      <w:pStyle w:val="2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0DE4F773"/>
    <w:multiLevelType w:val="singleLevel"/>
    <w:tmpl w:val="0DE4F773"/>
    <w:lvl w:ilvl="0" w:tentative="0">
      <w:start w:val="1"/>
      <w:numFmt w:val="lowerLetter"/>
      <w:suff w:val="nothing"/>
      <w:lvlText w:val="%1）"/>
      <w:lvlJc w:val="left"/>
    </w:lvl>
  </w:abstractNum>
  <w:abstractNum w:abstractNumId="3">
    <w:nsid w:val="73834641"/>
    <w:multiLevelType w:val="multilevel"/>
    <w:tmpl w:val="738346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OGY5MzIwYjM5OWFmZGI4MTBhODVhYjUzMzlkOTUifQ=="/>
  </w:docVars>
  <w:rsids>
    <w:rsidRoot w:val="00000000"/>
    <w:rsid w:val="00833284"/>
    <w:rsid w:val="009E37E5"/>
    <w:rsid w:val="00A43EAD"/>
    <w:rsid w:val="00B14EE5"/>
    <w:rsid w:val="011D53EA"/>
    <w:rsid w:val="017E3DB0"/>
    <w:rsid w:val="01C04F86"/>
    <w:rsid w:val="01CF1530"/>
    <w:rsid w:val="01DE515F"/>
    <w:rsid w:val="021B3B4C"/>
    <w:rsid w:val="02705A93"/>
    <w:rsid w:val="028F05B2"/>
    <w:rsid w:val="02D37A81"/>
    <w:rsid w:val="033F1C52"/>
    <w:rsid w:val="038C0711"/>
    <w:rsid w:val="03B971B2"/>
    <w:rsid w:val="03BE3789"/>
    <w:rsid w:val="03C0720F"/>
    <w:rsid w:val="03DC2438"/>
    <w:rsid w:val="0486360C"/>
    <w:rsid w:val="04D56EA0"/>
    <w:rsid w:val="05803364"/>
    <w:rsid w:val="06E120F3"/>
    <w:rsid w:val="07417436"/>
    <w:rsid w:val="07B60937"/>
    <w:rsid w:val="07D6381E"/>
    <w:rsid w:val="08465003"/>
    <w:rsid w:val="088D190A"/>
    <w:rsid w:val="09A37A17"/>
    <w:rsid w:val="0A3123DC"/>
    <w:rsid w:val="0A82515C"/>
    <w:rsid w:val="0A9109F7"/>
    <w:rsid w:val="0A9A614C"/>
    <w:rsid w:val="0AAC0660"/>
    <w:rsid w:val="0B774229"/>
    <w:rsid w:val="0BC26BF0"/>
    <w:rsid w:val="0BDD7C8A"/>
    <w:rsid w:val="0BFB0478"/>
    <w:rsid w:val="0C2926E4"/>
    <w:rsid w:val="0CBC4BA9"/>
    <w:rsid w:val="0CC41AEA"/>
    <w:rsid w:val="0CD01F50"/>
    <w:rsid w:val="0D1E160E"/>
    <w:rsid w:val="0D56453B"/>
    <w:rsid w:val="0D8F3697"/>
    <w:rsid w:val="0DA11E90"/>
    <w:rsid w:val="0DBD0513"/>
    <w:rsid w:val="0DC10540"/>
    <w:rsid w:val="0DC96BE9"/>
    <w:rsid w:val="0DCF4FC9"/>
    <w:rsid w:val="0DF3035E"/>
    <w:rsid w:val="0E0718B6"/>
    <w:rsid w:val="0E225B4A"/>
    <w:rsid w:val="0E3A23B6"/>
    <w:rsid w:val="0ED84E6C"/>
    <w:rsid w:val="0F9F2542"/>
    <w:rsid w:val="0FCA790A"/>
    <w:rsid w:val="102006B1"/>
    <w:rsid w:val="10E35DEF"/>
    <w:rsid w:val="10FB78C8"/>
    <w:rsid w:val="114C5F96"/>
    <w:rsid w:val="115C7DB5"/>
    <w:rsid w:val="11630C3F"/>
    <w:rsid w:val="118F65E6"/>
    <w:rsid w:val="11D658B4"/>
    <w:rsid w:val="11EC3BA9"/>
    <w:rsid w:val="12011276"/>
    <w:rsid w:val="12984E24"/>
    <w:rsid w:val="12C95219"/>
    <w:rsid w:val="12D149BF"/>
    <w:rsid w:val="12E33173"/>
    <w:rsid w:val="13191C3E"/>
    <w:rsid w:val="13196F2B"/>
    <w:rsid w:val="132F7426"/>
    <w:rsid w:val="13477178"/>
    <w:rsid w:val="136A0489"/>
    <w:rsid w:val="13DB1216"/>
    <w:rsid w:val="1481559A"/>
    <w:rsid w:val="14851B53"/>
    <w:rsid w:val="14950295"/>
    <w:rsid w:val="149C7998"/>
    <w:rsid w:val="14B275DB"/>
    <w:rsid w:val="14B54A65"/>
    <w:rsid w:val="154761F4"/>
    <w:rsid w:val="15CE2D26"/>
    <w:rsid w:val="164158A1"/>
    <w:rsid w:val="16C44303"/>
    <w:rsid w:val="16F75FE9"/>
    <w:rsid w:val="17102CA4"/>
    <w:rsid w:val="1746390A"/>
    <w:rsid w:val="175A7373"/>
    <w:rsid w:val="17B94970"/>
    <w:rsid w:val="17C80143"/>
    <w:rsid w:val="18793362"/>
    <w:rsid w:val="18B44D3D"/>
    <w:rsid w:val="18E11348"/>
    <w:rsid w:val="18E77279"/>
    <w:rsid w:val="18F16E26"/>
    <w:rsid w:val="19472E9F"/>
    <w:rsid w:val="19C01A32"/>
    <w:rsid w:val="1A7B6000"/>
    <w:rsid w:val="1A7F37C2"/>
    <w:rsid w:val="1AA97D0F"/>
    <w:rsid w:val="1ADF238C"/>
    <w:rsid w:val="1B822BA2"/>
    <w:rsid w:val="1BA979E5"/>
    <w:rsid w:val="1C266539"/>
    <w:rsid w:val="1C3310EC"/>
    <w:rsid w:val="1CC80A08"/>
    <w:rsid w:val="1D0B7F72"/>
    <w:rsid w:val="1D2A6AB8"/>
    <w:rsid w:val="1D823270"/>
    <w:rsid w:val="1ED20B22"/>
    <w:rsid w:val="1F1B5CE2"/>
    <w:rsid w:val="1F6E1F30"/>
    <w:rsid w:val="201E255B"/>
    <w:rsid w:val="2062311C"/>
    <w:rsid w:val="217E04D3"/>
    <w:rsid w:val="22B0492F"/>
    <w:rsid w:val="22EE13EB"/>
    <w:rsid w:val="22EE1FD0"/>
    <w:rsid w:val="23177672"/>
    <w:rsid w:val="234B0F30"/>
    <w:rsid w:val="23B0077F"/>
    <w:rsid w:val="23DF3620"/>
    <w:rsid w:val="2447030E"/>
    <w:rsid w:val="25C603D0"/>
    <w:rsid w:val="25CD4843"/>
    <w:rsid w:val="26093C74"/>
    <w:rsid w:val="272F5836"/>
    <w:rsid w:val="277125BE"/>
    <w:rsid w:val="27DC65FE"/>
    <w:rsid w:val="27E91956"/>
    <w:rsid w:val="284134E6"/>
    <w:rsid w:val="284B56E9"/>
    <w:rsid w:val="28D81B7D"/>
    <w:rsid w:val="28F94A33"/>
    <w:rsid w:val="29041774"/>
    <w:rsid w:val="29CE4600"/>
    <w:rsid w:val="29E6654C"/>
    <w:rsid w:val="29EE68B9"/>
    <w:rsid w:val="2B1739DD"/>
    <w:rsid w:val="2B3E2FBA"/>
    <w:rsid w:val="2B573DAA"/>
    <w:rsid w:val="2C9C3561"/>
    <w:rsid w:val="2CA45F3A"/>
    <w:rsid w:val="2D641DC8"/>
    <w:rsid w:val="2D7A3A3A"/>
    <w:rsid w:val="2DAA2150"/>
    <w:rsid w:val="2E9F74A2"/>
    <w:rsid w:val="2F2A7EBA"/>
    <w:rsid w:val="2F38662D"/>
    <w:rsid w:val="2F466CDC"/>
    <w:rsid w:val="303B7397"/>
    <w:rsid w:val="31344A06"/>
    <w:rsid w:val="3147160D"/>
    <w:rsid w:val="31566BD9"/>
    <w:rsid w:val="31BD3593"/>
    <w:rsid w:val="320E3C68"/>
    <w:rsid w:val="321A6EEE"/>
    <w:rsid w:val="32426992"/>
    <w:rsid w:val="32837E52"/>
    <w:rsid w:val="33103299"/>
    <w:rsid w:val="33245304"/>
    <w:rsid w:val="335A26AD"/>
    <w:rsid w:val="33775400"/>
    <w:rsid w:val="33805DE1"/>
    <w:rsid w:val="339758CB"/>
    <w:rsid w:val="33CC093E"/>
    <w:rsid w:val="33FA7C5F"/>
    <w:rsid w:val="34CB1130"/>
    <w:rsid w:val="34E53114"/>
    <w:rsid w:val="355A0925"/>
    <w:rsid w:val="35991338"/>
    <w:rsid w:val="359D0DF3"/>
    <w:rsid w:val="35C67F79"/>
    <w:rsid w:val="36103827"/>
    <w:rsid w:val="36126196"/>
    <w:rsid w:val="366E1817"/>
    <w:rsid w:val="367900AF"/>
    <w:rsid w:val="36A22794"/>
    <w:rsid w:val="36CF348C"/>
    <w:rsid w:val="36EA5EE9"/>
    <w:rsid w:val="371922FC"/>
    <w:rsid w:val="37577350"/>
    <w:rsid w:val="377C1237"/>
    <w:rsid w:val="380939E1"/>
    <w:rsid w:val="38351ED1"/>
    <w:rsid w:val="383C6C49"/>
    <w:rsid w:val="38870F39"/>
    <w:rsid w:val="38A46AC5"/>
    <w:rsid w:val="38E15ACA"/>
    <w:rsid w:val="38E41026"/>
    <w:rsid w:val="391E4C9C"/>
    <w:rsid w:val="39803EC1"/>
    <w:rsid w:val="3A347769"/>
    <w:rsid w:val="3B4644EF"/>
    <w:rsid w:val="3B961317"/>
    <w:rsid w:val="3BA558EB"/>
    <w:rsid w:val="3BD63FE6"/>
    <w:rsid w:val="3C4507D5"/>
    <w:rsid w:val="3C581BEF"/>
    <w:rsid w:val="3C612828"/>
    <w:rsid w:val="3CCC450D"/>
    <w:rsid w:val="3D1410C8"/>
    <w:rsid w:val="3D8E52AC"/>
    <w:rsid w:val="3DF74D1B"/>
    <w:rsid w:val="3E1B58A0"/>
    <w:rsid w:val="3EA26DAF"/>
    <w:rsid w:val="3EAF182F"/>
    <w:rsid w:val="3EB5698F"/>
    <w:rsid w:val="3EC34ABA"/>
    <w:rsid w:val="3F4579EA"/>
    <w:rsid w:val="3F4C7DC5"/>
    <w:rsid w:val="3FC66401"/>
    <w:rsid w:val="3FE62961"/>
    <w:rsid w:val="3FF93951"/>
    <w:rsid w:val="404519F4"/>
    <w:rsid w:val="4077613F"/>
    <w:rsid w:val="40BA0D6D"/>
    <w:rsid w:val="40C47D84"/>
    <w:rsid w:val="411C61E6"/>
    <w:rsid w:val="417A5FC0"/>
    <w:rsid w:val="42476F2A"/>
    <w:rsid w:val="42554C43"/>
    <w:rsid w:val="432F3DB2"/>
    <w:rsid w:val="43BF6C09"/>
    <w:rsid w:val="442B4400"/>
    <w:rsid w:val="44446334"/>
    <w:rsid w:val="444E5D09"/>
    <w:rsid w:val="44B914B3"/>
    <w:rsid w:val="44F1365B"/>
    <w:rsid w:val="45946CD2"/>
    <w:rsid w:val="461027D4"/>
    <w:rsid w:val="46352363"/>
    <w:rsid w:val="46446364"/>
    <w:rsid w:val="46667330"/>
    <w:rsid w:val="47DC5BC5"/>
    <w:rsid w:val="47DF4F69"/>
    <w:rsid w:val="47E524E0"/>
    <w:rsid w:val="47E6678E"/>
    <w:rsid w:val="481B7C3D"/>
    <w:rsid w:val="484627C8"/>
    <w:rsid w:val="484F769A"/>
    <w:rsid w:val="4865696C"/>
    <w:rsid w:val="48CF43A7"/>
    <w:rsid w:val="494D6999"/>
    <w:rsid w:val="495564BB"/>
    <w:rsid w:val="49626503"/>
    <w:rsid w:val="49702770"/>
    <w:rsid w:val="49BB4BA7"/>
    <w:rsid w:val="49C83E68"/>
    <w:rsid w:val="4A2910D0"/>
    <w:rsid w:val="4ABB2EEE"/>
    <w:rsid w:val="4BBF129A"/>
    <w:rsid w:val="4C0629F4"/>
    <w:rsid w:val="4C4F5BD9"/>
    <w:rsid w:val="4C5F29D1"/>
    <w:rsid w:val="4CFF13A0"/>
    <w:rsid w:val="4D0C3053"/>
    <w:rsid w:val="4D845335"/>
    <w:rsid w:val="4E3B00AF"/>
    <w:rsid w:val="4E7765B4"/>
    <w:rsid w:val="4F714B84"/>
    <w:rsid w:val="51B8376E"/>
    <w:rsid w:val="521850C1"/>
    <w:rsid w:val="524449E2"/>
    <w:rsid w:val="5256365E"/>
    <w:rsid w:val="528C39F9"/>
    <w:rsid w:val="52A12CD7"/>
    <w:rsid w:val="538670E8"/>
    <w:rsid w:val="53915C12"/>
    <w:rsid w:val="53AF762B"/>
    <w:rsid w:val="53C71F85"/>
    <w:rsid w:val="53FF42DB"/>
    <w:rsid w:val="541C2725"/>
    <w:rsid w:val="54700952"/>
    <w:rsid w:val="551322A2"/>
    <w:rsid w:val="553125F3"/>
    <w:rsid w:val="556E1F98"/>
    <w:rsid w:val="559A44DB"/>
    <w:rsid w:val="56254D39"/>
    <w:rsid w:val="564D0527"/>
    <w:rsid w:val="565F1587"/>
    <w:rsid w:val="57182DEC"/>
    <w:rsid w:val="57284198"/>
    <w:rsid w:val="572C3A40"/>
    <w:rsid w:val="573B54C9"/>
    <w:rsid w:val="57F87361"/>
    <w:rsid w:val="58193004"/>
    <w:rsid w:val="58205FEC"/>
    <w:rsid w:val="58645A2C"/>
    <w:rsid w:val="58760085"/>
    <w:rsid w:val="58C06FF7"/>
    <w:rsid w:val="58CE6C09"/>
    <w:rsid w:val="58F33F69"/>
    <w:rsid w:val="59C13E16"/>
    <w:rsid w:val="59D605A9"/>
    <w:rsid w:val="5A391125"/>
    <w:rsid w:val="5A402FE3"/>
    <w:rsid w:val="5A9B3411"/>
    <w:rsid w:val="5B5F3914"/>
    <w:rsid w:val="5B7C68DC"/>
    <w:rsid w:val="5C25328D"/>
    <w:rsid w:val="5CAC3BDF"/>
    <w:rsid w:val="5CC40A59"/>
    <w:rsid w:val="5D170F36"/>
    <w:rsid w:val="5D461ACD"/>
    <w:rsid w:val="5DAC7A6B"/>
    <w:rsid w:val="5DAE55F7"/>
    <w:rsid w:val="5DBE0D94"/>
    <w:rsid w:val="5DF04D09"/>
    <w:rsid w:val="5DF3340F"/>
    <w:rsid w:val="5E7F79B1"/>
    <w:rsid w:val="5ED34DAC"/>
    <w:rsid w:val="5EF77A6C"/>
    <w:rsid w:val="5F2E35DE"/>
    <w:rsid w:val="5F6B1143"/>
    <w:rsid w:val="5FE069A3"/>
    <w:rsid w:val="6031028F"/>
    <w:rsid w:val="60980AA8"/>
    <w:rsid w:val="60BF4B60"/>
    <w:rsid w:val="611A455B"/>
    <w:rsid w:val="61630B06"/>
    <w:rsid w:val="61650413"/>
    <w:rsid w:val="616D3FA5"/>
    <w:rsid w:val="61973485"/>
    <w:rsid w:val="62404985"/>
    <w:rsid w:val="62662A7E"/>
    <w:rsid w:val="628A5575"/>
    <w:rsid w:val="633F522E"/>
    <w:rsid w:val="635570EF"/>
    <w:rsid w:val="639F4206"/>
    <w:rsid w:val="63C13A9B"/>
    <w:rsid w:val="63FA04DF"/>
    <w:rsid w:val="642E13EB"/>
    <w:rsid w:val="644321FD"/>
    <w:rsid w:val="64A50F4A"/>
    <w:rsid w:val="64A667F7"/>
    <w:rsid w:val="64B82FFF"/>
    <w:rsid w:val="64C25C2B"/>
    <w:rsid w:val="65584A66"/>
    <w:rsid w:val="6588381D"/>
    <w:rsid w:val="65FF636C"/>
    <w:rsid w:val="661551FE"/>
    <w:rsid w:val="664A62D0"/>
    <w:rsid w:val="66B62758"/>
    <w:rsid w:val="66D66C4D"/>
    <w:rsid w:val="67702B08"/>
    <w:rsid w:val="67A94358"/>
    <w:rsid w:val="67F55E37"/>
    <w:rsid w:val="6810000F"/>
    <w:rsid w:val="68691A35"/>
    <w:rsid w:val="687E7C7B"/>
    <w:rsid w:val="68E128A7"/>
    <w:rsid w:val="68F875DA"/>
    <w:rsid w:val="68FF3664"/>
    <w:rsid w:val="692769A5"/>
    <w:rsid w:val="6949489A"/>
    <w:rsid w:val="69A578CA"/>
    <w:rsid w:val="69BB3B78"/>
    <w:rsid w:val="6AA321BA"/>
    <w:rsid w:val="6B1D27D2"/>
    <w:rsid w:val="6B596F55"/>
    <w:rsid w:val="6B967ADA"/>
    <w:rsid w:val="6B9F2FD4"/>
    <w:rsid w:val="6BCA1924"/>
    <w:rsid w:val="6C4B4A21"/>
    <w:rsid w:val="6CBB562D"/>
    <w:rsid w:val="6CD75FEC"/>
    <w:rsid w:val="6D660A87"/>
    <w:rsid w:val="6EE012D7"/>
    <w:rsid w:val="6EE20292"/>
    <w:rsid w:val="6FE46E8C"/>
    <w:rsid w:val="702F4BB1"/>
    <w:rsid w:val="70871AD7"/>
    <w:rsid w:val="70E163C9"/>
    <w:rsid w:val="71636FD9"/>
    <w:rsid w:val="7185690A"/>
    <w:rsid w:val="71B72167"/>
    <w:rsid w:val="71D903AC"/>
    <w:rsid w:val="7212223E"/>
    <w:rsid w:val="723B6919"/>
    <w:rsid w:val="72CE4E43"/>
    <w:rsid w:val="73216213"/>
    <w:rsid w:val="73735BD7"/>
    <w:rsid w:val="73A04935"/>
    <w:rsid w:val="743D3963"/>
    <w:rsid w:val="74625E33"/>
    <w:rsid w:val="757D186E"/>
    <w:rsid w:val="75915985"/>
    <w:rsid w:val="75A958EC"/>
    <w:rsid w:val="77BE4E39"/>
    <w:rsid w:val="79101D48"/>
    <w:rsid w:val="791D3AB0"/>
    <w:rsid w:val="795D34C2"/>
    <w:rsid w:val="797C23F5"/>
    <w:rsid w:val="799314ED"/>
    <w:rsid w:val="7A246614"/>
    <w:rsid w:val="7A377809"/>
    <w:rsid w:val="7AA10D25"/>
    <w:rsid w:val="7AA16381"/>
    <w:rsid w:val="7AD40742"/>
    <w:rsid w:val="7B3A4715"/>
    <w:rsid w:val="7BC566B5"/>
    <w:rsid w:val="7BC777C4"/>
    <w:rsid w:val="7C314549"/>
    <w:rsid w:val="7C6D4269"/>
    <w:rsid w:val="7D140E2D"/>
    <w:rsid w:val="7D335B10"/>
    <w:rsid w:val="7D4D5285"/>
    <w:rsid w:val="7D9B14E6"/>
    <w:rsid w:val="7E7715D8"/>
    <w:rsid w:val="7E9F0934"/>
    <w:rsid w:val="7EF74AED"/>
    <w:rsid w:val="7EFC6DC8"/>
    <w:rsid w:val="7F1F7BDC"/>
    <w:rsid w:val="7F6B32D6"/>
    <w:rsid w:val="7F763505"/>
    <w:rsid w:val="7FD66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rPr>
      <w:sz w:val="24"/>
    </w:rPr>
  </w:style>
  <w:style w:type="paragraph" w:styleId="4">
    <w:name w:val="List Bullet 5"/>
    <w:basedOn w:val="1"/>
    <w:semiHidden/>
    <w:unhideWhenUsed/>
    <w:qFormat/>
    <w:uiPriority w:val="99"/>
    <w:pPr>
      <w:numPr>
        <w:ilvl w:val="0"/>
        <w:numId w:val="1"/>
      </w:numPr>
    </w:pPr>
  </w:style>
  <w:style w:type="paragraph" w:styleId="6">
    <w:name w:val="Normal Indent"/>
    <w:basedOn w:val="1"/>
    <w:qFormat/>
    <w:uiPriority w:val="0"/>
    <w:pPr>
      <w:ind w:firstLine="420"/>
    </w:pPr>
    <w:rPr>
      <w:szCs w:val="20"/>
    </w:rPr>
  </w:style>
  <w:style w:type="paragraph" w:styleId="7">
    <w:name w:val="Body Text Indent"/>
    <w:basedOn w:val="1"/>
    <w:qFormat/>
    <w:uiPriority w:val="0"/>
    <w:pPr>
      <w:tabs>
        <w:tab w:val="left" w:pos="1560"/>
        <w:tab w:val="left" w:pos="1985"/>
      </w:tabs>
      <w:ind w:left="1560" w:hanging="1560"/>
      <w:jc w:val="left"/>
    </w:pPr>
    <w:rPr>
      <w:lang w:eastAsia="ja-JP"/>
    </w:rPr>
  </w:style>
  <w:style w:type="paragraph" w:styleId="8">
    <w:name w:val="Plain Text"/>
    <w:basedOn w:val="1"/>
    <w:qFormat/>
    <w:uiPriority w:val="0"/>
    <w:rPr>
      <w:rFonts w:ascii="宋体" w:hAnsi="Courier New" w:cs="Courier New"/>
      <w:szCs w:val="21"/>
    </w:r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able of figures"/>
    <w:basedOn w:val="1"/>
    <w:next w:val="1"/>
    <w:qFormat/>
    <w:uiPriority w:val="0"/>
    <w:pPr>
      <w:ind w:left="200" w:leftChars="200" w:hanging="200" w:hanging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0"/>
    <w:pPr>
      <w:spacing w:after="120" w:afterLines="0"/>
      <w:ind w:left="420" w:leftChars="200" w:firstLine="420" w:firstLineChars="200"/>
    </w:pPr>
    <w:rPr>
      <w:rFonts w:ascii="Times New Roman" w:hAnsi="Times New Roman"/>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20">
    <w:name w:val="表格文字"/>
    <w:basedOn w:val="1"/>
    <w:qFormat/>
    <w:uiPriority w:val="0"/>
    <w:pPr>
      <w:spacing w:before="25" w:after="25"/>
    </w:pPr>
    <w:rPr>
      <w:bCs/>
      <w:spacing w:val="10"/>
    </w:rPr>
  </w:style>
  <w:style w:type="character" w:customStyle="1" w:styleId="21">
    <w:name w:val="页眉 Char"/>
    <w:basedOn w:val="18"/>
    <w:link w:val="11"/>
    <w:qFormat/>
    <w:uiPriority w:val="99"/>
    <w:rPr>
      <w:rFonts w:ascii="Times New Roman" w:hAnsi="Times New Roman" w:eastAsia="宋体" w:cs="Times New Roman"/>
      <w:sz w:val="18"/>
      <w:szCs w:val="18"/>
    </w:rPr>
  </w:style>
  <w:style w:type="character" w:customStyle="1" w:styleId="22">
    <w:name w:val="页脚 Char"/>
    <w:basedOn w:val="18"/>
    <w:link w:val="10"/>
    <w:qFormat/>
    <w:uiPriority w:val="99"/>
    <w:rPr>
      <w:rFonts w:ascii="Times New Roman" w:hAnsi="Times New Roman" w:eastAsia="宋体" w:cs="Times New Roman"/>
      <w:sz w:val="18"/>
      <w:szCs w:val="18"/>
    </w:rPr>
  </w:style>
  <w:style w:type="character" w:customStyle="1" w:styleId="23">
    <w:name w:val="批注框文本 Char"/>
    <w:basedOn w:val="18"/>
    <w:link w:val="9"/>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styleId="25">
    <w:name w:val="List Paragraph"/>
    <w:basedOn w:val="1"/>
    <w:qFormat/>
    <w:uiPriority w:val="99"/>
    <w:pPr>
      <w:ind w:firstLine="420" w:firstLineChars="200"/>
    </w:pPr>
  </w:style>
  <w:style w:type="paragraph" w:customStyle="1" w:styleId="26">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正文文本部分"/>
    <w:basedOn w:val="1"/>
    <w:qFormat/>
    <w:uiPriority w:val="0"/>
    <w:pPr>
      <w:widowControl/>
      <w:adjustRightInd w:val="0"/>
      <w:snapToGrid w:val="0"/>
      <w:spacing w:beforeLines="50" w:line="360" w:lineRule="auto"/>
      <w:ind w:firstLine="200" w:firstLineChars="200"/>
      <w:jc w:val="left"/>
    </w:pPr>
    <w:rPr>
      <w:rFonts w:hAnsi="Times New Roman" w:eastAsia="宋体" w:cs="Times New Roman" w:asciiTheme="minorEastAsia"/>
      <w:kern w:val="0"/>
      <w:sz w:val="24"/>
      <w:szCs w:val="20"/>
    </w:rPr>
  </w:style>
  <w:style w:type="paragraph" w:customStyle="1" w:styleId="29">
    <w:name w:val="Body 9pt"/>
    <w:basedOn w:val="1"/>
    <w:qFormat/>
    <w:uiPriority w:val="0"/>
    <w:pPr>
      <w:spacing w:before="40" w:after="40"/>
    </w:pPr>
    <w:rPr>
      <w:rFonts w:eastAsia="Times New Roman"/>
      <w:sz w:val="18"/>
      <w:lang w:val="de-DE" w:eastAsia="de-DE"/>
    </w:rPr>
  </w:style>
  <w:style w:type="paragraph" w:customStyle="1" w:styleId="30">
    <w:name w:val="三级无"/>
    <w:basedOn w:val="1"/>
    <w:qFormat/>
    <w:uiPriority w:val="0"/>
    <w:pPr>
      <w:widowControl/>
      <w:numPr>
        <w:ilvl w:val="3"/>
        <w:numId w:val="3"/>
      </w:numPr>
      <w:jc w:val="left"/>
      <w:outlineLvl w:val="4"/>
    </w:pPr>
    <w:rPr>
      <w:rFonts w:ascii="宋体" w:eastAsia="宋体"/>
      <w:snapToGrid/>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6074</Words>
  <Characters>6741</Characters>
  <Lines>1</Lines>
  <Paragraphs>1</Paragraphs>
  <TotalTime>4</TotalTime>
  <ScaleCrop>false</ScaleCrop>
  <LinksUpToDate>false</LinksUpToDate>
  <CharactersWithSpaces>7065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2022-12-09T05:28:20Z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AF5B0865D86C4DB9A08E00A048C11CD5</vt:lpwstr>
  </property>
  <property fmtid="{D5CDD505-2E9C-101B-9397-08002B2CF9AE}" pid="3" name="KSOProductBuildVer">
    <vt:lpwstr>2052-11.1.0.12763</vt:lpwstr>
  </property>
</Properties>
</file>