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大庆市力讯电通科技有限公司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领导层、生产技术部、办公室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付波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李丽英  </w:t>
            </w:r>
            <w:r>
              <w:rPr>
                <w:rFonts w:hint="eastAsia"/>
                <w:color w:val="000000"/>
                <w:sz w:val="24"/>
                <w:szCs w:val="24"/>
              </w:rPr>
              <w:t>范玲玲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【远程审核】（微信视频、文件传输）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2022年12月0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日 上午至2022年12月0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91230600672922489B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2008年4月30日至长期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电力节能设备开发;绝缘热缩材料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封闭母线、电器仪表、自动化设备、石油石化机械设备、化工原料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不含危险化学品）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橡胶制品、磁性滤波器、品字型节能变压器、机械设备及配件、水泥预制构件、五金电料、劳保用品、建材、水暖设备销售；油田电力附属设备制造；加热器材、电线电缆、混凝土制品、石油钻采专用设备机配件的生产、销售，自动化控制设备的生产、销售及维修，井下工具、石油钻采专用设备及配件的生产、销售；工矿配件、汽车配件、家具制造及销售；电子产品、电子元器件的销售及维修；计算机软件开发。（依法需经批准的项目，</w:t>
            </w:r>
            <w:r>
              <w:rPr>
                <w:rFonts w:hint="eastAsia"/>
                <w:color w:val="000000"/>
                <w:szCs w:val="21"/>
              </w:rPr>
              <w:t>经相关部门批准后方可开展经营活动)</w:t>
            </w:r>
          </w:p>
          <w:p>
            <w:pPr>
              <w:spacing w:line="440" w:lineRule="exact"/>
              <w:ind w:firstLine="420" w:firstLineChars="20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石油钻采专用设备（抽油机智能保护器、多功能蓄能井口保护器、智能自动皮带调节报警装置）、油田电力附属设备（变压器平台预警远传保护器、防雷击防腐蚀防护网、一体化监测汇集保护装置、绝缘热缩防护产品）的加工及销售，水泥预制构件、井下工具销售所涉及的能源管理活动</w:t>
            </w:r>
            <w:r>
              <w:rPr>
                <w:sz w:val="21"/>
                <w:szCs w:val="21"/>
                <w:highlight w:val="none"/>
              </w:rPr>
              <w:t>。</w:t>
            </w:r>
            <w:bookmarkEnd w:id="3"/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115185" cy="2306320"/>
                  <wp:effectExtent l="0" t="0" r="5715" b="508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3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3043555" cy="1881505"/>
                  <wp:effectExtent l="0" t="0" r="4445" b="10795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5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***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spacing w:line="440" w:lineRule="exact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生产场所：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注册地址：</w:t>
            </w:r>
            <w:bookmarkStart w:id="4" w:name="注册地址"/>
            <w:r>
              <w:t>黑龙江省大庆市萨尔图区拥军村十三中对面</w:t>
            </w:r>
            <w:bookmarkEnd w:id="4"/>
          </w:p>
          <w:p>
            <w:r>
              <w:rPr>
                <w:rFonts w:hint="eastAsia"/>
              </w:rPr>
              <w:t>与《营业执照》内容一致。</w:t>
            </w:r>
          </w:p>
          <w:p/>
          <w:p>
            <w:r>
              <w:rPr>
                <w:rFonts w:hint="eastAsia"/>
              </w:rPr>
              <w:t>经营地址：</w:t>
            </w:r>
            <w:bookmarkStart w:id="5" w:name="生产地址"/>
            <w:r>
              <w:t>黑龙江省大庆市萨尔图区七二一王家围子</w:t>
            </w:r>
            <w:bookmarkEnd w:id="5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与生产或服务现场一致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drawing>
                <wp:inline distT="0" distB="0" distL="114300" distR="114300">
                  <wp:extent cx="4227195" cy="1916430"/>
                  <wp:effectExtent l="0" t="0" r="190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195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_GoBack"/>
            <w:bookmarkEnd w:id="6"/>
          </w:p>
          <w:p>
            <w:pPr>
              <w:pStyle w:val="17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</w:t>
            </w:r>
            <w:r>
              <w:rPr>
                <w:rFonts w:hint="eastAsia"/>
                <w:color w:val="000000"/>
                <w:szCs w:val="18"/>
                <w:highlight w:val="none"/>
              </w:rPr>
              <w:t>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工艺流程图：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力讯智能自动皮带调节报警装置、抽油机智能保护器、多功能蓄能井口保护器工艺流程：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采购原材料→下料→加工→焊接→装配→打磨喷漆→检验→打包出厂</w:t>
            </w:r>
            <w:r>
              <w:rPr>
                <w:rFonts w:hint="eastAsia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变压器平台预警远传保护器、一体化监测汇集保护装置、防雷击防腐蚀防护网工艺流程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采购电子元器件→元器件测试→电器件装配→电器件配线→装机调试→检验→打包出厂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绝缘热缩防护盒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采购原材料→下料→加工→修理毛边→检验→打包出厂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认证范围内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21"/>
              </w:rPr>
              <w:t>管理体系覆盖的人数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22人</w:t>
            </w:r>
            <w:r>
              <w:rPr>
                <w:rFonts w:hint="eastAsia"/>
                <w:color w:val="000000"/>
                <w:szCs w:val="21"/>
                <w:highlight w:val="none"/>
              </w:rPr>
              <w:t>（总计人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30人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　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0人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季节工人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0人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能源管理</w:t>
            </w: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</w:t>
            </w:r>
            <w:r>
              <w:rPr>
                <w:rFonts w:hint="eastAsia"/>
                <w:color w:val="000000"/>
                <w:lang w:val="en-US" w:eastAsia="zh-CN"/>
              </w:rPr>
              <w:t>能源</w:t>
            </w:r>
            <w:r>
              <w:rPr>
                <w:rFonts w:hint="eastAsia"/>
                <w:color w:val="000000"/>
              </w:rPr>
              <w:t>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</w:p>
          <w:p>
            <w:pPr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□QMS  □EMS  □OHSMS  □FSMSMS  □HACCP 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EnMS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□满足要求，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 w:val="0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组织文件化的管理方针已制定，内容为：</w:t>
            </w:r>
            <w:r>
              <w:rPr>
                <w:rFonts w:hint="eastAsia"/>
                <w:b w:val="0"/>
                <w:bCs w:val="0"/>
                <w:color w:val="000000"/>
                <w:szCs w:val="18"/>
                <w:highlight w:val="none"/>
              </w:rPr>
              <w:t>遵守法规，清洁生产，提高能效，持续改进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4"/>
              <w:gridCol w:w="1120"/>
              <w:gridCol w:w="2850"/>
              <w:gridCol w:w="36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2022年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12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8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367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2022年1-11月完成情况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szCs w:val="18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单位产值能耗小于28.16kgce/万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元</w:t>
                  </w:r>
                </w:p>
              </w:tc>
              <w:tc>
                <w:tcPr>
                  <w:tcW w:w="112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18"/>
                      <w:highlight w:val="none"/>
                      <w:lang w:val="en-US" w:eastAsia="zh-CN"/>
                    </w:rPr>
                    <w:t>每</w:t>
                  </w:r>
                  <w:r>
                    <w:rPr>
                      <w:rFonts w:hint="eastAsia" w:cs="Times New Roman"/>
                      <w:color w:val="auto"/>
                      <w:szCs w:val="18"/>
                      <w:highlight w:val="none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85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yellow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18"/>
                      <w:highlight w:val="none"/>
                    </w:rPr>
                    <w:t>单位</w:t>
                  </w:r>
                  <w:r>
                    <w:rPr>
                      <w:rFonts w:hint="eastAsia" w:cs="Times New Roman"/>
                      <w:color w:val="auto"/>
                      <w:szCs w:val="18"/>
                      <w:highlight w:val="none"/>
                      <w:lang w:val="en-US" w:eastAsia="zh-CN"/>
                    </w:rPr>
                    <w:t>产值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18"/>
                      <w:highlight w:val="none"/>
                    </w:rPr>
                    <w:t>能耗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kgce/万元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18"/>
                      <w:highlight w:val="none"/>
                    </w:rPr>
                    <w:t>=装置生产总</w:t>
                  </w:r>
                  <w:r>
                    <w:rPr>
                      <w:rFonts w:hint="eastAsia" w:cs="Times New Roman"/>
                      <w:color w:val="auto"/>
                      <w:szCs w:val="18"/>
                      <w:highlight w:val="none"/>
                      <w:lang w:val="en-US" w:eastAsia="zh-CN"/>
                    </w:rPr>
                    <w:t>能耗kgce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18"/>
                      <w:highlight w:val="none"/>
                    </w:rPr>
                    <w:t>/</w:t>
                  </w:r>
                  <w:r>
                    <w:rPr>
                      <w:rFonts w:hint="eastAsia" w:cs="Times New Roman"/>
                      <w:color w:val="auto"/>
                      <w:szCs w:val="18"/>
                      <w:highlight w:val="none"/>
                      <w:lang w:val="en-US" w:eastAsia="zh-CN"/>
                    </w:rPr>
                    <w:t>企业总产值（万元）</w:t>
                  </w:r>
                </w:p>
              </w:tc>
              <w:tc>
                <w:tcPr>
                  <w:tcW w:w="367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实际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26.98kgce/万元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2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67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>0430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</w:t>
            </w:r>
            <w:r>
              <w:rPr>
                <w:rFonts w:hint="eastAsia"/>
                <w:color w:val="000000"/>
                <w:szCs w:val="18"/>
              </w:rPr>
              <w:t>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能源体系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9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2022年1-11指标完成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rFonts w:hint="default" w:ascii="Wingdings" w:hAnsi="Wingdings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2021年产量抽油机智能保护器2台，多功能蓄能井口保护器5只，智能自动皮带调节报警装置1只，变压器平台预警远传保护器3只，防雷击防腐蚀防护网18只，一体化监测汇集保护装置2套，绝缘热缩防护产量1420只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无节能评估。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以下资料不涉及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lang w:val="en-US" w:eastAsia="zh-CN"/>
              </w:rPr>
              <w:t>未统计叉车使用的柴油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1）法律法规清单：1）未识别GB/T23331-2020能源管理体系 要求及使用指南、GBT 36713-2018能源管理体系 能源基准及能源绩效参数；以及当地政府的能源管理政策；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合规性评价报告：还在评价《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国务院关于印发节能减排“十二五”规划的通知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》，目前已发布十四五节能减排的方案了，评价报告中未评价，清单中也未识别。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lang w:val="en-US" w:eastAsia="zh-CN"/>
              </w:rPr>
              <w:t>需完善2022年的相关数据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新鲜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新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新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未测试，功率较小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配电箱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无淘汰落后设备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color w:val="000000"/>
                <w:szCs w:val="18"/>
                <w:highlight w:val="none"/>
              </w:rPr>
              <w:t>符合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不符合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color w:val="000000"/>
                <w:szCs w:val="18"/>
                <w:highlight w:val="none"/>
              </w:rPr>
              <w:t>符合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农村</w:t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食堂 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领导层可以迎审  □交通食宿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1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9/Oxy1wAAAAoBAAAPAAAAAAAAAAEAIAAAACIAAABkcnMvZG93bnJl&#10;di54bWxQSwECFAAUAAAACACHTuJA0cGNlMUBAAB7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ABCB10"/>
    <w:multiLevelType w:val="singleLevel"/>
    <w:tmpl w:val="D8ABCB10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OGY5MzIwYjM5OWFmZGI4MTBhODVhYjUzMzlkOTUifQ=="/>
  </w:docVars>
  <w:rsids>
    <w:rsidRoot w:val="00000000"/>
    <w:rsid w:val="01360735"/>
    <w:rsid w:val="01C269C4"/>
    <w:rsid w:val="03A70538"/>
    <w:rsid w:val="042A443A"/>
    <w:rsid w:val="077E182D"/>
    <w:rsid w:val="078E599E"/>
    <w:rsid w:val="086D1929"/>
    <w:rsid w:val="09E9272D"/>
    <w:rsid w:val="0B4C0687"/>
    <w:rsid w:val="0CD42337"/>
    <w:rsid w:val="0F015C4D"/>
    <w:rsid w:val="1330386D"/>
    <w:rsid w:val="153E69B7"/>
    <w:rsid w:val="15DF0049"/>
    <w:rsid w:val="16822576"/>
    <w:rsid w:val="199C3DC3"/>
    <w:rsid w:val="1C110693"/>
    <w:rsid w:val="1E423D07"/>
    <w:rsid w:val="20E2093E"/>
    <w:rsid w:val="23B41884"/>
    <w:rsid w:val="277C335E"/>
    <w:rsid w:val="28AC0242"/>
    <w:rsid w:val="290D7153"/>
    <w:rsid w:val="2980317F"/>
    <w:rsid w:val="2C9836C9"/>
    <w:rsid w:val="2D7E0EF1"/>
    <w:rsid w:val="2F8C6846"/>
    <w:rsid w:val="30360554"/>
    <w:rsid w:val="32D0679E"/>
    <w:rsid w:val="34830C12"/>
    <w:rsid w:val="3633790B"/>
    <w:rsid w:val="3C6C2882"/>
    <w:rsid w:val="3F3C50C8"/>
    <w:rsid w:val="448410E5"/>
    <w:rsid w:val="47143CBD"/>
    <w:rsid w:val="479F15FE"/>
    <w:rsid w:val="49A90BA5"/>
    <w:rsid w:val="52C86C83"/>
    <w:rsid w:val="539D565D"/>
    <w:rsid w:val="54B47E4E"/>
    <w:rsid w:val="56D92078"/>
    <w:rsid w:val="580E0FB2"/>
    <w:rsid w:val="6011528A"/>
    <w:rsid w:val="636544CA"/>
    <w:rsid w:val="66DD0E9D"/>
    <w:rsid w:val="6B201E3B"/>
    <w:rsid w:val="6C94536F"/>
    <w:rsid w:val="6D4F7375"/>
    <w:rsid w:val="6E392428"/>
    <w:rsid w:val="76B61D75"/>
    <w:rsid w:val="77B53B2E"/>
    <w:rsid w:val="783F383A"/>
    <w:rsid w:val="7ABD0D40"/>
    <w:rsid w:val="7CA21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4187</Words>
  <Characters>4507</Characters>
  <Lines>92</Lines>
  <Paragraphs>26</Paragraphs>
  <TotalTime>1</TotalTime>
  <ScaleCrop>false</ScaleCrop>
  <LinksUpToDate>false</LinksUpToDate>
  <CharactersWithSpaces>5294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2022-12-09T02:44:28Z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