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1191-2022-E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宝鸡市东兴锻造有限公司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91610301770018370M</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E:认可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25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宝鸡市东兴锻造有限公司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齿轮锻造、机械加工及所涉及的环境管理活动。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陕西省宝鸡市高新开发区钓渭镇东崖村</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陕西省宝鸡市高新开发区钓渭镇东崖村</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 xml:space="preserve"> </w:t>
            </w:r>
            <w:bookmarkStart w:id="22" w:name="_GoBack"/>
            <w:bookmarkEnd w:id="22"/>
            <w:r>
              <w:rPr>
                <w:rFonts w:hint="eastAsia"/>
                <w:sz w:val="22"/>
                <w:szCs w:val="22"/>
              </w:rPr>
              <w:t>Baoji Dongxing Forging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Dongya Village, Diaowei Town, High-tech Development Zone, Baoji City, Shaanxi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Dongya Village, Diaowei Town, High-tech Development Zone, Baoji City, Shaanxi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Dongya Village, Diaowei Town, High-tech Development Zone, Baoji City, Shaanxi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cs="宋体" w:eastAsiaTheme="minorEastAsia"/>
                <w:kern w:val="0"/>
                <w:szCs w:val="21"/>
                <w:lang w:eastAsia="zh-CN"/>
              </w:rPr>
              <w:drawing>
                <wp:anchor distT="0" distB="0" distL="114300" distR="114300" simplePos="0" relativeHeight="251659264" behindDoc="0" locked="0" layoutInCell="1" allowOverlap="1">
                  <wp:simplePos x="0" y="0"/>
                  <wp:positionH relativeFrom="column">
                    <wp:posOffset>84455</wp:posOffset>
                  </wp:positionH>
                  <wp:positionV relativeFrom="paragraph">
                    <wp:posOffset>99695</wp:posOffset>
                  </wp:positionV>
                  <wp:extent cx="508635" cy="391160"/>
                  <wp:effectExtent l="0" t="0" r="12065" b="2540"/>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5"/>
                          <a:stretch>
                            <a:fillRect/>
                          </a:stretch>
                        </pic:blipFill>
                        <pic:spPr>
                          <a:xfrm>
                            <a:off x="0" y="0"/>
                            <a:ext cx="508635" cy="391160"/>
                          </a:xfrm>
                          <a:prstGeom prst="rect">
                            <a:avLst/>
                          </a:prstGeom>
                        </pic:spPr>
                      </pic:pic>
                    </a:graphicData>
                  </a:graphic>
                </wp:anchor>
              </w:drawing>
            </w:r>
          </w:p>
        </w:tc>
      </w:tr>
    </w:tbl>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393602D8"/>
    <w:rsid w:val="44A713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381</Words>
  <Characters>2172</Characters>
  <Lines>18</Lines>
  <Paragraphs>5</Paragraphs>
  <TotalTime>2</TotalTime>
  <ScaleCrop>false</ScaleCrop>
  <LinksUpToDate>false</LinksUpToDate>
  <CharactersWithSpaces>2548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2022-12-31T01:56:31Z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2052-11.1.0.12980</vt:lpwstr>
  </property>
</Properties>
</file>