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1258-2022-EnMs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大庆市力讯电通科技有限公司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大庆市力讯电通科技有限公司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黑龙江省大庆市萨尔图区拥军村十三中对面</w:t>
            </w:r>
            <w:bookmarkEnd w:id="6"/>
          </w:p>
        </w:tc>
        <w:tc>
          <w:tcPr>
            <w:tcW w:w="1242" w:type="dxa"/>
            <w:vMerge w:val="restart"/>
            <w:vAlign w:val="center"/>
          </w:tcPr>
          <w:p>
            <w:r>
              <w:rPr>
                <w:rFonts w:hint="eastAsia"/>
              </w:rPr>
              <w:t>邮编</w:t>
            </w:r>
          </w:p>
        </w:tc>
        <w:tc>
          <w:tcPr>
            <w:tcW w:w="1771" w:type="dxa"/>
          </w:tcPr>
          <w:p>
            <w:bookmarkStart w:id="7" w:name="注册邮编"/>
            <w:r>
              <w:t>163000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大庆市让胡路区奥林路世奥中心513室</w:t>
            </w:r>
            <w:bookmarkEnd w:id="8"/>
          </w:p>
        </w:tc>
        <w:tc>
          <w:tcPr>
            <w:tcW w:w="1242" w:type="dxa"/>
            <w:vMerge w:val="continue"/>
            <w:vAlign w:val="center"/>
          </w:tcPr>
          <w:p/>
        </w:tc>
        <w:tc>
          <w:tcPr>
            <w:tcW w:w="1771" w:type="dxa"/>
          </w:tcPr>
          <w:p>
            <w:bookmarkStart w:id="9" w:name="办公邮编"/>
            <w:r>
              <w:t>163000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刘佳威</w:t>
            </w:r>
            <w:bookmarkEnd w:id="10"/>
          </w:p>
        </w:tc>
        <w:tc>
          <w:tcPr>
            <w:tcW w:w="1313" w:type="dxa"/>
            <w:vAlign w:val="center"/>
          </w:tcPr>
          <w:p>
            <w:r>
              <w:rPr>
                <w:rFonts w:hint="eastAsia"/>
              </w:rPr>
              <w:t>电话.</w:t>
            </w:r>
          </w:p>
        </w:tc>
        <w:tc>
          <w:tcPr>
            <w:tcW w:w="2180" w:type="dxa"/>
            <w:vAlign w:val="center"/>
          </w:tcPr>
          <w:p>
            <w:bookmarkStart w:id="11" w:name="联系人电话"/>
            <w:r>
              <w:t>13903696865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袁柏庆</w:t>
            </w:r>
            <w:bookmarkEnd w:id="13"/>
          </w:p>
        </w:tc>
        <w:tc>
          <w:tcPr>
            <w:tcW w:w="1313" w:type="dxa"/>
            <w:vAlign w:val="center"/>
          </w:tcPr>
          <w:p>
            <w:r>
              <w:rPr>
                <w:rFonts w:hint="eastAsia"/>
              </w:rPr>
              <w:t>管理者代表</w:t>
            </w:r>
          </w:p>
        </w:tc>
        <w:tc>
          <w:tcPr>
            <w:tcW w:w="2180" w:type="dxa"/>
          </w:tcPr>
          <w:p>
            <w:bookmarkStart w:id="14" w:name="管理者代表"/>
            <w:r>
              <w:t>刘佳威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力讯智能自动皮带调节报警装置、抽油机智能保护器、多功能蓄能井口保护器工艺流程：</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采购原材料→下料→加工→焊接→装配→打磨喷漆→检验→打包出厂</w:t>
            </w:r>
            <w:r>
              <w:rPr>
                <w:rFonts w:hint="eastAsia" w:cs="Times New Roman"/>
                <w:kern w:val="2"/>
                <w:sz w:val="21"/>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变压器平台预警远传保护器、一体化监测汇集保护装置、防雷击防腐蚀防护网工艺流程</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采购电子元器件→元器件测试→电器件装配→电器件配线→装机调试→检验→打包出厂</w:t>
            </w:r>
          </w:p>
          <w:p>
            <w:pPr>
              <w:pStyle w:val="9"/>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绝缘热缩防护盒</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采购原材料→下料→加工→修理毛边→检验→打包出厂</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2022年12月07日 上午至2022年12月08日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default" w:eastAsia="宋体"/>
                <w:lang w:val="en-US" w:eastAsia="zh-CN"/>
              </w:rPr>
            </w:pPr>
            <w:r>
              <w:rPr>
                <w:rFonts w:hint="eastAsia"/>
                <w:lang w:val="de-DE"/>
              </w:rPr>
              <w:sym w:font="Wingdings 2" w:char="0052"/>
            </w:r>
            <w:r>
              <w:rPr>
                <w:rFonts w:hint="eastAsia"/>
                <w:lang w:val="de-DE"/>
              </w:rPr>
              <w:t xml:space="preserve">RB/T </w:t>
            </w:r>
            <w:r>
              <w:rPr>
                <w:rFonts w:hint="eastAsia"/>
                <w:lang w:val="en-US" w:eastAsia="zh-CN"/>
              </w:rPr>
              <w:t>119-2015；RB/T101-2013</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p>
            <w:r>
              <w:rPr>
                <w:rFonts w:hint="eastAsia"/>
                <w:b/>
                <w:bCs/>
              </w:rPr>
              <w:t>能源管理体系运行已超过6个月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36"/>
        <w:gridCol w:w="1060"/>
        <w:gridCol w:w="1020"/>
        <w:gridCol w:w="3660"/>
        <w:gridCol w:w="16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236" w:type="dxa"/>
            <w:shd w:val="clear" w:color="auto" w:fill="F3F3F3"/>
            <w:tcMar>
              <w:left w:w="57" w:type="dxa"/>
              <w:right w:w="57" w:type="dxa"/>
            </w:tcMar>
          </w:tcPr>
          <w:p>
            <w:r>
              <w:rPr>
                <w:rFonts w:hint="eastAsia"/>
              </w:rPr>
              <w:t>组织名称及注册场所地址</w:t>
            </w:r>
          </w:p>
        </w:tc>
        <w:tc>
          <w:tcPr>
            <w:tcW w:w="1060" w:type="dxa"/>
            <w:shd w:val="clear" w:color="auto" w:fill="F3F3F3"/>
            <w:tcMar>
              <w:left w:w="57" w:type="dxa"/>
              <w:right w:w="57" w:type="dxa"/>
            </w:tcMar>
          </w:tcPr>
          <w:p>
            <w:r>
              <w:rPr>
                <w:rFonts w:hint="eastAsia"/>
              </w:rPr>
              <w:t>经营场所的地址</w:t>
            </w:r>
          </w:p>
          <w:p>
            <w:r>
              <w:rPr>
                <w:rFonts w:hint="eastAsia"/>
              </w:rPr>
              <w:t>（多现场和临时现场）</w:t>
            </w:r>
          </w:p>
        </w:tc>
        <w:tc>
          <w:tcPr>
            <w:tcW w:w="1020" w:type="dxa"/>
            <w:shd w:val="clear" w:color="auto" w:fill="F3F3F3"/>
            <w:tcMar>
              <w:left w:w="57" w:type="dxa"/>
              <w:right w:w="57" w:type="dxa"/>
            </w:tcMar>
          </w:tcPr>
          <w:p>
            <w:r>
              <w:rPr>
                <w:rFonts w:hint="eastAsia"/>
              </w:rPr>
              <w:t>员工人数</w:t>
            </w:r>
          </w:p>
        </w:tc>
        <w:tc>
          <w:tcPr>
            <w:tcW w:w="366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6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23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大庆市力讯电通科技有限公司</w:t>
            </w:r>
            <w:r>
              <w:rPr>
                <w:rFonts w:hint="eastAsia"/>
                <w:sz w:val="21"/>
                <w:szCs w:val="21"/>
                <w:lang w:val="en-US" w:eastAsia="zh-CN"/>
              </w:rPr>
              <w:t>/</w:t>
            </w:r>
            <w:r>
              <w:rPr>
                <w:sz w:val="21"/>
                <w:szCs w:val="21"/>
              </w:rPr>
              <w:t>黑龙江省大庆市萨尔图区拥军村十三中对面</w:t>
            </w:r>
          </w:p>
        </w:tc>
        <w:tc>
          <w:tcPr>
            <w:tcW w:w="1060"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黑龙江省大庆市萨尔图区七二一王家围子</w:t>
            </w:r>
          </w:p>
        </w:tc>
        <w:tc>
          <w:tcPr>
            <w:tcW w:w="102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ascii="Times New Roman" w:hAnsi="Times New Roman" w:eastAsia="宋体" w:cs="Times New Roman"/>
                <w:sz w:val="21"/>
                <w:szCs w:val="21"/>
                <w:lang w:val="en-US" w:eastAsia="zh-CN"/>
              </w:rPr>
              <w:t>总人数30人（能源覆盖22人）</w:t>
            </w:r>
          </w:p>
        </w:tc>
        <w:tc>
          <w:tcPr>
            <w:tcW w:w="3660" w:type="dxa"/>
            <w:vAlign w:val="center"/>
          </w:tcPr>
          <w:p>
            <w:pPr>
              <w:pStyle w:val="23"/>
              <w:rPr>
                <w:rFonts w:ascii="Times New Roman" w:hAnsi="Times New Roman" w:eastAsia="黑体" w:cs="Arial"/>
                <w:kern w:val="2"/>
                <w:sz w:val="21"/>
                <w:szCs w:val="21"/>
                <w:lang w:val="en-US" w:eastAsia="ja-JP" w:bidi="ar-SA"/>
              </w:rPr>
            </w:pPr>
            <w:r>
              <w:rPr>
                <w:rFonts w:ascii="Times New Roman" w:hAnsi="Times New Roman" w:eastAsia="宋体" w:cs="Times New Roman"/>
                <w:sz w:val="21"/>
                <w:szCs w:val="21"/>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1"/>
                <w:lang w:val="en-GB" w:eastAsia="de-DE" w:bidi="ar-SA"/>
              </w:rPr>
            </w:pPr>
            <w:r>
              <w:rPr>
                <w:rFonts w:ascii="Times New Roman" w:hAnsi="Times New Roman" w:eastAsia="宋体" w:cs="Times New Roman"/>
                <w:kern w:val="2"/>
                <w:sz w:val="21"/>
                <w:szCs w:val="21"/>
                <w:lang w:val="en-GB" w:eastAsia="de-DE" w:bidi="ar-SA"/>
              </w:rPr>
              <w:t>GB/T 2</w:t>
            </w:r>
            <w:r>
              <w:rPr>
                <w:rFonts w:hint="eastAsia" w:ascii="Times New Roman" w:hAnsi="Times New Roman" w:eastAsia="宋体" w:cs="Times New Roman"/>
                <w:kern w:val="2"/>
                <w:sz w:val="21"/>
                <w:szCs w:val="21"/>
                <w:lang w:val="en-GB" w:eastAsia="de-DE" w:bidi="ar-SA"/>
              </w:rPr>
              <w:t>3331-2020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1"/>
                <w:lang w:val="de-DE" w:eastAsia="de-DE" w:bidi="ar-SA"/>
              </w:rPr>
            </w:pPr>
            <w:r>
              <w:rPr>
                <w:rFonts w:hint="eastAsia" w:ascii="Times New Roman" w:hAnsi="Times New Roman" w:eastAsia="宋体" w:cs="Times New Roman"/>
                <w:kern w:val="2"/>
                <w:sz w:val="21"/>
                <w:szCs w:val="21"/>
                <w:lang w:val="de-DE" w:eastAsia="de-DE" w:bidi="ar-SA"/>
              </w:rPr>
              <w:t>RB/T</w:t>
            </w:r>
            <w:r>
              <w:rPr>
                <w:rFonts w:hint="eastAsia" w:ascii="Times New Roman" w:hAnsi="Times New Roman" w:eastAsia="宋体" w:cs="Times New Roman"/>
                <w:kern w:val="2"/>
                <w:sz w:val="21"/>
                <w:szCs w:val="21"/>
                <w:lang w:val="en-GB" w:eastAsia="de-DE" w:bidi="ar-SA"/>
              </w:rPr>
              <w:t xml:space="preserve">119-2015 </w:t>
            </w:r>
          </w:p>
          <w:p>
            <w:pPr>
              <w:pStyle w:val="14"/>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de-DE" w:eastAsia="de-DE" w:bidi="ar-SA"/>
              </w:rPr>
              <w:t>RB/T</w:t>
            </w:r>
            <w:r>
              <w:rPr>
                <w:rFonts w:hint="eastAsia" w:ascii="Times New Roman" w:hAnsi="Times New Roman" w:eastAsia="宋体" w:cs="Times New Roman"/>
                <w:bCs w:val="0"/>
                <w:spacing w:val="0"/>
                <w:kern w:val="2"/>
                <w:sz w:val="21"/>
                <w:szCs w:val="21"/>
                <w:lang w:val="en-GB" w:eastAsia="de-DE" w:bidi="ar-SA"/>
              </w:rPr>
              <w:t xml:space="preserve">101-2013 </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236" w:type="dxa"/>
            <w:vAlign w:val="center"/>
          </w:tcPr>
          <w:p>
            <w:pPr>
              <w:rPr>
                <w:lang w:eastAsia="ja-JP"/>
              </w:rPr>
            </w:pPr>
          </w:p>
        </w:tc>
        <w:tc>
          <w:tcPr>
            <w:tcW w:w="1060" w:type="dxa"/>
            <w:vAlign w:val="center"/>
          </w:tcPr>
          <w:p>
            <w:pPr>
              <w:rPr>
                <w:lang w:eastAsia="ja-JP"/>
              </w:rPr>
            </w:pPr>
          </w:p>
        </w:tc>
        <w:tc>
          <w:tcPr>
            <w:tcW w:w="1020" w:type="dxa"/>
            <w:vAlign w:val="center"/>
          </w:tcPr>
          <w:p>
            <w:pPr>
              <w:rPr>
                <w:lang w:eastAsia="ja-JP"/>
              </w:rPr>
            </w:pPr>
          </w:p>
        </w:tc>
        <w:tc>
          <w:tcPr>
            <w:tcW w:w="3660"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236" w:type="dxa"/>
            <w:vAlign w:val="center"/>
          </w:tcPr>
          <w:p>
            <w:pPr>
              <w:rPr>
                <w:lang w:eastAsia="ja-JP"/>
              </w:rPr>
            </w:pPr>
          </w:p>
        </w:tc>
        <w:tc>
          <w:tcPr>
            <w:tcW w:w="1060" w:type="dxa"/>
            <w:vAlign w:val="center"/>
          </w:tcPr>
          <w:p>
            <w:pPr>
              <w:rPr>
                <w:lang w:eastAsia="ja-JP"/>
              </w:rPr>
            </w:pPr>
          </w:p>
        </w:tc>
        <w:tc>
          <w:tcPr>
            <w:tcW w:w="1020" w:type="dxa"/>
            <w:vAlign w:val="center"/>
          </w:tcPr>
          <w:p>
            <w:pPr>
              <w:rPr>
                <w:lang w:eastAsia="ja-JP"/>
              </w:rPr>
            </w:pPr>
          </w:p>
        </w:tc>
        <w:tc>
          <w:tcPr>
            <w:tcW w:w="3660"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236" w:type="dxa"/>
            <w:vAlign w:val="center"/>
          </w:tcPr>
          <w:p>
            <w:pPr>
              <w:rPr>
                <w:lang w:eastAsia="ja-JP"/>
              </w:rPr>
            </w:pPr>
          </w:p>
        </w:tc>
        <w:tc>
          <w:tcPr>
            <w:tcW w:w="1060" w:type="dxa"/>
            <w:vAlign w:val="center"/>
          </w:tcPr>
          <w:p>
            <w:pPr>
              <w:rPr>
                <w:lang w:eastAsia="ja-JP"/>
              </w:rPr>
            </w:pPr>
          </w:p>
        </w:tc>
        <w:tc>
          <w:tcPr>
            <w:tcW w:w="1020" w:type="dxa"/>
            <w:vAlign w:val="center"/>
          </w:tcPr>
          <w:p>
            <w:pPr>
              <w:rPr>
                <w:lang w:eastAsia="ja-JP"/>
              </w:rPr>
            </w:pPr>
          </w:p>
        </w:tc>
        <w:tc>
          <w:tcPr>
            <w:tcW w:w="3660"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236" w:type="dxa"/>
            <w:vAlign w:val="center"/>
          </w:tcPr>
          <w:p>
            <w:pPr>
              <w:rPr>
                <w:lang w:eastAsia="ja-JP"/>
              </w:rPr>
            </w:pPr>
          </w:p>
        </w:tc>
        <w:tc>
          <w:tcPr>
            <w:tcW w:w="1060" w:type="dxa"/>
            <w:vAlign w:val="center"/>
          </w:tcPr>
          <w:p>
            <w:pPr>
              <w:rPr>
                <w:lang w:eastAsia="ja-JP"/>
              </w:rPr>
            </w:pPr>
          </w:p>
        </w:tc>
        <w:tc>
          <w:tcPr>
            <w:tcW w:w="1020" w:type="dxa"/>
            <w:vAlign w:val="center"/>
          </w:tcPr>
          <w:p>
            <w:pPr>
              <w:rPr>
                <w:lang w:eastAsia="ja-JP"/>
              </w:rPr>
            </w:pPr>
          </w:p>
        </w:tc>
        <w:tc>
          <w:tcPr>
            <w:tcW w:w="3660"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2022-N1EnMS-1024421</w:t>
            </w:r>
          </w:p>
        </w:tc>
        <w:tc>
          <w:tcPr>
            <w:tcW w:w="2179" w:type="dxa"/>
            <w:vAlign w:val="center"/>
          </w:tcPr>
          <w:p>
            <w:r>
              <w:t>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w:t>
            </w:r>
            <w:r>
              <w:rPr>
                <w:rFonts w:hint="eastAsia" w:ascii="宋体"/>
                <w:b/>
                <w:color w:val="0000FF"/>
                <w:szCs w:val="21"/>
              </w:rPr>
              <w:sym w:font="Wingdings 2" w:char="0052"/>
            </w:r>
            <w:r>
              <w:rPr>
                <w:rFonts w:hint="eastAsia" w:ascii="宋体"/>
                <w:b/>
                <w:color w:val="0000FF"/>
                <w:szCs w:val="21"/>
              </w:rPr>
              <w:t>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3360" behindDoc="0" locked="0" layoutInCell="1" allowOverlap="1">
                  <wp:simplePos x="0" y="0"/>
                  <wp:positionH relativeFrom="column">
                    <wp:posOffset>-138430</wp:posOffset>
                  </wp:positionH>
                  <wp:positionV relativeFrom="paragraph">
                    <wp:posOffset>6415405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bookmarkStart w:id="34" w:name="_GoBack"/>
      <w:bookmarkEnd w:id="34"/>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rPr>
              <w:t>最高管理者制定了文件化的管理体系方针：</w:t>
            </w:r>
            <w:r>
              <w:rPr>
                <w:rFonts w:hint="eastAsia" w:ascii="Times New Roman" w:hAnsi="Times New Roman" w:eastAsia="宋体" w:cs="Times New Roman"/>
                <w:b/>
                <w:bCs/>
              </w:rPr>
              <w:t>遵守法规，清洁生产，提高能效，持续改进</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highlight w:val="none"/>
                <w:lang w:val="en-US" w:eastAsia="zh-CN"/>
              </w:rPr>
              <w:t>生产技术部</w:t>
            </w:r>
            <w:r>
              <w:rPr>
                <w:rFonts w:hint="eastAsia"/>
                <w:lang w:val="en-US" w:eastAsia="zh-CN"/>
              </w:rPr>
              <w:t xml:space="preserve"> </w:t>
            </w:r>
            <w:r>
              <w:rPr>
                <w:rFonts w:hint="eastAsia"/>
              </w:rPr>
              <w:sym w:font="Wingdings 2" w:char="0052"/>
            </w:r>
            <w:r>
              <w:rPr>
                <w:rFonts w:hint="eastAsia"/>
              </w:rPr>
              <w:t>能源管理团队</w:t>
            </w:r>
            <w:r>
              <w:rPr>
                <w:rFonts w:hint="eastAsia"/>
                <w:lang w:eastAsia="zh-CN"/>
              </w:rPr>
              <w:t>——</w:t>
            </w:r>
            <w:r>
              <w:rPr>
                <w:rFonts w:hint="eastAsia"/>
                <w:highlight w:val="none"/>
                <w:lang w:val="en-US" w:eastAsia="zh-CN"/>
              </w:rPr>
              <w:t>生产技术部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刘佳威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能源使用包括(必要时，按每个场所来描述):（不必全选）</w:t>
            </w:r>
          </w:p>
          <w:p>
            <w:pPr>
              <w:shd w:val="clear" w:color="auto" w:fill="EBF1DE" w:themeFill="accent3" w:themeFillTint="32"/>
              <w:spacing w:before="40" w:after="40"/>
            </w:pPr>
            <w:r>
              <w:rPr>
                <w:rFonts w:hint="eastAsia"/>
              </w:rPr>
              <w:t>□蒸汽</w:t>
            </w:r>
            <w:r>
              <w:rPr>
                <w:rFonts w:hint="eastAsia"/>
                <w:highlight w:val="none"/>
              </w:rPr>
              <w:sym w:font="Wingdings 2" w:char="00A3"/>
            </w:r>
            <w:r>
              <w:rPr>
                <w:rFonts w:hint="eastAsia"/>
                <w:highlight w:val="none"/>
              </w:rPr>
              <w:t>天然气</w:t>
            </w:r>
            <w:r>
              <w:rPr>
                <w:rFonts w:hint="eastAsia"/>
                <w:highlight w:val="none"/>
              </w:rPr>
              <w:sym w:font="Wingdings 2" w:char="0052"/>
            </w:r>
            <w:r>
              <w:rPr>
                <w:rFonts w:hint="eastAsia"/>
                <w:highlight w:val="none"/>
              </w:rPr>
              <w:t>燃料油</w:t>
            </w:r>
            <w:r>
              <w:rPr>
                <w:rFonts w:hint="eastAsia"/>
              </w:rPr>
              <w:t>□燃料气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rPr>
                <w:rFonts w:hint="default" w:eastAsia="宋体"/>
                <w:lang w:val="en-US" w:eastAsia="zh-CN"/>
              </w:rPr>
            </w:pPr>
            <w:r>
              <w:rPr>
                <w:rFonts w:hint="eastAsia"/>
              </w:rPr>
              <w:t>□其他</w:t>
            </w:r>
            <w:r>
              <w:rPr>
                <w:rFonts w:hint="eastAsia"/>
                <w:lang w:eastAsia="zh-CN"/>
              </w:rPr>
              <w:t>——</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w:t>
            </w:r>
            <w:r>
              <w:rPr>
                <w:rFonts w:hint="eastAsia"/>
              </w:rPr>
              <w:sym w:font="Wingdings 2" w:char="0052"/>
            </w:r>
            <w:r>
              <w:rPr>
                <w:rFonts w:hint="eastAsia"/>
              </w:rPr>
              <w:t>单位产</w:t>
            </w:r>
            <w:r>
              <w:rPr>
                <w:rFonts w:hint="eastAsia"/>
                <w:lang w:val="en-US" w:eastAsia="zh-CN"/>
              </w:rPr>
              <w:t>值综合能耗</w:t>
            </w:r>
            <w:r>
              <w:rPr>
                <w:rFonts w:hint="eastAsia"/>
              </w:rPr>
              <w:t>□加热炉热效率□其他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2022.12.1</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sym w:font="Wingdings 2" w:char="0052"/>
            </w: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2460"/>
              <w:gridCol w:w="127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节能目标</w:t>
                  </w:r>
                  <w:r>
                    <w:rPr>
                      <w:rFonts w:hint="eastAsia" w:ascii="宋体" w:hAnsi="宋体"/>
                      <w:lang w:val="en-US" w:eastAsia="zh-CN"/>
                    </w:rPr>
                    <w:t>2022年</w:t>
                  </w:r>
                </w:p>
              </w:tc>
              <w:tc>
                <w:tcPr>
                  <w:tcW w:w="246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7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89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2022年1-11月</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color w:val="000000"/>
                      <w:szCs w:val="18"/>
                      <w:highlight w:val="none"/>
                    </w:rPr>
                    <w:t>单位产值能耗小于28.16kgce/万</w:t>
                  </w:r>
                  <w:r>
                    <w:rPr>
                      <w:rFonts w:hint="eastAsia"/>
                      <w:color w:val="000000"/>
                      <w:szCs w:val="18"/>
                      <w:highlight w:val="none"/>
                      <w:lang w:val="en-US" w:eastAsia="zh-CN"/>
                    </w:rPr>
                    <w:t>元</w:t>
                  </w:r>
                </w:p>
              </w:tc>
              <w:tc>
                <w:tcPr>
                  <w:tcW w:w="246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加强节能管理，控制设备用电及叉车用油</w:t>
                  </w:r>
                </w:p>
              </w:tc>
              <w:tc>
                <w:tcPr>
                  <w:tcW w:w="127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生产技术部</w:t>
                  </w:r>
                </w:p>
              </w:tc>
              <w:tc>
                <w:tcPr>
                  <w:tcW w:w="1894" w:type="dxa"/>
                  <w:shd w:val="clear" w:color="auto" w:fill="auto"/>
                  <w:vAlign w:val="top"/>
                </w:tcPr>
                <w:p>
                  <w:pPr>
                    <w:widowControl/>
                    <w:spacing w:before="40"/>
                    <w:jc w:val="left"/>
                    <w:rPr>
                      <w:rFonts w:ascii="宋体" w:hAnsi="宋体" w:eastAsia="宋体" w:cs="Times New Roman"/>
                      <w:kern w:val="2"/>
                      <w:sz w:val="21"/>
                      <w:szCs w:val="24"/>
                      <w:highlight w:val="yellow"/>
                      <w:lang w:val="en-GB" w:eastAsia="zh-CN" w:bidi="ar-SA"/>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r>
                    <w:rPr>
                      <w:rFonts w:hint="eastAsia"/>
                      <w:color w:val="000000"/>
                      <w:szCs w:val="18"/>
                      <w:highlight w:val="none"/>
                    </w:rPr>
                    <w:t xml:space="preserve">26.98kgce/万元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p>
              </w:tc>
              <w:tc>
                <w:tcPr>
                  <w:tcW w:w="246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p>
              </w:tc>
              <w:tc>
                <w:tcPr>
                  <w:tcW w:w="1270"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p>
              </w:tc>
              <w:tc>
                <w:tcPr>
                  <w:tcW w:w="1894" w:type="dxa"/>
                  <w:shd w:val="clear" w:color="auto" w:fill="auto"/>
                  <w:vAlign w:val="top"/>
                </w:tcPr>
                <w:p>
                  <w:pPr>
                    <w:widowControl/>
                    <w:spacing w:before="40"/>
                    <w:jc w:val="left"/>
                    <w:rPr>
                      <w:rFonts w:hint="default" w:ascii="宋体" w:hAnsi="宋体"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shd w:val="clear" w:color="auto" w:fill="auto"/>
                  <w:vAlign w:val="top"/>
                </w:tcPr>
                <w:p>
                  <w:pPr>
                    <w:widowControl/>
                    <w:spacing w:before="40"/>
                    <w:jc w:val="left"/>
                    <w:rPr>
                      <w:highlight w:val="yellow"/>
                    </w:rPr>
                  </w:pPr>
                </w:p>
              </w:tc>
              <w:tc>
                <w:tcPr>
                  <w:tcW w:w="246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27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894" w:type="dxa"/>
                  <w:shd w:val="clear" w:color="auto" w:fill="auto"/>
                  <w:vAlign w:val="top"/>
                </w:tcPr>
                <w:p>
                  <w:pPr>
                    <w:widowControl/>
                    <w:spacing w:before="40"/>
                    <w:jc w:val="left"/>
                    <w:rPr>
                      <w:rFonts w:hint="default" w:ascii="宋体" w:hAnsi="宋体"/>
                      <w:lang w:val="en-US"/>
                    </w:rPr>
                  </w:pP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lang w:val="en-US" w:eastAsia="zh-CN"/>
              </w:rPr>
            </w:pPr>
            <w:r>
              <w:rPr>
                <w:rFonts w:hint="eastAsia"/>
                <w:lang w:val="en-US" w:eastAsia="zh-CN"/>
              </w:rPr>
              <w:t>企业占地约</w:t>
            </w:r>
            <w:r>
              <w:rPr>
                <w:rFonts w:hint="eastAsia" w:ascii="Times New Roman" w:hAnsi="Times New Roman" w:eastAsia="宋体" w:cs="Times New Roman"/>
                <w:lang w:val="en-US" w:eastAsia="zh-CN"/>
              </w:rPr>
              <w:t>3亩，建筑面积,1000平方米；1个生产车间；</w:t>
            </w:r>
          </w:p>
          <w:p>
            <w:pPr>
              <w:shd w:val="clear" w:color="auto" w:fill="EBF1DE" w:themeFill="accent3" w:themeFillTint="32"/>
              <w:rPr>
                <w:highlight w:val="none"/>
                <w:u w:val="single"/>
              </w:rPr>
            </w:pPr>
            <w:r>
              <w:rPr>
                <w:rFonts w:hint="eastAsia"/>
              </w:rPr>
              <w:t>主要生产设备有：</w:t>
            </w:r>
            <w:r>
              <w:rPr>
                <w:rFonts w:hint="eastAsia"/>
                <w:u w:val="single"/>
                <w:lang w:val="en-US" w:eastAsia="zh-CN"/>
              </w:rPr>
              <w:t>激光切割机</w:t>
            </w:r>
            <w:r>
              <w:rPr>
                <w:rFonts w:hint="eastAsia"/>
                <w:color w:val="000000"/>
                <w:szCs w:val="22"/>
                <w:highlight w:val="none"/>
                <w:u w:val="single"/>
              </w:rPr>
              <w:t>、</w:t>
            </w:r>
            <w:r>
              <w:rPr>
                <w:rFonts w:hint="eastAsia"/>
                <w:color w:val="000000"/>
                <w:szCs w:val="22"/>
                <w:highlight w:val="none"/>
                <w:u w:val="single"/>
                <w:lang w:val="en-US" w:eastAsia="zh-CN"/>
              </w:rPr>
              <w:t>摇臂钻床</w:t>
            </w:r>
            <w:r>
              <w:rPr>
                <w:rFonts w:hint="eastAsia"/>
                <w:color w:val="000000"/>
                <w:szCs w:val="22"/>
                <w:highlight w:val="none"/>
                <w:u w:val="single"/>
              </w:rPr>
              <w:t>、</w:t>
            </w:r>
            <w:r>
              <w:rPr>
                <w:rFonts w:hint="eastAsia"/>
                <w:color w:val="000000"/>
                <w:szCs w:val="22"/>
                <w:highlight w:val="none"/>
                <w:u w:val="single"/>
                <w:lang w:val="en-US" w:eastAsia="zh-CN"/>
              </w:rPr>
              <w:t>数控车床、普通车床等</w:t>
            </w:r>
            <w:r>
              <w:rPr>
                <w:rFonts w:hint="eastAsia"/>
                <w:highlight w:val="none"/>
                <w:u w:val="single"/>
              </w:rPr>
              <w:t>（列举2~4种）</w:t>
            </w:r>
          </w:p>
          <w:p>
            <w:pPr>
              <w:shd w:val="clear" w:color="auto" w:fill="EBF1DE" w:themeFill="accent3" w:themeFillTint="32"/>
              <w:rPr>
                <w:rFonts w:hint="eastAsia"/>
                <w:highlight w:val="none"/>
                <w:u w:val="single"/>
                <w:lang w:eastAsia="zh-CN"/>
              </w:rPr>
            </w:pPr>
            <w:r>
              <w:rPr>
                <w:rFonts w:hint="eastAsia"/>
                <w:highlight w:val="none"/>
              </w:rPr>
              <w:t>主要耗能设备有：</w:t>
            </w:r>
            <w:r>
              <w:rPr>
                <w:rFonts w:hint="eastAsia"/>
                <w:u w:val="single"/>
                <w:lang w:val="en-US" w:eastAsia="zh-CN"/>
              </w:rPr>
              <w:t>激光切割机</w:t>
            </w:r>
            <w:r>
              <w:rPr>
                <w:rFonts w:hint="eastAsia"/>
                <w:color w:val="000000"/>
                <w:szCs w:val="22"/>
                <w:highlight w:val="none"/>
                <w:u w:val="single"/>
              </w:rPr>
              <w:t>、</w:t>
            </w:r>
            <w:r>
              <w:rPr>
                <w:rFonts w:hint="eastAsia"/>
                <w:color w:val="000000"/>
                <w:szCs w:val="22"/>
                <w:highlight w:val="none"/>
                <w:u w:val="single"/>
                <w:lang w:val="en-US" w:eastAsia="zh-CN"/>
              </w:rPr>
              <w:t>摇臂钻床</w:t>
            </w:r>
            <w:r>
              <w:rPr>
                <w:rFonts w:hint="eastAsia"/>
                <w:color w:val="000000"/>
                <w:szCs w:val="22"/>
                <w:highlight w:val="none"/>
                <w:u w:val="single"/>
              </w:rPr>
              <w:t>、</w:t>
            </w:r>
            <w:r>
              <w:rPr>
                <w:rFonts w:hint="eastAsia"/>
                <w:color w:val="000000"/>
                <w:szCs w:val="22"/>
                <w:highlight w:val="none"/>
                <w:u w:val="single"/>
                <w:lang w:val="en-US" w:eastAsia="zh-CN"/>
              </w:rPr>
              <w:t>数控车床</w:t>
            </w:r>
            <w:r>
              <w:rPr>
                <w:rFonts w:hint="eastAsia"/>
                <w:highlight w:val="none"/>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w:t>
            </w:r>
            <w:r>
              <w:rPr>
                <w:rFonts w:hint="eastAsia"/>
                <w:lang w:val="en-US" w:eastAsia="zh-CN"/>
              </w:rPr>
              <w:t>箱</w:t>
            </w:r>
            <w:r>
              <w:rPr>
                <w:rFonts w:hint="eastAsia" w:ascii="Wingdings" w:hAnsi="Wingdings"/>
                <w:lang w:eastAsia="zh-CN"/>
              </w:rPr>
              <w:sym w:font="Wingdings 2" w:char="0052"/>
            </w:r>
            <w:r>
              <w:rPr>
                <w:rFonts w:hint="eastAsia"/>
              </w:rPr>
              <w:t>空压</w:t>
            </w:r>
            <w:r>
              <w:rPr>
                <w:rFonts w:hint="eastAsia"/>
                <w:lang w:val="en-US" w:eastAsia="zh-CN"/>
              </w:rPr>
              <w:t>机</w:t>
            </w:r>
            <w:r>
              <w:rPr>
                <w:rFonts w:hint="eastAsia" w:ascii="Wingdings" w:hAnsi="Wingdings"/>
                <w:lang w:eastAsia="zh-CN"/>
              </w:rPr>
              <w:t>□</w:t>
            </w:r>
            <w:r>
              <w:rPr>
                <w:rFonts w:hint="eastAsia"/>
              </w:rPr>
              <w:t>锅炉房</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电表、水表、</w:t>
            </w:r>
            <w:r>
              <w:rPr>
                <w:rFonts w:hint="eastAsia"/>
                <w:highlight w:val="none"/>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w:t>
            </w:r>
            <w:r>
              <w:rPr>
                <w:rFonts w:hint="eastAsia"/>
                <w:highlight w:val="none"/>
                <w:lang w:val="en-US" w:eastAsia="zh-CN"/>
              </w:rPr>
              <w:t>企业介绍</w:t>
            </w:r>
            <w:r>
              <w:rPr>
                <w:rFonts w:hint="eastAsia"/>
                <w:highlight w:val="none"/>
              </w:rPr>
              <w:t>：</w:t>
            </w:r>
            <w:r>
              <w:rPr>
                <w:rFonts w:hint="eastAsia"/>
                <w:highlight w:val="none"/>
                <w:lang w:val="en-US" w:eastAsia="zh-CN"/>
              </w:rPr>
              <w:t>由供方电力公司校验</w:t>
            </w:r>
            <w:r>
              <w:rPr>
                <w:rFonts w:hint="eastAsia"/>
                <w:lang w:val="en-US" w:eastAsia="zh-CN"/>
              </w:rPr>
              <w:t>。企业未安装水表。企业内部的电表未进行效验，已经与企业进行沟通。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A3"/>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A3"/>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color w:val="000000"/>
                <w:szCs w:val="18"/>
                <w:highlight w:val="none"/>
                <w:u w:val="single"/>
                <w:lang w:val="en-US" w:eastAsia="zh-CN"/>
              </w:rPr>
              <w:t>无</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highlight w:val="none"/>
                    </w:rPr>
                    <w:t>天然气消耗</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rPr>
                    <w:t>其他</w:t>
                  </w:r>
                  <w:r>
                    <w:rPr>
                      <w:rFonts w:hint="eastAsia"/>
                      <w:lang w:eastAsia="zh-CN"/>
                    </w:rPr>
                    <w:t>——</w:t>
                  </w:r>
                  <w:r>
                    <w:rPr>
                      <w:rFonts w:hint="eastAsia"/>
                      <w:lang w:val="en-US" w:eastAsia="zh-CN"/>
                    </w:rPr>
                    <w:t>柴油</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加强叉车管理，节约用油</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10</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其他</w:t>
            </w:r>
          </w:p>
          <w:p>
            <w:pPr>
              <w:shd w:val="clear" w:color="auto" w:fill="EBF1DE" w:themeFill="accent3" w:themeFillTint="32"/>
            </w:pPr>
          </w:p>
          <w:p>
            <w:pPr>
              <w:rPr>
                <w:rFonts w:hint="default" w:eastAsia="宋体"/>
                <w:color w:val="000000"/>
                <w:szCs w:val="18"/>
                <w:lang w:val="en-US" w:eastAsia="zh-CN"/>
              </w:rPr>
            </w:pPr>
            <w:r>
              <w:rPr>
                <w:rFonts w:hint="eastAsia"/>
              </w:rPr>
              <w:t>《能效测试报告》编号：</w:t>
            </w:r>
            <w:r>
              <w:rPr>
                <w:rFonts w:hint="eastAsia"/>
                <w:lang w:val="en-US" w:eastAsia="zh-CN"/>
              </w:rPr>
              <w:t>企业</w:t>
            </w:r>
            <w:r>
              <w:rPr>
                <w:rFonts w:hint="eastAsia"/>
                <w:color w:val="000000"/>
                <w:szCs w:val="18"/>
                <w:lang w:val="en-US" w:eastAsia="zh-CN"/>
              </w:rPr>
              <w:t>未开展能效测试，已沟通。</w:t>
            </w:r>
          </w:p>
          <w:p>
            <w:pPr>
              <w:shd w:val="clear" w:color="auto" w:fill="EBF1DE" w:themeFill="accent3" w:themeFillTint="32"/>
              <w:rPr>
                <w:rFonts w:hint="default"/>
                <w:lang w:val="en-US" w:eastAsia="zh-CN"/>
              </w:rPr>
            </w:pP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highlight w:val="none"/>
                <w:lang w:val="en-US" w:eastAsia="zh-CN"/>
              </w:rPr>
              <w:t>10</w:t>
            </w:r>
            <w:r>
              <w:rPr>
                <w:rFonts w:hint="eastAsia"/>
                <w:highlight w:val="none"/>
              </w:rPr>
              <w:t>月</w:t>
            </w:r>
            <w:r>
              <w:rPr>
                <w:rFonts w:hint="eastAsia"/>
                <w:highlight w:val="none"/>
                <w:lang w:val="en-US" w:eastAsia="zh-CN"/>
              </w:rPr>
              <w:t>20</w:t>
            </w:r>
            <w:r>
              <w:rPr>
                <w:rFonts w:hint="eastAsia"/>
                <w:highlight w:val="none"/>
              </w:rPr>
              <w:t>日</w:t>
            </w:r>
            <w:r>
              <w:rPr>
                <w:rFonts w:hint="eastAsia"/>
              </w:rPr>
              <w:t>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highlight w:val="none"/>
                <w:lang w:val="en-US" w:eastAsia="zh-CN"/>
              </w:rPr>
              <w:t>10</w:t>
            </w:r>
            <w:r>
              <w:rPr>
                <w:rFonts w:hint="eastAsia"/>
                <w:highlight w:val="none"/>
              </w:rPr>
              <w:t>月</w:t>
            </w:r>
            <w:r>
              <w:rPr>
                <w:rFonts w:hint="eastAsia"/>
                <w:highlight w:val="none"/>
                <w:lang w:val="en-US" w:eastAsia="zh-CN"/>
              </w:rPr>
              <w:t>26</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0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33"/>
        <w:gridCol w:w="820"/>
        <w:gridCol w:w="860"/>
        <w:gridCol w:w="810"/>
        <w:gridCol w:w="830"/>
        <w:gridCol w:w="855"/>
        <w:gridCol w:w="779"/>
        <w:gridCol w:w="780"/>
        <w:gridCol w:w="779"/>
        <w:gridCol w:w="67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5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zh-CN" w:bidi="ar-SA"/>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kern w:val="2"/>
                <w:sz w:val="21"/>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55"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pP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pPr>
            <w:r>
              <w:rPr>
                <w:rFonts w:hint="eastAsia"/>
              </w:rPr>
              <w:t>8.3</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2285AB71"/>
    <w:multiLevelType w:val="singleLevel"/>
    <w:tmpl w:val="2285AB7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C2404A"/>
    <w:rsid w:val="11F6085B"/>
    <w:rsid w:val="23E05165"/>
    <w:rsid w:val="7E601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华文细黑"/>
      <w:sz w:val="24"/>
    </w:rPr>
  </w:style>
  <w:style w:type="paragraph" w:styleId="3">
    <w:name w:val="List Bullet 5"/>
    <w:basedOn w:val="1"/>
    <w:semiHidden/>
    <w:unhideWhenUsed/>
    <w:qFormat/>
    <w:uiPriority w:val="99"/>
    <w:pPr>
      <w:numPr>
        <w:ilvl w:val="0"/>
        <w:numId w:val="1"/>
      </w:numPr>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2022-12-09T14:39:04Z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