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w:t>
      </w:r>
      <w:r>
        <w:rPr>
          <w:rFonts w:hint="eastAsia"/>
          <w:sz w:val="32"/>
          <w:szCs w:val="32"/>
          <w:u w:val="single"/>
          <w:lang w:val="en-US" w:eastAsia="zh-CN"/>
        </w:rPr>
        <w:t>303</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江西智云电气有限公司</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江西智云电气有限公司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江西省南昌市青山湖区上海北路666号青山湖商业广场502号</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330001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江西省南昌市青山湖区上海北路666号青山湖商业广场502号</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330001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宋增旺</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13755651266</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孙娜</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hint="default" w:ascii="Times New Roman" w:hAnsi="Times New Roman" w:eastAsia="宋体" w:cs="Times New Roman"/>
                <w:kern w:val="2"/>
                <w:sz w:val="21"/>
                <w:szCs w:val="24"/>
                <w:lang w:val="en-US" w:eastAsia="zh-CN" w:bidi="ar-SA"/>
              </w:rPr>
            </w:pPr>
            <w:r>
              <w:t>赵艳淑</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eastAsia="宋体" w:cs="Times New Roman"/>
                <w:lang w:val="en-US" w:eastAsia="zh-CN"/>
              </w:rPr>
              <w:t>洽谈--签订合同--采购-- 验收--销售交付--售后</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5" w:name="审核日期"/>
            <w:r>
              <w:rPr>
                <w:rFonts w:hint="eastAsia"/>
              </w:rPr>
              <w:t>2022年11月29日 上午至2022年11月30日 上午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1"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jc w:val="both"/>
            </w:pPr>
            <w:r>
              <w:rPr>
                <w:rFonts w:hint="eastAsia"/>
              </w:rPr>
              <w:t>审核方式</w:t>
            </w:r>
          </w:p>
        </w:tc>
        <w:tc>
          <w:tcPr>
            <w:tcW w:w="7831" w:type="dxa"/>
            <w:gridSpan w:val="3"/>
            <w:tcMar>
              <w:left w:w="113" w:type="dxa"/>
            </w:tcMar>
            <w:vAlign w:val="center"/>
          </w:tcPr>
          <w:p>
            <w:pPr>
              <w:jc w:val="both"/>
            </w:pPr>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exact"/>
        </w:trPr>
        <w:tc>
          <w:tcPr>
            <w:tcW w:w="1632" w:type="dxa"/>
            <w:gridSpan w:val="2"/>
            <w:vAlign w:val="center"/>
          </w:tcPr>
          <w:p>
            <w:pPr>
              <w:jc w:val="both"/>
            </w:pPr>
            <w:r>
              <w:rPr>
                <w:rFonts w:hint="eastAsia" w:ascii="宋体" w:hAnsi="宋体" w:cs="宋体"/>
                <w:color w:val="000000"/>
                <w:kern w:val="0"/>
                <w:szCs w:val="21"/>
              </w:rPr>
              <w:t>审核方法</w:t>
            </w:r>
          </w:p>
        </w:tc>
        <w:tc>
          <w:tcPr>
            <w:tcW w:w="7831" w:type="dxa"/>
            <w:gridSpan w:val="3"/>
            <w:tcMar>
              <w:left w:w="113" w:type="dxa"/>
            </w:tcMar>
            <w:vAlign w:val="center"/>
          </w:tcPr>
          <w:p>
            <w:pPr>
              <w:widowControl/>
              <w:jc w:val="both"/>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4" w:hRule="exact"/>
        </w:trPr>
        <w:tc>
          <w:tcPr>
            <w:tcW w:w="1632" w:type="dxa"/>
            <w:gridSpan w:val="2"/>
            <w:vAlign w:val="center"/>
          </w:tcPr>
          <w:p>
            <w:pPr>
              <w:jc w:val="both"/>
            </w:pPr>
            <w:r>
              <w:rPr>
                <w:rFonts w:hint="eastAsia"/>
              </w:rPr>
              <w:t>审核类型</w:t>
            </w:r>
          </w:p>
        </w:tc>
        <w:tc>
          <w:tcPr>
            <w:tcW w:w="7831" w:type="dxa"/>
            <w:gridSpan w:val="3"/>
            <w:tcMar>
              <w:left w:w="113" w:type="dxa"/>
            </w:tcMar>
            <w:vAlign w:val="center"/>
          </w:tcPr>
          <w:p>
            <w:pPr>
              <w:jc w:val="both"/>
            </w:pPr>
            <w:bookmarkStart w:id="14" w:name="二阶段勾选"/>
            <w:r>
              <w:rPr>
                <w:rFonts w:hint="eastAsia"/>
              </w:rPr>
              <w:t>■</w:t>
            </w:r>
            <w:bookmarkEnd w:id="14"/>
            <w:r>
              <w:rPr>
                <w:rFonts w:hint="eastAsia"/>
              </w:rPr>
              <w:t>初审二阶段</w:t>
            </w:r>
            <w:bookmarkStart w:id="15" w:name="监督勾选Add1"/>
            <w:r>
              <w:rPr>
                <w:rFonts w:hint="eastAsia"/>
              </w:rPr>
              <w:t>□</w:t>
            </w:r>
            <w:bookmarkEnd w:id="15"/>
            <w:r>
              <w:rPr>
                <w:rFonts w:hint="eastAsia"/>
              </w:rPr>
              <w:t>监督第</w:t>
            </w:r>
            <w:bookmarkStart w:id="16" w:name="监督次数"/>
            <w:bookmarkEnd w:id="16"/>
            <w:r>
              <w:rPr>
                <w:rFonts w:hint="eastAsia"/>
              </w:rPr>
              <w:t>次监督审核</w:t>
            </w:r>
            <w:bookmarkStart w:id="17" w:name="再认证勾选"/>
            <w:r>
              <w:rPr>
                <w:rFonts w:hint="eastAsia"/>
              </w:rPr>
              <w:t>□</w:t>
            </w:r>
            <w:bookmarkEnd w:id="17"/>
            <w:r>
              <w:rPr>
                <w:rFonts w:hint="eastAsia"/>
              </w:rPr>
              <w:t>再认证</w:t>
            </w:r>
            <w:bookmarkStart w:id="18" w:name="扩项勾选Add1"/>
            <w:r>
              <w:rPr>
                <w:rFonts w:hint="eastAsia"/>
              </w:rPr>
              <w:t>□</w:t>
            </w:r>
            <w:bookmarkEnd w:id="1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exact"/>
        </w:trPr>
        <w:tc>
          <w:tcPr>
            <w:tcW w:w="1632" w:type="dxa"/>
            <w:gridSpan w:val="2"/>
            <w:vAlign w:val="center"/>
          </w:tcPr>
          <w:p>
            <w:pPr>
              <w:tabs>
                <w:tab w:val="left" w:pos="4285"/>
              </w:tabs>
              <w:jc w:val="both"/>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center"/>
          </w:tcPr>
          <w:p>
            <w:pPr>
              <w:jc w:val="both"/>
              <w:rPr>
                <w:rFonts w:hint="eastAsia" w:ascii="宋体" w:eastAsia="宋体"/>
                <w:b/>
                <w:color w:val="0000FF"/>
                <w:szCs w:val="21"/>
                <w:lang w:eastAsia="zh-CN"/>
              </w:rPr>
            </w:pPr>
            <w:r>
              <w:rPr>
                <w:rFonts w:hint="eastAsia"/>
                <w:sz w:val="21"/>
                <w:szCs w:val="21"/>
                <w:lang w:eastAsia="zh-CN"/>
              </w:rPr>
              <w:t>江西省南昌市青山湖区上海北路666号青山湖商业广场502号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6" w:hRule="exact"/>
        </w:trPr>
        <w:tc>
          <w:tcPr>
            <w:tcW w:w="1632" w:type="dxa"/>
            <w:gridSpan w:val="2"/>
            <w:vAlign w:val="center"/>
          </w:tcPr>
          <w:p>
            <w:pPr>
              <w:jc w:val="both"/>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exact"/>
        </w:trPr>
        <w:tc>
          <w:tcPr>
            <w:tcW w:w="1632" w:type="dxa"/>
            <w:gridSpan w:val="2"/>
            <w:vAlign w:val="center"/>
          </w:tcPr>
          <w:p>
            <w:pPr>
              <w:jc w:val="both"/>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exact"/>
        </w:trPr>
        <w:tc>
          <w:tcPr>
            <w:tcW w:w="1632" w:type="dxa"/>
            <w:gridSpan w:val="2"/>
            <w:vAlign w:val="center"/>
          </w:tcPr>
          <w:p>
            <w:pPr>
              <w:jc w:val="both"/>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center"/>
          </w:tcPr>
          <w:p>
            <w:pPr>
              <w:jc w:val="both"/>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p>
            <w:pPr>
              <w:jc w:val="both"/>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9" w:name="审核范围"/>
            <w:r>
              <w:t>Q：电力设施器材、数字视频监控系统、机械电气设备、电工仪器仪表、软件的销售</w:t>
            </w:r>
          </w:p>
          <w:p>
            <w:r>
              <w:t>E：电力设施器材、数字视频监控系统、机械电气设备、电工仪器仪表、软件的销售所涉及场所的相关环境管理活动</w:t>
            </w:r>
          </w:p>
          <w:p>
            <w:r>
              <w:t>O：电力设施器材、数字视频监控系统、机械电气设备、电工仪器仪表、软件的销售所涉及场所的相关职业健康安全管理活动</w:t>
            </w:r>
            <w:bookmarkEnd w:id="1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0" w:name="专业代码"/>
            <w:r>
              <w:t>Q：29.12.00</w:t>
            </w:r>
          </w:p>
          <w:p>
            <w:r>
              <w:t>E：29.12.00</w:t>
            </w:r>
          </w:p>
          <w:p>
            <w:r>
              <w:t>O：29.12.00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53"/>
        <w:gridCol w:w="1745"/>
        <w:gridCol w:w="637"/>
        <w:gridCol w:w="2583"/>
        <w:gridCol w:w="185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75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174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3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58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p>
        </w:tc>
        <w:tc>
          <w:tcPr>
            <w:tcW w:w="18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53" w:type="dxa"/>
          </w:tcPr>
          <w:p>
            <w:pPr>
              <w:spacing w:before="40" w:after="40"/>
              <w:rPr>
                <w:rFonts w:hint="eastAsia" w:eastAsia="黑体"/>
                <w:szCs w:val="21"/>
                <w:lang w:val="de-DE" w:eastAsia="zh-CN"/>
              </w:rPr>
            </w:pPr>
            <w:r>
              <w:rPr>
                <w:rFonts w:hint="eastAsia" w:eastAsia="黑体"/>
                <w:szCs w:val="21"/>
                <w:lang w:val="de-DE" w:eastAsia="zh-CN"/>
              </w:rPr>
              <w:t>江西省南昌市青山湖区上海北路666号青山湖商业广场502号</w:t>
            </w:r>
          </w:p>
        </w:tc>
        <w:tc>
          <w:tcPr>
            <w:tcW w:w="1745" w:type="dxa"/>
          </w:tcPr>
          <w:p>
            <w:pPr>
              <w:spacing w:before="40" w:after="40"/>
              <w:rPr>
                <w:rFonts w:hint="eastAsia" w:eastAsia="黑体"/>
                <w:szCs w:val="21"/>
                <w:lang w:val="de-DE" w:eastAsia="zh-CN"/>
              </w:rPr>
            </w:pPr>
            <w:r>
              <w:rPr>
                <w:rFonts w:hint="eastAsia" w:eastAsia="黑体"/>
                <w:szCs w:val="21"/>
                <w:lang w:val="de-DE" w:eastAsia="zh-CN"/>
              </w:rPr>
              <w:t>江西省南昌市青山湖区上海北路666号青山湖商业广场502号</w:t>
            </w:r>
          </w:p>
        </w:tc>
        <w:tc>
          <w:tcPr>
            <w:tcW w:w="637"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583" w:type="dxa"/>
            <w:vAlign w:val="center"/>
          </w:tcPr>
          <w:p>
            <w:pPr>
              <w:pStyle w:val="22"/>
              <w:rPr>
                <w:rFonts w:hint="default" w:eastAsia="宋体" w:cs="Arial"/>
                <w:sz w:val="21"/>
                <w:szCs w:val="21"/>
                <w:lang w:val="en-US" w:eastAsia="zh-CN"/>
              </w:rPr>
            </w:pPr>
            <w:r>
              <w:t>电力设施器材、数字视频监控系统、</w:t>
            </w:r>
            <w:r>
              <w:rPr>
                <w:rFonts w:ascii="Times New Roman" w:hAnsi="Times New Roman" w:eastAsia="Times New Roman" w:cs="Times New Roman"/>
              </w:rPr>
              <w:t>机械电气设备、电工仪器仪表</w:t>
            </w:r>
            <w:r>
              <w:rPr>
                <w:rFonts w:hint="eastAsia" w:ascii="Times New Roman" w:hAnsi="Times New Roman" w:eastAsia="Times New Roman" w:cs="Times New Roman"/>
              </w:rPr>
              <w:t>的销售</w:t>
            </w:r>
            <w:r>
              <w:rPr>
                <w:rFonts w:hint="eastAsia" w:ascii="Times New Roman" w:hAnsi="Times New Roman" w:eastAsia="Times New Roman" w:cs="Times New Roman"/>
                <w:lang w:val="en-US" w:eastAsia="zh-CN"/>
              </w:rPr>
              <w:t>及相关的环境、职业健康安全管理活动</w:t>
            </w:r>
          </w:p>
        </w:tc>
        <w:tc>
          <w:tcPr>
            <w:tcW w:w="1859" w:type="dxa"/>
            <w:vAlign w:val="center"/>
          </w:tcPr>
          <w:p>
            <w:pPr>
              <w:spacing w:before="40" w:after="40"/>
              <w:rPr>
                <w:rFonts w:hint="eastAsia"/>
                <w:lang w:val="en-US" w:eastAsia="zh-CN"/>
              </w:rPr>
            </w:pPr>
            <w:r>
              <w:rPr>
                <w:rFonts w:hint="eastAsia"/>
                <w:lang w:val="en-US" w:eastAsia="zh-CN"/>
              </w:rPr>
              <w:t>GB/T19001-2016</w:t>
            </w:r>
          </w:p>
          <w:p>
            <w:pPr>
              <w:pStyle w:val="12"/>
              <w:rPr>
                <w:rFonts w:hint="eastAsia" w:eastAsia="黑体"/>
                <w:szCs w:val="21"/>
                <w:lang w:val="en-US" w:eastAsia="zh-CN"/>
              </w:rPr>
            </w:pPr>
            <w:r>
              <w:rPr>
                <w:rFonts w:hint="eastAsia" w:eastAsia="黑体"/>
                <w:szCs w:val="21"/>
                <w:lang w:val="en-US" w:eastAsia="zh-CN"/>
              </w:rPr>
              <w:t>GB/T24001-2016</w:t>
            </w:r>
          </w:p>
          <w:p>
            <w:pPr>
              <w:pStyle w:val="12"/>
              <w:rPr>
                <w:rFonts w:hint="default" w:eastAsia="黑体"/>
                <w:szCs w:val="21"/>
                <w:lang w:val="en-US" w:eastAsia="zh-CN"/>
              </w:rPr>
            </w:pPr>
            <w:r>
              <w:rPr>
                <w:rFonts w:hint="eastAsia" w:eastAsia="黑体"/>
                <w:szCs w:val="21"/>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ind w:firstLine="630" w:firstLineChars="300"/>
      </w:pPr>
    </w:p>
    <w:p>
      <w:pPr>
        <w:pStyle w:val="24"/>
        <w:rPr>
          <w:rFonts w:hint="eastAsia"/>
        </w:rPr>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2179" w:type="dxa"/>
            <w:vAlign w:val="center"/>
          </w:tcPr>
          <w:p>
            <w:r>
              <w:t>Q:29.12.00</w:t>
            </w:r>
          </w:p>
          <w:p>
            <w:r>
              <w:t>E:29.12.00</w:t>
            </w:r>
          </w:p>
          <w:p>
            <w:pPr>
              <w:rPr>
                <w:rFonts w:ascii="Times New Roman" w:hAnsi="Times New Roman" w:eastAsia="宋体" w:cs="Times New Roman"/>
                <w:kern w:val="2"/>
                <w:sz w:val="21"/>
                <w:szCs w:val="24"/>
                <w:lang w:val="en-US" w:eastAsia="zh-CN" w:bidi="ar-SA"/>
              </w:rPr>
            </w:pPr>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无变更</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13"/>
      </w:pPr>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w:t>
      </w:r>
      <w:r>
        <w:rPr>
          <w:rFonts w:hint="eastAsia"/>
          <w:lang w:eastAsia="zh-CN"/>
        </w:rPr>
        <w:t>□</w:t>
      </w:r>
      <w:r>
        <w:rPr>
          <w:rFonts w:hint="eastAsia"/>
        </w:rPr>
        <w:t>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1" w:name="Q勾选Add2"/>
            <w:r>
              <w:rPr>
                <w:rFonts w:hint="eastAsia"/>
              </w:rPr>
              <w:t>■</w:t>
            </w:r>
            <w:bookmarkEnd w:id="2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E勾选Add2"/>
            <w:r>
              <w:rPr>
                <w:rFonts w:hint="eastAsia"/>
              </w:rPr>
              <w:t>■</w:t>
            </w:r>
            <w:bookmarkEnd w:id="2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S勾选Add2"/>
            <w:r>
              <w:rPr>
                <w:rFonts w:hint="eastAsia"/>
              </w:rPr>
              <w:t>■</w:t>
            </w:r>
            <w:bookmarkEnd w:id="2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电力设施器材、数字视频监控系统、机械电气设备、电工仪器仪表的销售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t>电力设施器材、数字视频监控系统、机械电气设备、电工仪器仪表的销售所涉及场所的相关环境管理活动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t>电力设施器材、数字视频监控系统、机械电气设备、电工仪器仪表的销售所涉及场所的相关职业健康安全管理活动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default"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2022年11月30日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pPr>
        <w:rPr>
          <w:rFonts w:hint="eastAsia"/>
        </w:rPr>
      </w:pP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质量方针：客户第一、服务至上</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环境方针：环保、高效、节能、减排</w:t>
            </w:r>
          </w:p>
          <w:p>
            <w:pPr>
              <w:keepNext w:val="0"/>
              <w:keepLines w:val="0"/>
              <w:pageBreakBefore w:val="0"/>
              <w:widowControl w:val="0"/>
              <w:numPr>
                <w:ilvl w:val="0"/>
                <w:numId w:val="0"/>
              </w:numPr>
              <w:kinsoku/>
              <w:wordWrap/>
              <w:overflowPunct/>
              <w:topLinePunct w:val="0"/>
              <w:autoSpaceDE/>
              <w:autoSpaceDN/>
              <w:bidi w:val="0"/>
              <w:snapToGrid w:val="0"/>
              <w:spacing w:after="0" w:line="300" w:lineRule="exact"/>
              <w:ind w:leftChars="0"/>
              <w:jc w:val="left"/>
              <w:textAlignment w:val="auto"/>
              <w:rPr>
                <w:rFonts w:hint="eastAsia"/>
                <w:lang w:val="en-US" w:eastAsia="zh-CN"/>
              </w:rPr>
            </w:pPr>
            <w:r>
              <w:rPr>
                <w:rFonts w:hint="eastAsia"/>
                <w:lang w:val="en-US" w:eastAsia="zh-CN"/>
              </w:rPr>
              <w:t>职业健康安全方针：预防为主、安全第一</w:t>
            </w:r>
          </w:p>
          <w:p>
            <w:pPr>
              <w:pStyle w:val="1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供销部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33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tcPr>
                <w:p>
                  <w:pPr>
                    <w:shd w:val="clear" w:color="auto" w:fill="C7DAF1" w:themeFill="text2" w:themeFillTint="32"/>
                  </w:pPr>
                  <w:r>
                    <w:rPr>
                      <w:rFonts w:hint="eastAsia"/>
                    </w:rPr>
                    <w:t>主要的风险或机遇描述</w:t>
                  </w:r>
                </w:p>
              </w:tc>
              <w:tc>
                <w:tcPr>
                  <w:tcW w:w="3306"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306"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风险：所采购产品市场不稳定，希望签订的年度合同和保底价格，带来的采购和资金风险机遇：所采购产品可能会降价</w:t>
                  </w:r>
                </w:p>
              </w:tc>
              <w:tc>
                <w:tcPr>
                  <w:tcW w:w="3306"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28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87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shd w:val="clear" w:color="auto" w:fill="C7DAF1" w:themeFill="text2" w:themeFillTint="32"/>
                  </w:pPr>
                  <w:r>
                    <w:rPr>
                      <w:rFonts w:hint="eastAsia" w:ascii="Times New Roman" w:hAnsi="Times New Roman" w:cs="Times New Roman"/>
                    </w:rPr>
                    <w:t>顾客满意度</w:t>
                  </w:r>
                  <w:r>
                    <w:rPr>
                      <w:rFonts w:hint="eastAsia" w:ascii="Times New Roman" w:hAnsi="Times New Roman" w:cs="Times New Roman"/>
                      <w:lang w:val="en-US" w:eastAsia="zh-CN"/>
                    </w:rPr>
                    <w:t>80</w:t>
                  </w:r>
                  <w:r>
                    <w:rPr>
                      <w:rFonts w:hint="eastAsia" w:ascii="Times New Roman" w:hAnsi="Times New Roman" w:cs="Times New Roman"/>
                    </w:rPr>
                    <w:t>%，并逐年提高</w:t>
                  </w:r>
                </w:p>
              </w:tc>
              <w:tc>
                <w:tcPr>
                  <w:tcW w:w="2873"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98.5</w:t>
                  </w:r>
                  <w:r>
                    <w:rPr>
                      <w:rFonts w:hint="eastAsia" w:ascii="宋体" w:hAnsi="宋体"/>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shd w:val="clear" w:color="auto" w:fill="auto"/>
                </w:tcPr>
                <w:p>
                  <w:pPr>
                    <w:widowControl/>
                    <w:spacing w:before="40"/>
                    <w:jc w:val="left"/>
                  </w:pPr>
                  <w:r>
                    <w:rPr>
                      <w:rFonts w:hint="eastAsia" w:ascii="Times New Roman" w:hAnsi="Times New Roman" w:cs="Times New Roman"/>
                    </w:rPr>
                    <w:t>产品销售服务交货及时率</w:t>
                  </w:r>
                  <w:r>
                    <w:rPr>
                      <w:rFonts w:hint="eastAsia" w:ascii="Times New Roman" w:hAnsi="Times New Roman" w:cs="Times New Roman"/>
                      <w:lang w:val="en-US" w:eastAsia="zh-CN"/>
                    </w:rPr>
                    <w:t>90</w:t>
                  </w:r>
                  <w:r>
                    <w:rPr>
                      <w:rFonts w:hint="eastAsia" w:ascii="Times New Roman" w:hAnsi="Times New Roman" w:cs="Times New Roman"/>
                    </w:rPr>
                    <w:t>%</w:t>
                  </w:r>
                </w:p>
              </w:tc>
              <w:tc>
                <w:tcPr>
                  <w:tcW w:w="2873"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按时交货数量/应交货数量</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供销部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100</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360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lang w:val="en-US" w:eastAsia="zh-CN"/>
              </w:rPr>
              <w:t>办公桌椅，电脑，打印机</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lang w:eastAsia="zh-CN"/>
              </w:rPr>
              <w:t>☑</w:t>
            </w: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未对产品运输外包方进行评价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9"/>
              <w:gridCol w:w="16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9" w:type="dxa"/>
                </w:tcPr>
                <w:p>
                  <w:pPr>
                    <w:shd w:val="clear" w:color="auto" w:fill="C7DAF1" w:themeFill="text2" w:themeFillTint="32"/>
                    <w:jc w:val="left"/>
                  </w:pPr>
                  <w:r>
                    <w:rPr>
                      <w:rFonts w:hint="eastAsia"/>
                    </w:rPr>
                    <w:t>产品/服务名称</w:t>
                  </w:r>
                </w:p>
              </w:tc>
              <w:tc>
                <w:tcPr>
                  <w:tcW w:w="165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9" w:type="dxa"/>
                </w:tcPr>
                <w:p>
                  <w:pPr>
                    <w:shd w:val="clear" w:color="auto" w:fill="C7DAF1" w:themeFill="text2" w:themeFillTint="32"/>
                    <w:jc w:val="left"/>
                  </w:pPr>
                  <w:r>
                    <w:rPr>
                      <w:rFonts w:hint="eastAsia"/>
                      <w:sz w:val="20"/>
                      <w:lang w:val="en-US" w:eastAsia="zh-CN"/>
                    </w:rPr>
                    <w:t>产品的</w:t>
                  </w:r>
                  <w:r>
                    <w:rPr>
                      <w:rFonts w:hint="eastAsia"/>
                      <w:sz w:val="20"/>
                    </w:rPr>
                    <w:t>销售</w:t>
                  </w:r>
                </w:p>
              </w:tc>
              <w:tc>
                <w:tcPr>
                  <w:tcW w:w="1658"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olor w:val="000000"/>
                      <w:sz w:val="20"/>
                      <w:szCs w:val="20"/>
                      <w:u w:val="single"/>
                      <w:lang w:val="en-US" w:eastAsia="zh-CN"/>
                    </w:rPr>
                    <w:t>销售</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single"/>
                      <w:lang w:val="en-US" w:eastAsia="zh-CN"/>
                    </w:rPr>
                    <w:t>订单执行时间、需求数量、规格</w:t>
                  </w:r>
                </w:p>
              </w:tc>
            </w:tr>
          </w:tbl>
          <w:p>
            <w:pPr>
              <w:shd w:val="clear" w:color="auto" w:fill="C7DAF1" w:themeFill="text2" w:themeFillTint="32"/>
              <w:jc w:val="left"/>
            </w:pPr>
            <w:r>
              <w:rPr>
                <w:rFonts w:hint="eastAsia"/>
              </w:rPr>
              <w:t>需要确认的过程：</w:t>
            </w:r>
            <w:r>
              <w:rPr>
                <w:rFonts w:hint="eastAsia"/>
                <w:lang w:val="en-US" w:eastAsia="zh-CN"/>
              </w:rPr>
              <w:t>销售</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10月25-26日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11月10日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widowControl/>
              <w:spacing w:before="40"/>
              <w:jc w:val="left"/>
              <w:rPr>
                <w:rFonts w:hint="eastAsia"/>
                <w:lang w:val="en-US" w:eastAsia="zh-CN"/>
              </w:rPr>
            </w:pPr>
            <w:r>
              <w:rPr>
                <w:rFonts w:hint="eastAsia"/>
                <w:lang w:val="en-US" w:eastAsia="zh-CN"/>
              </w:rPr>
              <w:t>质量方针：客户第一、服务至上</w:t>
            </w:r>
          </w:p>
          <w:p>
            <w:pPr>
              <w:widowControl/>
              <w:spacing w:before="40"/>
              <w:jc w:val="left"/>
              <w:rPr>
                <w:rFonts w:hint="eastAsia"/>
                <w:lang w:val="en-US" w:eastAsia="zh-CN"/>
              </w:rPr>
            </w:pPr>
            <w:r>
              <w:rPr>
                <w:rFonts w:hint="eastAsia"/>
                <w:lang w:val="en-US" w:eastAsia="zh-CN"/>
              </w:rPr>
              <w:t>环境方针：环保、高效、节能、减排</w:t>
            </w:r>
          </w:p>
          <w:p>
            <w:pPr>
              <w:widowControl/>
              <w:spacing w:before="40"/>
              <w:jc w:val="left"/>
              <w:rPr>
                <w:rFonts w:hint="eastAsia"/>
                <w:lang w:val="en-US" w:eastAsia="zh-CN"/>
              </w:rPr>
            </w:pPr>
            <w:r>
              <w:rPr>
                <w:rFonts w:hint="eastAsia"/>
                <w:lang w:val="en-US" w:eastAsia="zh-CN"/>
              </w:rPr>
              <w:t>职业健康安全方针：预防为主、安全第一</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316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6" w:type="dxa"/>
                </w:tcPr>
                <w:p>
                  <w:pPr>
                    <w:shd w:val="clear" w:color="auto" w:fill="EBF1DE" w:themeFill="accent3" w:themeFillTint="32"/>
                  </w:pPr>
                  <w:r>
                    <w:rPr>
                      <w:rFonts w:hint="eastAsia"/>
                    </w:rPr>
                    <w:t>主要的风险或机遇描述</w:t>
                  </w:r>
                </w:p>
              </w:tc>
              <w:tc>
                <w:tcPr>
                  <w:tcW w:w="3169"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sz w:val="18"/>
                      <w:szCs w:val="18"/>
                    </w:rPr>
                    <w:t>公司产品售后服务处理不好，顾客埋怨投诉较多，以及产品寿命结束后的回收处理问题</w:t>
                  </w:r>
                </w:p>
              </w:tc>
              <w:tc>
                <w:tcPr>
                  <w:tcW w:w="3169"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ascii="宋体" w:hAnsi="宋体" w:eastAsia="宋体" w:cs="宋体"/>
                      <w:b w:val="0"/>
                      <w:bCs w:val="0"/>
                      <w:kern w:val="0"/>
                      <w:sz w:val="18"/>
                      <w:szCs w:val="18"/>
                      <w:lang w:val="en-US" w:eastAsia="zh-CN" w:bidi="ar-SA"/>
                    </w:rPr>
                    <w:t>严格按照售后服务管理规定，做好客户服务工作</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w:t>
            </w:r>
            <w:r>
              <w:rPr>
                <w:rFonts w:hint="eastAsia"/>
                <w:lang w:eastAsia="zh-CN"/>
              </w:rPr>
              <w:t>☑</w:t>
            </w:r>
            <w:r>
              <w:rPr>
                <w:rFonts w:hint="eastAsia"/>
                <w:lang w:val="en-US" w:eastAsia="zh-CN"/>
              </w:rPr>
              <w:t>固</w:t>
            </w:r>
            <w:r>
              <w:rPr>
                <w:rFonts w:hint="eastAsia"/>
              </w:rPr>
              <w:t>废排放□噪声排放□危化品泄露□压力容器爆炸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固废物回收率达到</w:t>
                  </w:r>
                  <w:r>
                    <w:rPr>
                      <w:rFonts w:hint="eastAsia" w:cs="Times New Roman"/>
                      <w:sz w:val="18"/>
                      <w:szCs w:val="18"/>
                      <w:lang w:val="en-US" w:eastAsia="zh-CN"/>
                    </w:rPr>
                    <w:t>96</w:t>
                  </w:r>
                  <w:r>
                    <w:rPr>
                      <w:rFonts w:hint="eastAsia" w:ascii="Times New Roman" w:hAnsi="Times New Roman" w:eastAsia="宋体" w:cs="Times New Roman"/>
                      <w:sz w:val="18"/>
                      <w:szCs w:val="18"/>
                      <w:lang w:val="en-US" w:eastAsia="zh-CN"/>
                    </w:rPr>
                    <w:t>%以上</w:t>
                  </w:r>
                </w:p>
              </w:tc>
              <w:tc>
                <w:tcPr>
                  <w:tcW w:w="3136" w:type="dxa"/>
                  <w:shd w:val="clear" w:color="auto" w:fill="auto"/>
                  <w:vAlign w:val="center"/>
                </w:tcPr>
                <w:p>
                  <w:pPr>
                    <w:shd w:val="clear" w:color="auto" w:fill="EBF1DE" w:themeFill="accent3" w:themeFillTint="32"/>
                    <w:rPr>
                      <w:rFonts w:hint="default" w:ascii="Times New Roman" w:hAnsi="Times New Roman" w:eastAsia="宋体" w:cs="Times New Roman"/>
                      <w:kern w:val="2"/>
                      <w:sz w:val="18"/>
                      <w:szCs w:val="18"/>
                      <w:lang w:val="en-GB" w:eastAsia="zh-CN" w:bidi="ar-SA"/>
                    </w:rPr>
                  </w:pPr>
                  <w:r>
                    <w:rPr>
                      <w:rFonts w:hint="eastAsia" w:ascii="Times New Roman" w:hAnsi="Times New Roman" w:cs="Times New Roman"/>
                      <w:sz w:val="18"/>
                      <w:szCs w:val="18"/>
                      <w:lang w:val="en-US" w:eastAsia="zh-CN"/>
                    </w:rPr>
                    <w:t>对人员进行培训，办公场所设置</w:t>
                  </w:r>
                  <w:r>
                    <w:rPr>
                      <w:rFonts w:hint="eastAsia" w:cs="Times New Roman"/>
                      <w:sz w:val="18"/>
                      <w:szCs w:val="18"/>
                      <w:lang w:val="en-US" w:eastAsia="zh-CN"/>
                    </w:rPr>
                    <w:t>固废分类处置箱</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控制火灾发生率0%</w:t>
                  </w:r>
                </w:p>
                <w:p>
                  <w:pPr>
                    <w:shd w:val="clear" w:color="auto" w:fill="EBF1DE" w:themeFill="accent3" w:themeFillTint="32"/>
                    <w:rPr>
                      <w:rFonts w:hint="eastAsia" w:ascii="Times New Roman" w:hAnsi="Times New Roman" w:eastAsia="宋体" w:cs="Times New Roman"/>
                      <w:kern w:val="2"/>
                      <w:sz w:val="18"/>
                      <w:szCs w:val="18"/>
                      <w:lang w:val="en-US" w:eastAsia="zh-CN" w:bidi="ar-SA"/>
                    </w:rPr>
                  </w:pPr>
                </w:p>
              </w:tc>
              <w:tc>
                <w:tcPr>
                  <w:tcW w:w="3136"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消防设备按照位置明显，易于使用。在特殊地区严禁烟火和张贴防火标示。定期对安防设备进行检测和演练。加强防火意识和防火设备使用培训</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供销部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360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lang w:val="en-US" w:eastAsia="zh-CN"/>
              </w:rPr>
              <w:t>办公桌椅，电脑，打印机</w:t>
            </w:r>
          </w:p>
          <w:p>
            <w:pPr>
              <w:shd w:val="clear" w:color="auto" w:fill="EBF1DE" w:themeFill="accent3" w:themeFillTint="32"/>
              <w:rPr>
                <w:rFonts w:hint="eastAsia" w:eastAsia="宋体"/>
                <w:u w:val="single"/>
                <w:lang w:eastAsia="zh-CN"/>
              </w:rPr>
            </w:pPr>
            <w:r>
              <w:rPr>
                <w:rFonts w:hint="eastAsia"/>
              </w:rPr>
              <w:t>主要环保设备有：</w:t>
            </w:r>
            <w:r>
              <w:rPr>
                <w:rFonts w:hint="eastAsia"/>
                <w:u w:val="single"/>
                <w:lang w:val="en-US" w:eastAsia="zh-CN"/>
              </w:rPr>
              <w:t>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w:t>
            </w:r>
            <w:r>
              <w:rPr>
                <w:rFonts w:hint="eastAsia"/>
                <w:lang w:eastAsia="zh-CN"/>
              </w:rPr>
              <w:t>□</w:t>
            </w:r>
            <w:r>
              <w:rPr>
                <w:rFonts w:hint="eastAsia"/>
              </w:rPr>
              <w:t>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hint="default" w:eastAsia="宋体"/>
                <w:lang w:val="en-US" w:eastAsia="zh-CN"/>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车间未配置灭火器等消防设施。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23</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10月25-26日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11月10日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widowControl/>
              <w:spacing w:before="40"/>
              <w:jc w:val="left"/>
              <w:rPr>
                <w:rFonts w:hint="eastAsia"/>
                <w:lang w:val="en-US" w:eastAsia="zh-CN"/>
              </w:rPr>
            </w:pPr>
            <w:r>
              <w:rPr>
                <w:rFonts w:hint="eastAsia"/>
                <w:lang w:val="en-US" w:eastAsia="zh-CN"/>
              </w:rPr>
              <w:t>质量方针：客户第一、服务至上</w:t>
            </w:r>
          </w:p>
          <w:p>
            <w:pPr>
              <w:widowControl/>
              <w:spacing w:before="40"/>
              <w:jc w:val="left"/>
              <w:rPr>
                <w:rFonts w:hint="eastAsia"/>
                <w:lang w:val="en-US" w:eastAsia="zh-CN"/>
              </w:rPr>
            </w:pPr>
            <w:r>
              <w:rPr>
                <w:rFonts w:hint="eastAsia"/>
                <w:lang w:val="en-US" w:eastAsia="zh-CN"/>
              </w:rPr>
              <w:t>环境方针：环保、高效、节能、减排</w:t>
            </w:r>
          </w:p>
          <w:p>
            <w:pPr>
              <w:widowControl/>
              <w:spacing w:before="40"/>
              <w:jc w:val="left"/>
              <w:rPr>
                <w:rFonts w:hint="eastAsia"/>
                <w:lang w:val="en-US" w:eastAsia="zh-CN"/>
              </w:rPr>
            </w:pPr>
            <w:r>
              <w:rPr>
                <w:rFonts w:hint="eastAsia"/>
                <w:lang w:val="en-US" w:eastAsia="zh-CN"/>
              </w:rPr>
              <w:t>职业健康安全方针：预防为主、安全第一</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cs="Times New Roman"/>
                <w:b w:val="0"/>
                <w:bCs/>
                <w:sz w:val="21"/>
                <w:szCs w:val="21"/>
                <w:lang w:val="en-US" w:eastAsia="zh-CN"/>
              </w:rPr>
              <w:t>宋宗奚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427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6" w:type="dxa"/>
                </w:tcPr>
                <w:p>
                  <w:r>
                    <w:rPr>
                      <w:rFonts w:hint="eastAsia"/>
                    </w:rPr>
                    <w:t>主要的风险或机遇描述</w:t>
                  </w:r>
                </w:p>
              </w:tc>
              <w:tc>
                <w:tcPr>
                  <w:tcW w:w="4279"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疫情爆发带来的不安定</w:t>
                  </w:r>
                </w:p>
              </w:tc>
              <w:tc>
                <w:tcPr>
                  <w:tcW w:w="4279"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交通事故、新冠疫情的发生</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工伤频率小于1‰</w:t>
                  </w:r>
                </w:p>
                <w:p>
                  <w:pPr>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无重伤及死亡事故</w:t>
                  </w:r>
                </w:p>
                <w:p>
                  <w:pP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2"/>
                      <w:highlight w:val="none"/>
                    </w:rPr>
                    <w:t>火灾发生率为零</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对人员进行培训，设置禁烟警示标识；及时更换失效的消防器材；对火灾进行应急预案演练等</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办公室、供销部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360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rFonts w:hint="eastAsia"/>
                <w:lang w:val="en-US" w:eastAsia="zh-CN"/>
              </w:rPr>
            </w:pPr>
            <w:r>
              <w:rPr>
                <w:rFonts w:hint="eastAsia"/>
              </w:rPr>
              <w:t>主要生产设备有：</w:t>
            </w:r>
            <w:r>
              <w:rPr>
                <w:rFonts w:hint="eastAsia"/>
                <w:lang w:val="en-US" w:eastAsia="zh-CN"/>
              </w:rPr>
              <w:t>办公桌椅，电脑，打印机</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w:t>
            </w:r>
            <w:r>
              <w:rPr>
                <w:rFonts w:hint="eastAsia"/>
                <w:lang w:eastAsia="zh-CN"/>
              </w:rPr>
              <w:t>□</w:t>
            </w:r>
            <w:r>
              <w:rPr>
                <w:rFonts w:hint="eastAsia"/>
              </w:rPr>
              <w:t>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未对外包方施加影响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触电</w:t>
                  </w:r>
                </w:p>
              </w:tc>
              <w:tc>
                <w:tcPr>
                  <w:tcW w:w="472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w:t>
                  </w:r>
                  <w:r>
                    <w:rPr>
                      <w:rFonts w:hint="eastAsia"/>
                    </w:rPr>
                    <w:t>漏电保护□绝缘用具检测</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交通事故</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eastAsia="zh-CN"/>
                    </w:rPr>
                    <w:t>☑</w:t>
                  </w:r>
                  <w:r>
                    <w:rPr>
                      <w:rFonts w:hint="eastAsia"/>
                    </w:rPr>
                    <w:t>定期</w:t>
                  </w:r>
                  <w:r>
                    <w:rPr>
                      <w:rFonts w:hint="eastAsia"/>
                      <w:lang w:val="en-US" w:eastAsia="zh-CN"/>
                    </w:rPr>
                    <w:t>对车辆</w:t>
                  </w:r>
                  <w:r>
                    <w:rPr>
                      <w:rFonts w:hint="eastAsia"/>
                    </w:rPr>
                    <w:t>检测</w:t>
                  </w:r>
                  <w:r>
                    <w:rPr>
                      <w:rFonts w:hint="eastAsia"/>
                      <w:lang w:eastAsia="zh-CN"/>
                    </w:rPr>
                    <w:t>☑</w:t>
                  </w:r>
                  <w:r>
                    <w:rPr>
                      <w:rFonts w:hint="eastAsia"/>
                      <w:lang w:val="en-US" w:eastAsia="zh-CN"/>
                    </w:rPr>
                    <w:t>对人员培训</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新冠疫情发生</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lang w:val="en-US" w:eastAsia="zh-CN"/>
                    </w:rPr>
                    <w:t>防护用品</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rPr>
                      <w:rFonts w:ascii="Times New Roman" w:hAnsi="Times New Roman" w:eastAsia="宋体" w:cs="Times New Roman"/>
                      <w:kern w:val="2"/>
                      <w:sz w:val="21"/>
                      <w:szCs w:val="24"/>
                      <w:lang w:val="en-US" w:eastAsia="zh-CN" w:bidi="ar-SA"/>
                    </w:rPr>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配置灭火器，对员工进行培训，进行消防演练</w:t>
                  </w:r>
                </w:p>
              </w:tc>
              <w:tc>
                <w:tcPr>
                  <w:tcW w:w="220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r>
              <w:rPr>
                <w:rFonts w:hint="eastAsia"/>
                <w:lang w:eastAsia="zh-CN"/>
              </w:rPr>
              <w:t>（</w:t>
            </w:r>
            <w:r>
              <w:rPr>
                <w:rFonts w:hint="eastAsia"/>
                <w:lang w:val="en-US" w:eastAsia="zh-CN"/>
              </w:rPr>
              <w:t>交通事故、新冠疫情爆发</w:t>
            </w:r>
            <w:r>
              <w:rPr>
                <w:rFonts w:hint="eastAsia"/>
                <w:lang w:eastAsia="zh-CN"/>
              </w:rPr>
              <w:t>）</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日进行了</w:t>
            </w:r>
            <w:r>
              <w:rPr>
                <w:rFonts w:hint="eastAsia"/>
                <w:lang w:val="en-US" w:eastAsia="zh-CN"/>
              </w:rPr>
              <w:t>火灾事故</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hint="default" w:eastAsia="宋体"/>
                <w:lang w:val="en-US" w:eastAsia="zh-CN"/>
              </w:rPr>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23</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10月25-26日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11月10日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bookmarkStart w:id="24" w:name="_GoBack"/>
      <w:bookmarkEnd w:id="2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5"/>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0F44881"/>
    <w:rsid w:val="325D358E"/>
    <w:rsid w:val="3A706705"/>
    <w:rsid w:val="4B4F167B"/>
    <w:rsid w:val="4CDF2566"/>
    <w:rsid w:val="5256349A"/>
    <w:rsid w:val="59616525"/>
    <w:rsid w:val="6FE60AAE"/>
    <w:rsid w:val="77E26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无间隔1"/>
    <w:qFormat/>
    <w:uiPriority w:val="0"/>
    <w:rPr>
      <w:rFonts w:ascii="Times New Roman" w:hAnsi="Times New Roman" w:eastAsia="宋体" w:cs="Times New Roman"/>
      <w:sz w:val="22"/>
      <w:szCs w:val="22"/>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0"/>
    <w:link w:val="5"/>
    <w:qFormat/>
    <w:uiPriority w:val="99"/>
    <w:rPr>
      <w:rFonts w:ascii="Times New Roman" w:hAnsi="Times New Roman" w:eastAsia="宋体" w:cs="Times New Roman"/>
      <w:sz w:val="18"/>
      <w:szCs w:val="18"/>
    </w:rPr>
  </w:style>
  <w:style w:type="character" w:customStyle="1" w:styleId="16">
    <w:name w:val="页脚 Char"/>
    <w:basedOn w:val="10"/>
    <w:link w:val="4"/>
    <w:qFormat/>
    <w:uiPriority w:val="99"/>
    <w:rPr>
      <w:rFonts w:ascii="Times New Roman" w:hAnsi="Times New Roman" w:eastAsia="宋体" w:cs="Times New Roman"/>
      <w:sz w:val="18"/>
      <w:szCs w:val="18"/>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2022-12-01T10:13:50Z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