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9"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-518160</wp:posOffset>
            </wp:positionH>
            <wp:positionV relativeFrom="paragraph">
              <wp:posOffset>-1687830</wp:posOffset>
            </wp:positionV>
            <wp:extent cx="7965440" cy="11266805"/>
            <wp:effectExtent l="0" t="0" r="10160" b="10795"/>
            <wp:wrapNone/>
            <wp:docPr id="2" name="图片 2" descr="28号审核计划表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8号审核计划表_02"/>
                    <pic:cNvPicPr>
                      <a:picLocks noChangeAspect="1"/>
                    </pic:cNvPicPr>
                  </pic:nvPicPr>
                  <pic:blipFill>
                    <a:blip r:embed="rId6"/>
                    <a:stretch>
                      <a:fillRect/>
                    </a:stretch>
                  </pic:blipFill>
                  <pic:spPr>
                    <a:xfrm>
                      <a:off x="0" y="0"/>
                      <a:ext cx="7965440" cy="11266805"/>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江西智云电气有限公司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p>
          <w:p>
            <w:pPr>
              <w:rPr>
                <w:sz w:val="22"/>
                <w:szCs w:val="22"/>
              </w:rPr>
            </w:pPr>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1303-2022-QEO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2022.11.28</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33304D6"/>
    <w:rsid w:val="5E645824"/>
    <w:rsid w:val="7EEF3F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2022-11-29T07:57:40Z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2052-11.1.0.12598</vt:lpwstr>
  </property>
</Properties>
</file>