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1254-2022-EnMS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福州联华林德气体有限公司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福州联华林德气体有限公司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福建省福州市福清市音西街道福俱路100号（经营场所：福州市福清市融侨开发区光电园二期）</w:t>
            </w:r>
            <w:bookmarkEnd w:id="6"/>
          </w:p>
        </w:tc>
        <w:tc>
          <w:tcPr>
            <w:tcW w:w="1242" w:type="dxa"/>
            <w:vMerge w:val="restart"/>
            <w:vAlign w:val="center"/>
          </w:tcPr>
          <w:p>
            <w:r>
              <w:rPr>
                <w:rFonts w:hint="eastAsia"/>
              </w:rPr>
              <w:t>邮编</w:t>
            </w:r>
          </w:p>
        </w:tc>
        <w:tc>
          <w:tcPr>
            <w:tcW w:w="1771" w:type="dxa"/>
          </w:tcPr>
          <w:p>
            <w:bookmarkStart w:id="7" w:name="注册邮编"/>
            <w:r>
              <w:t>350399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福建省福州市福清市音西街道福俱路100号</w:t>
            </w:r>
            <w:bookmarkEnd w:id="8"/>
          </w:p>
        </w:tc>
        <w:tc>
          <w:tcPr>
            <w:tcW w:w="1242" w:type="dxa"/>
            <w:vMerge w:val="continue"/>
            <w:vAlign w:val="center"/>
          </w:tcPr>
          <w:p/>
        </w:tc>
        <w:tc>
          <w:tcPr>
            <w:tcW w:w="1771" w:type="dxa"/>
          </w:tcPr>
          <w:p>
            <w:bookmarkStart w:id="9" w:name="办公邮编"/>
            <w:r>
              <w:t>350399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陈安然</w:t>
            </w:r>
            <w:bookmarkEnd w:id="10"/>
          </w:p>
        </w:tc>
        <w:tc>
          <w:tcPr>
            <w:tcW w:w="1313" w:type="dxa"/>
            <w:vAlign w:val="center"/>
          </w:tcPr>
          <w:p>
            <w:r>
              <w:rPr>
                <w:rFonts w:hint="eastAsia"/>
              </w:rPr>
              <w:t>电话.</w:t>
            </w:r>
          </w:p>
        </w:tc>
        <w:tc>
          <w:tcPr>
            <w:tcW w:w="2180" w:type="dxa"/>
            <w:vAlign w:val="center"/>
          </w:tcPr>
          <w:p>
            <w:bookmarkStart w:id="11" w:name="联系人电话"/>
            <w:r>
              <w:t>15659105859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唐静洲</w:t>
            </w:r>
            <w:bookmarkEnd w:id="13"/>
          </w:p>
        </w:tc>
        <w:tc>
          <w:tcPr>
            <w:tcW w:w="1313" w:type="dxa"/>
            <w:vAlign w:val="center"/>
          </w:tcPr>
          <w:p>
            <w:r>
              <w:rPr>
                <w:rFonts w:hint="eastAsia"/>
              </w:rPr>
              <w:t>管理者代表</w:t>
            </w:r>
          </w:p>
        </w:tc>
        <w:tc>
          <w:tcPr>
            <w:tcW w:w="2180" w:type="dxa"/>
          </w:tcPr>
          <w:p>
            <w:bookmarkStart w:id="14" w:name="管理者代表"/>
            <w:r>
              <w:t>聂东桥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shd w:val="clear"/>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none"/>
                <w:lang w:val="en-US" w:eastAsia="zh-CN"/>
              </w:rPr>
              <w:t>没有对</w:t>
            </w:r>
            <w:r>
              <w:rPr>
                <w:rFonts w:hint="eastAsia"/>
                <w:highlight w:val="none"/>
              </w:rPr>
              <w:t>所有班次</w:t>
            </w:r>
            <w:r>
              <w:rPr>
                <w:rFonts w:hint="eastAsia"/>
                <w:highlight w:val="none"/>
                <w:lang w:val="en-US" w:eastAsia="zh-CN"/>
              </w:rPr>
              <w:t>进行</w:t>
            </w:r>
            <w:r>
              <w:rPr>
                <w:rFonts w:hint="eastAsia"/>
                <w:highlight w:val="none"/>
              </w:rPr>
              <w:t>审核，</w:t>
            </w:r>
            <w:r>
              <w:rPr>
                <w:rFonts w:hint="eastAsia"/>
                <w:highlight w:val="none"/>
                <w:lang w:val="en-US" w:eastAsia="zh-CN"/>
              </w:rPr>
              <w:t>但是审核所有班次的交接班记录</w:t>
            </w:r>
            <w:r>
              <w:rPr>
                <w:rFonts w:hint="eastAsia"/>
                <w:highlight w:val="none"/>
                <w:lang w:eastAsia="zh-CN"/>
              </w:rPr>
              <w:t>，</w:t>
            </w:r>
            <w:r>
              <w:rPr>
                <w:rFonts w:hint="eastAsia"/>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510280" cy="38798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10280" cy="3879850"/>
                          </a:xfrm>
                          <a:prstGeom prst="rect">
                            <a:avLst/>
                          </a:prstGeom>
                          <a:noFill/>
                          <a:ln>
                            <a:noFill/>
                          </a:ln>
                        </pic:spPr>
                      </pic:pic>
                    </a:graphicData>
                  </a:graphic>
                </wp:inline>
              </w:drawing>
            </w:r>
          </w:p>
          <w:p>
            <w:pPr>
              <w:pStyle w:val="14"/>
            </w:pPr>
            <w:r>
              <w:drawing>
                <wp:inline distT="0" distB="0" distL="114300" distR="114300">
                  <wp:extent cx="3568065" cy="13652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568065" cy="1365250"/>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2022年12月05日 上午至2022年12月05日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RB/T</w:t>
            </w:r>
            <w:r>
              <w:rPr>
                <w:rFonts w:hint="eastAsia"/>
                <w:lang w:val="en-US" w:eastAsia="zh-CN"/>
              </w:rPr>
              <w:t>114-2014</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sz w:val="21"/>
                <w:szCs w:val="21"/>
                <w:highlight w:val="none"/>
              </w:rPr>
              <w:t>位于福建省福州市福清市音西街道福俱路100号的福州联华林德气体有限公司氮气和液氮的生产以及大宗气体(氧气、氩气、二氧化碳及氢气)的客户供应所涉及生产系统、附属生产系统</w:t>
            </w:r>
            <w:r>
              <w:rPr>
                <w:rFonts w:hint="eastAsia"/>
                <w:sz w:val="21"/>
                <w:szCs w:val="21"/>
                <w:highlight w:val="none"/>
                <w:lang w:val="en-US" w:eastAsia="zh-CN"/>
              </w:rPr>
              <w:t>的</w:t>
            </w:r>
            <w:r>
              <w:rPr>
                <w:sz w:val="21"/>
                <w:szCs w:val="21"/>
                <w:highlight w:val="none"/>
              </w:rPr>
              <w:t>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pPr>
              <w:rPr>
                <w:strike/>
                <w:dstrike w:val="0"/>
              </w:rPr>
            </w:pPr>
            <w:r>
              <w:rPr>
                <w:rFonts w:hint="eastAsia"/>
                <w:strike/>
                <w:dstrike w:val="0"/>
              </w:rPr>
              <w:t>管理体系运行已超过3个月</w:t>
            </w:r>
          </w:p>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36"/>
        <w:gridCol w:w="1610"/>
        <w:gridCol w:w="920"/>
        <w:gridCol w:w="2880"/>
        <w:gridCol w:w="12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36" w:type="dxa"/>
            <w:shd w:val="clear" w:color="auto" w:fill="F3F3F3"/>
            <w:tcMar>
              <w:left w:w="57" w:type="dxa"/>
              <w:right w:w="57" w:type="dxa"/>
            </w:tcMar>
          </w:tcPr>
          <w:p>
            <w:r>
              <w:rPr>
                <w:rFonts w:hint="eastAsia"/>
              </w:rPr>
              <w:t>组织名称及注册场所地址</w:t>
            </w:r>
          </w:p>
        </w:tc>
        <w:tc>
          <w:tcPr>
            <w:tcW w:w="1610" w:type="dxa"/>
            <w:shd w:val="clear" w:color="auto" w:fill="F3F3F3"/>
            <w:tcMar>
              <w:left w:w="57" w:type="dxa"/>
              <w:right w:w="57" w:type="dxa"/>
            </w:tcMar>
          </w:tcPr>
          <w:p>
            <w:r>
              <w:rPr>
                <w:rFonts w:hint="eastAsia"/>
              </w:rPr>
              <w:t>经营场所的地址</w:t>
            </w:r>
          </w:p>
          <w:p>
            <w:r>
              <w:rPr>
                <w:rFonts w:hint="eastAsia"/>
              </w:rPr>
              <w:t>（多现场和临时现场）</w:t>
            </w:r>
          </w:p>
        </w:tc>
        <w:tc>
          <w:tcPr>
            <w:tcW w:w="920" w:type="dxa"/>
            <w:shd w:val="clear" w:color="auto" w:fill="F3F3F3"/>
            <w:tcMar>
              <w:left w:w="57" w:type="dxa"/>
              <w:right w:w="57" w:type="dxa"/>
            </w:tcMar>
          </w:tcPr>
          <w:p>
            <w:r>
              <w:rPr>
                <w:rFonts w:hint="eastAsia"/>
              </w:rPr>
              <w:t>员工人数</w:t>
            </w:r>
          </w:p>
        </w:tc>
        <w:tc>
          <w:tcPr>
            <w:tcW w:w="288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2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3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福州联华林德气体有限公司</w:t>
            </w:r>
            <w:r>
              <w:rPr>
                <w:rFonts w:hint="eastAsia"/>
                <w:sz w:val="21"/>
                <w:szCs w:val="21"/>
                <w:lang w:val="en-US" w:eastAsia="zh-CN"/>
              </w:rPr>
              <w:t>/</w:t>
            </w:r>
            <w:r>
              <w:rPr>
                <w:sz w:val="21"/>
                <w:szCs w:val="21"/>
              </w:rPr>
              <w:t>福建省福州市福清市音西街道福俱路100号（经营场所：福州市福清市融侨开发区光电园二期）</w:t>
            </w:r>
          </w:p>
        </w:tc>
        <w:tc>
          <w:tcPr>
            <w:tcW w:w="1610"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福建省福州市福清市音西街道福俱路100号（经营场所：福州市福清市融侨开发区光电园二期）</w:t>
            </w:r>
          </w:p>
        </w:tc>
        <w:tc>
          <w:tcPr>
            <w:tcW w:w="92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ascii="Times New Roman" w:hAnsi="Times New Roman" w:eastAsia="宋体" w:cs="Times New Roman"/>
                <w:sz w:val="21"/>
                <w:szCs w:val="21"/>
                <w:lang w:val="en-US" w:eastAsia="zh-CN"/>
              </w:rPr>
              <w:t>总人数17人（能源覆盖10人）</w:t>
            </w:r>
          </w:p>
        </w:tc>
        <w:tc>
          <w:tcPr>
            <w:tcW w:w="2880" w:type="dxa"/>
            <w:vAlign w:val="center"/>
          </w:tcPr>
          <w:p>
            <w:pPr>
              <w:pStyle w:val="23"/>
              <w:rPr>
                <w:rFonts w:ascii="Times New Roman" w:hAnsi="Times New Roman" w:eastAsia="黑体" w:cs="Arial"/>
                <w:kern w:val="2"/>
                <w:sz w:val="21"/>
                <w:szCs w:val="21"/>
                <w:lang w:val="en-US" w:eastAsia="ja-JP" w:bidi="ar-SA"/>
              </w:rPr>
            </w:pPr>
            <w:r>
              <w:rPr>
                <w:sz w:val="21"/>
                <w:szCs w:val="21"/>
                <w:highlight w:val="none"/>
              </w:rPr>
              <w:t>位于福建省福州市福清市音西街道福俱路100号的福州联华林德气体有限公司的氮气和液氮的生产以及大宗气体(氧气、氩气、二氧化碳及氢气)的客户供应的生产及相关管理活动生产系统、附属生产系统所涉及的能源管理活动。</w:t>
            </w:r>
          </w:p>
        </w:tc>
        <w:tc>
          <w:tcPr>
            <w:tcW w:w="1231" w:type="dxa"/>
            <w:vAlign w:val="center"/>
          </w:tcPr>
          <w:p>
            <w:pPr>
              <w:spacing w:before="40" w:after="40"/>
              <w:rPr>
                <w:rFonts w:hint="eastAsia"/>
                <w:lang w:val="en-US" w:eastAsia="zh-CN"/>
              </w:rPr>
            </w:pPr>
            <w:r>
              <w:rPr>
                <w:rFonts w:hint="eastAsia"/>
                <w:lang w:val="en-US" w:eastAsia="zh-CN"/>
              </w:rPr>
              <w:t>GB/T23331-2020</w:t>
            </w:r>
          </w:p>
          <w:p>
            <w:pPr>
              <w:pStyle w:val="3"/>
              <w:rPr>
                <w:rFonts w:hint="default" w:ascii="Times New Roman" w:hAnsi="Times New Roman" w:eastAsia="宋体" w:cs="Times New Roman"/>
                <w:kern w:val="2"/>
                <w:sz w:val="21"/>
                <w:szCs w:val="24"/>
                <w:lang w:val="en-US" w:eastAsia="ja-JP" w:bidi="ar-SA"/>
              </w:rPr>
            </w:pPr>
            <w:r>
              <w:rPr>
                <w:rFonts w:hint="eastAsia" w:eastAsia="黑体"/>
                <w:szCs w:val="21"/>
                <w:lang w:val="en-US" w:eastAsia="zh-CN"/>
              </w:rPr>
              <w:t>RB/T114-2014</w:t>
            </w:r>
          </w:p>
        </w:tc>
        <w:tc>
          <w:tcPr>
            <w:tcW w:w="668" w:type="dxa"/>
            <w:shd w:val="clear" w:color="auto" w:fill="FFFFFF"/>
            <w:vAlign w:val="top"/>
          </w:tcPr>
          <w:sdt>
            <w:sdtPr>
              <w:rPr>
                <w:rFonts w:hint="eastAsia" w:ascii="宋体" w:hAnsi="宋体" w:eastAsia="宋体" w:cs="宋体"/>
                <w:szCs w:val="21"/>
              </w:rPr>
              <w:id w:val="271604670"/>
            </w:sdtPr>
            <w:sdtEndPr>
              <w:rPr>
                <w:rFonts w:hint="eastAsia" w:ascii="宋体" w:hAnsi="宋体" w:eastAsia="黑体" w:cs="宋体"/>
                <w:szCs w:val="21"/>
              </w:rPr>
            </w:sdtEndPr>
            <w:sdtContent>
              <w:p>
                <w:pPr>
                  <w:rPr>
                    <w:rFonts w:hint="eastAsia" w:ascii="宋体" w:hAnsi="宋体" w:eastAsia="黑体" w:cs="宋体"/>
                    <w:szCs w:val="21"/>
                  </w:rPr>
                </w:pPr>
                <w:r>
                  <w:rPr>
                    <w:rFonts w:eastAsia="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36" w:type="dxa"/>
            <w:vAlign w:val="center"/>
          </w:tcPr>
          <w:p>
            <w:pPr>
              <w:rPr>
                <w:lang w:eastAsia="ja-JP"/>
              </w:rPr>
            </w:pPr>
          </w:p>
        </w:tc>
        <w:tc>
          <w:tcPr>
            <w:tcW w:w="1610" w:type="dxa"/>
            <w:vAlign w:val="center"/>
          </w:tcPr>
          <w:p>
            <w:pPr>
              <w:rPr>
                <w:lang w:eastAsia="ja-JP"/>
              </w:rPr>
            </w:pPr>
          </w:p>
        </w:tc>
        <w:tc>
          <w:tcPr>
            <w:tcW w:w="920" w:type="dxa"/>
            <w:vAlign w:val="center"/>
          </w:tcPr>
          <w:p>
            <w:pPr>
              <w:rPr>
                <w:lang w:eastAsia="ja-JP"/>
              </w:rPr>
            </w:pPr>
          </w:p>
        </w:tc>
        <w:tc>
          <w:tcPr>
            <w:tcW w:w="2880" w:type="dxa"/>
            <w:vAlign w:val="center"/>
          </w:tcPr>
          <w:p>
            <w:pPr>
              <w:rPr>
                <w:lang w:eastAsia="ja-JP"/>
              </w:rPr>
            </w:pPr>
          </w:p>
        </w:tc>
        <w:tc>
          <w:tcPr>
            <w:tcW w:w="123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2022-N1EnMS-1024421</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76672" behindDoc="0" locked="0" layoutInCell="1" allowOverlap="1">
                  <wp:simplePos x="0" y="0"/>
                  <wp:positionH relativeFrom="column">
                    <wp:posOffset>620395</wp:posOffset>
                  </wp:positionH>
                  <wp:positionV relativeFrom="paragraph">
                    <wp:posOffset>-434975</wp:posOffset>
                  </wp:positionV>
                  <wp:extent cx="673100" cy="274955"/>
                  <wp:effectExtent l="0" t="0" r="0" b="3810"/>
                  <wp:wrapSquare wrapText="bothSides"/>
                  <wp:docPr id="14"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李丽英电子签"/>
                          <pic:cNvPicPr>
                            <a:picLocks noChangeAspect="1"/>
                          </pic:cNvPicPr>
                        </pic:nvPicPr>
                        <pic:blipFill>
                          <a:blip r:embed="rId8"/>
                          <a:stretch>
                            <a:fillRect/>
                          </a:stretch>
                        </pic:blipFill>
                        <pic:spPr>
                          <a:xfrm>
                            <a:off x="0" y="0"/>
                            <a:ext cx="673100" cy="2749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2022.12.5</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52"/>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rPr>
              <w:t>最高管理者制定了文件化的管理体系方针：</w:t>
            </w:r>
            <w:r>
              <w:rPr>
                <w:rFonts w:hint="eastAsia"/>
                <w:b/>
                <w:bCs/>
                <w:color w:val="000000"/>
                <w:szCs w:val="18"/>
                <w:highlight w:val="none"/>
              </w:rPr>
              <w:t>安全第一、预防为主、综合管理</w:t>
            </w:r>
            <w:r>
              <w:rPr>
                <w:rFonts w:hint="eastAsia"/>
                <w:b/>
                <w:bCs/>
                <w:color w:val="000000"/>
                <w:szCs w:val="18"/>
                <w:highlight w:val="none"/>
                <w:lang w:eastAsia="zh-CN"/>
              </w:rPr>
              <w:t>；</w:t>
            </w:r>
            <w:r>
              <w:rPr>
                <w:rFonts w:hint="eastAsia"/>
                <w:b/>
                <w:bCs/>
                <w:color w:val="000000"/>
                <w:szCs w:val="18"/>
                <w:highlight w:val="none"/>
              </w:rPr>
              <w:t>重视客户，满足客户期望的质量和可靠的产品服务</w:t>
            </w:r>
            <w:r>
              <w:rPr>
                <w:rFonts w:hint="eastAsia"/>
                <w:b/>
                <w:bCs/>
                <w:color w:val="000000"/>
                <w:szCs w:val="18"/>
                <w:highlight w:val="none"/>
                <w:lang w:eastAsia="zh-CN"/>
              </w:rPr>
              <w:t>；</w:t>
            </w:r>
            <w:r>
              <w:rPr>
                <w:rFonts w:hint="eastAsia"/>
                <w:b/>
                <w:bCs/>
                <w:color w:val="000000"/>
                <w:szCs w:val="18"/>
                <w:highlight w:val="none"/>
              </w:rPr>
              <w:t>持续改进，推动卓越运行，实现可持续发展</w:t>
            </w:r>
            <w:r>
              <w:rPr>
                <w:rFonts w:hint="eastAsia"/>
                <w:b/>
                <w:bCs/>
                <w:color w:val="000000"/>
                <w:szCs w:val="18"/>
                <w:highlight w:val="none"/>
                <w:lang w:eastAsia="zh-CN"/>
              </w:rPr>
              <w:t>；</w:t>
            </w:r>
            <w:r>
              <w:rPr>
                <w:rFonts w:hint="eastAsia"/>
                <w:b/>
                <w:bCs/>
                <w:color w:val="000000"/>
                <w:szCs w:val="18"/>
                <w:highlight w:val="none"/>
              </w:rPr>
              <w:t>遵守所有法律法规和内外部要求</w:t>
            </w:r>
            <w:r>
              <w:rPr>
                <w:rFonts w:hint="eastAsia"/>
                <w:b/>
                <w:bCs/>
                <w:color w:val="000000"/>
                <w:szCs w:val="18"/>
                <w:highlight w:val="none"/>
                <w:lang w:eastAsia="zh-CN"/>
              </w:rPr>
              <w:t>；</w:t>
            </w:r>
            <w:r>
              <w:rPr>
                <w:rFonts w:hint="eastAsia"/>
                <w:b/>
                <w:bCs/>
                <w:color w:val="000000"/>
                <w:szCs w:val="18"/>
                <w:highlight w:val="none"/>
              </w:rPr>
              <w:t>节约成本；提高能效，持续改进</w:t>
            </w:r>
            <w:r>
              <w:rPr>
                <w:rFonts w:hint="eastAsia"/>
                <w:b/>
                <w:bCs/>
                <w:color w:val="000000"/>
                <w:szCs w:val="18"/>
                <w:highlight w:val="none"/>
                <w:lang w:eastAsia="zh-CN"/>
              </w:rPr>
              <w:t>；</w:t>
            </w:r>
            <w:r>
              <w:rPr>
                <w:rFonts w:hint="eastAsia"/>
                <w:b/>
                <w:bCs/>
                <w:color w:val="000000"/>
                <w:szCs w:val="18"/>
                <w:highlight w:val="none"/>
              </w:rPr>
              <w:t>保持有效管理体系</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highlight w:val="none"/>
                <w:lang w:val="en-US" w:eastAsia="zh-CN"/>
              </w:rPr>
              <w:t>安全生产部</w:t>
            </w:r>
            <w:r>
              <w:rPr>
                <w:rFonts w:hint="eastAsia"/>
                <w:lang w:val="en-US" w:eastAsia="zh-CN"/>
              </w:rPr>
              <w:t xml:space="preserve"> </w:t>
            </w:r>
            <w:r>
              <w:rPr>
                <w:rFonts w:hint="eastAsia"/>
              </w:rPr>
              <w:sym w:font="Wingdings 2" w:char="0052"/>
            </w:r>
            <w:r>
              <w:rPr>
                <w:rFonts w:hint="eastAsia"/>
              </w:rPr>
              <w:t>能源管理团队</w:t>
            </w:r>
            <w:r>
              <w:rPr>
                <w:rFonts w:hint="eastAsia"/>
                <w:lang w:eastAsia="zh-CN"/>
              </w:rPr>
              <w:t>——</w:t>
            </w:r>
            <w:r>
              <w:rPr>
                <w:rFonts w:hint="eastAsia"/>
                <w:lang w:val="en-US" w:eastAsia="zh-CN"/>
              </w:rPr>
              <w:t>安全</w:t>
            </w:r>
            <w:r>
              <w:rPr>
                <w:rFonts w:hint="eastAsia"/>
                <w:highlight w:val="none"/>
                <w:lang w:val="en-US" w:eastAsia="zh-CN"/>
              </w:rPr>
              <w:t>生产部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聂东桥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能源使用包括(必要时，按每个场所来描述):（不必全选）</w:t>
            </w:r>
          </w:p>
          <w:p>
            <w:pPr>
              <w:shd w:val="clear" w:color="auto" w:fill="EBF1DE" w:themeFill="accent3" w:themeFillTint="32"/>
              <w:spacing w:before="40" w:after="40"/>
            </w:pPr>
            <w:r>
              <w:rPr>
                <w:rFonts w:hint="eastAsia"/>
              </w:rPr>
              <w:t>□蒸汽</w:t>
            </w:r>
            <w:r>
              <w:rPr>
                <w:rFonts w:hint="eastAsia"/>
                <w:highlight w:val="none"/>
              </w:rPr>
              <w:sym w:font="Wingdings 2" w:char="00A3"/>
            </w:r>
            <w:r>
              <w:rPr>
                <w:rFonts w:hint="eastAsia"/>
                <w:highlight w:val="none"/>
              </w:rPr>
              <w:t>天然气□燃料油</w:t>
            </w:r>
            <w:r>
              <w:rPr>
                <w:rFonts w:hint="eastAsia"/>
              </w:rPr>
              <w:t>□燃料气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r>
              <w:rPr>
                <w:rFonts w:hint="eastAsia"/>
                <w:lang w:eastAsia="zh-CN"/>
              </w:rPr>
              <w:t>——</w:t>
            </w:r>
          </w:p>
          <w:p>
            <w:pPr>
              <w:jc w:val="left"/>
              <w:rPr>
                <w:rFonts w:hint="default" w:eastAsia="宋体"/>
                <w:lang w:val="en-US" w:eastAsia="zh-CN"/>
              </w:rPr>
            </w:pPr>
            <w:r>
              <w:rPr>
                <w:rFonts w:hint="eastAsia"/>
              </w:rPr>
              <w:t>□其他</w:t>
            </w:r>
            <w:r>
              <w:rPr>
                <w:rFonts w:hint="eastAsia"/>
                <w:lang w:eastAsia="zh-CN"/>
              </w:rPr>
              <w:t>——</w:t>
            </w:r>
            <w:r>
              <w:rPr>
                <w:rFonts w:hint="eastAsia"/>
                <w:lang w:val="en-US" w:eastAsia="zh-CN"/>
              </w:rPr>
              <w:t>供给客户的各种气体</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w:t>
            </w:r>
            <w:r>
              <w:rPr>
                <w:rFonts w:hint="eastAsia"/>
              </w:rPr>
              <w:sym w:font="Wingdings 2" w:char="0052"/>
            </w:r>
            <w:r>
              <w:rPr>
                <w:rFonts w:hint="eastAsia"/>
              </w:rPr>
              <w:t>单位产</w:t>
            </w:r>
            <w:r>
              <w:rPr>
                <w:rFonts w:hint="eastAsia"/>
                <w:lang w:val="en-US" w:eastAsia="zh-CN"/>
              </w:rPr>
              <w:t>值综合能耗</w:t>
            </w:r>
            <w:r>
              <w:rPr>
                <w:rFonts w:hint="eastAsia"/>
              </w:rPr>
              <w:t>□加热炉热效率□其他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2022.5</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sym w:font="Wingdings 2" w:char="0052"/>
            </w: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2460"/>
              <w:gridCol w:w="127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节能目标</w:t>
                  </w:r>
                  <w:r>
                    <w:rPr>
                      <w:rFonts w:hint="eastAsia" w:ascii="宋体" w:hAnsi="宋体"/>
                      <w:lang w:val="en-US" w:eastAsia="zh-CN"/>
                    </w:rPr>
                    <w:t>2021年</w:t>
                  </w:r>
                </w:p>
              </w:tc>
              <w:tc>
                <w:tcPr>
                  <w:tcW w:w="246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7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89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2021年</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color w:val="000000"/>
                      <w:szCs w:val="18"/>
                      <w:highlight w:val="none"/>
                    </w:rPr>
                    <w:t>单位产品（氮气）综合能耗</w:t>
                  </w:r>
                  <w:r>
                    <w:rPr>
                      <w:rFonts w:hint="eastAsia"/>
                      <w:color w:val="000000"/>
                      <w:szCs w:val="18"/>
                      <w:highlight w:val="none"/>
                      <w:lang w:val="en-US" w:eastAsia="zh-CN"/>
                    </w:rPr>
                    <w:t>≤</w:t>
                  </w:r>
                  <w:r>
                    <w:rPr>
                      <w:rFonts w:hint="eastAsia"/>
                      <w:color w:val="000000"/>
                      <w:szCs w:val="18"/>
                      <w:highlight w:val="none"/>
                    </w:rPr>
                    <w:t>0.030kgce/Nm</w:t>
                  </w:r>
                  <w:r>
                    <w:rPr>
                      <w:rFonts w:hint="eastAsia"/>
                      <w:color w:val="000000"/>
                      <w:szCs w:val="18"/>
                      <w:highlight w:val="none"/>
                      <w:vertAlign w:val="superscript"/>
                    </w:rPr>
                    <w:t>3</w:t>
                  </w:r>
                  <w:r>
                    <w:rPr>
                      <w:rFonts w:hint="eastAsia"/>
                      <w:color w:val="000000"/>
                      <w:szCs w:val="18"/>
                      <w:highlight w:val="none"/>
                    </w:rPr>
                    <w:t xml:space="preserve"> </w:t>
                  </w:r>
                  <w:r>
                    <w:rPr>
                      <w:rFonts w:hint="eastAsia"/>
                      <w:color w:val="000000"/>
                      <w:szCs w:val="18"/>
                      <w:highlight w:val="none"/>
                      <w:lang w:eastAsia="zh-CN"/>
                    </w:rPr>
                    <w:t>（</w:t>
                  </w:r>
                  <w:r>
                    <w:rPr>
                      <w:rFonts w:hint="eastAsia" w:ascii="Times New Roman" w:hAnsi="Times New Roman" w:eastAsia="宋体" w:cs="Times New Roman"/>
                      <w:color w:val="auto"/>
                      <w:szCs w:val="18"/>
                      <w:highlight w:val="none"/>
                      <w:lang w:val="en-US" w:eastAsia="zh-CN"/>
                    </w:rPr>
                    <w:t>不含新鲜水</w:t>
                  </w:r>
                  <w:r>
                    <w:rPr>
                      <w:rFonts w:hint="eastAsia" w:ascii="Times New Roman" w:hAnsi="Times New Roman" w:eastAsia="宋体" w:cs="Times New Roman"/>
                      <w:color w:val="auto"/>
                      <w:szCs w:val="18"/>
                      <w:highlight w:val="none"/>
                      <w:lang w:eastAsia="zh-CN"/>
                    </w:rPr>
                    <w:t>）</w:t>
                  </w:r>
                </w:p>
              </w:tc>
              <w:tc>
                <w:tcPr>
                  <w:tcW w:w="246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加强节能管理，控制工艺参数及相关变量的波动</w:t>
                  </w:r>
                </w:p>
              </w:tc>
              <w:tc>
                <w:tcPr>
                  <w:tcW w:w="127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安全生产部</w:t>
                  </w:r>
                </w:p>
              </w:tc>
              <w:tc>
                <w:tcPr>
                  <w:tcW w:w="1894" w:type="dxa"/>
                  <w:shd w:val="clear" w:color="auto" w:fill="auto"/>
                  <w:vAlign w:val="top"/>
                </w:tcPr>
                <w:p>
                  <w:pPr>
                    <w:widowControl/>
                    <w:spacing w:before="40"/>
                    <w:jc w:val="left"/>
                    <w:rPr>
                      <w:rFonts w:ascii="宋体" w:hAnsi="宋体" w:eastAsia="宋体" w:cs="Times New Roman"/>
                      <w:kern w:val="2"/>
                      <w:sz w:val="21"/>
                      <w:szCs w:val="24"/>
                      <w:highlight w:val="yellow"/>
                      <w:lang w:val="en-GB" w:eastAsia="zh-CN" w:bidi="ar-SA"/>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r>
                    <w:rPr>
                      <w:rFonts w:hint="eastAsia"/>
                      <w:color w:val="000000"/>
                      <w:szCs w:val="18"/>
                      <w:highlight w:val="none"/>
                    </w:rPr>
                    <w:t>0.030kgce/Nm</w:t>
                  </w:r>
                  <w:r>
                    <w:rPr>
                      <w:rFonts w:hint="eastAsia"/>
                      <w:color w:val="000000"/>
                      <w:szCs w:val="18"/>
                      <w:highlight w:val="none"/>
                      <w:vertAlign w:val="superscript"/>
                    </w:rPr>
                    <w:t>3</w:t>
                  </w:r>
                  <w:r>
                    <w:rPr>
                      <w:rFonts w:hint="eastAsia"/>
                      <w:color w:val="000000"/>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eastAsia="宋体" w:cs="宋体"/>
                      <w:color w:val="auto"/>
                      <w:kern w:val="0"/>
                      <w:sz w:val="21"/>
                      <w:szCs w:val="21"/>
                      <w:lang w:val="en-US" w:eastAsia="zh-CN" w:bidi="ar"/>
                    </w:rPr>
                    <w:t>单位制氮电耗≤0.23kw.h/Nm</w:t>
                  </w:r>
                  <w:r>
                    <w:rPr>
                      <w:rFonts w:hint="eastAsia" w:ascii="宋体" w:hAnsi="宋体" w:eastAsia="宋体" w:cs="宋体"/>
                      <w:color w:val="auto"/>
                      <w:kern w:val="0"/>
                      <w:sz w:val="21"/>
                      <w:szCs w:val="21"/>
                      <w:vertAlign w:val="superscript"/>
                      <w:lang w:val="en-US" w:eastAsia="zh-CN" w:bidi="ar"/>
                    </w:rPr>
                    <w:t>3</w:t>
                  </w:r>
                </w:p>
              </w:tc>
              <w:tc>
                <w:tcPr>
                  <w:tcW w:w="246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加强节能管理，控制工艺参数及相关变量的波动，提高产品产量</w:t>
                  </w:r>
                </w:p>
              </w:tc>
              <w:tc>
                <w:tcPr>
                  <w:tcW w:w="1270"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ascii="宋体" w:hAnsi="宋体"/>
                      <w:highlight w:val="none"/>
                      <w:lang w:val="en-US" w:eastAsia="zh-CN"/>
                    </w:rPr>
                    <w:t>安全生产部</w:t>
                  </w:r>
                </w:p>
              </w:tc>
              <w:tc>
                <w:tcPr>
                  <w:tcW w:w="1894" w:type="dxa"/>
                  <w:shd w:val="clear" w:color="auto" w:fill="auto"/>
                  <w:vAlign w:val="top"/>
                </w:tcPr>
                <w:p>
                  <w:pPr>
                    <w:widowControl/>
                    <w:spacing w:before="40"/>
                    <w:jc w:val="left"/>
                    <w:rPr>
                      <w:rFonts w:hint="default" w:ascii="宋体" w:hAnsi="宋体" w:eastAsia="宋体" w:cs="Times New Roman"/>
                      <w:kern w:val="2"/>
                      <w:sz w:val="21"/>
                      <w:szCs w:val="24"/>
                      <w:highlight w:val="yellow"/>
                      <w:lang w:val="en-US" w:eastAsia="zh-CN" w:bidi="ar-SA"/>
                    </w:rPr>
                  </w:pPr>
                  <w:r>
                    <w:rPr>
                      <w:rFonts w:hint="eastAsia" w:ascii="宋体" w:hAnsi="宋体" w:cs="宋体"/>
                      <w:color w:val="auto"/>
                      <w:kern w:val="0"/>
                      <w:sz w:val="21"/>
                      <w:szCs w:val="21"/>
                      <w:lang w:val="en-US" w:eastAsia="zh-CN" w:bidi="ar"/>
                    </w:rPr>
                    <w:t>实际完成</w:t>
                  </w:r>
                  <w:r>
                    <w:rPr>
                      <w:rFonts w:hint="eastAsia" w:ascii="宋体" w:hAnsi="宋体" w:eastAsia="宋体" w:cs="宋体"/>
                      <w:color w:val="auto"/>
                      <w:kern w:val="0"/>
                      <w:sz w:val="21"/>
                      <w:szCs w:val="21"/>
                      <w:lang w:val="en-US" w:eastAsia="zh-CN" w:bidi="ar"/>
                    </w:rPr>
                    <w:t>0.23kw.h/Nm</w:t>
                  </w:r>
                  <w:r>
                    <w:rPr>
                      <w:rFonts w:hint="eastAsia" w:ascii="宋体" w:hAnsi="宋体" w:eastAsia="宋体" w:cs="宋体"/>
                      <w:color w:val="auto"/>
                      <w:kern w:val="0"/>
                      <w:sz w:val="21"/>
                      <w:szCs w:val="21"/>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vAlign w:val="top"/>
                </w:tcPr>
                <w:p>
                  <w:pPr>
                    <w:widowControl/>
                    <w:spacing w:before="40"/>
                    <w:jc w:val="left"/>
                  </w:pPr>
                  <w:r>
                    <w:rPr>
                      <w:rFonts w:hint="eastAsia" w:ascii="宋体" w:hAnsi="宋体" w:eastAsia="宋体" w:cs="宋体"/>
                      <w:color w:val="auto"/>
                      <w:kern w:val="0"/>
                      <w:sz w:val="21"/>
                      <w:szCs w:val="21"/>
                      <w:lang w:val="en-US" w:eastAsia="zh-CN" w:bidi="ar"/>
                    </w:rPr>
                    <w:t>单位产值综合能耗5</w:t>
                  </w:r>
                  <w:r>
                    <w:rPr>
                      <w:rFonts w:hint="eastAsia" w:ascii="宋体" w:hAnsi="宋体" w:cs="宋体"/>
                      <w:color w:val="auto"/>
                      <w:kern w:val="0"/>
                      <w:sz w:val="21"/>
                      <w:szCs w:val="21"/>
                      <w:lang w:val="en-US" w:eastAsia="zh-CN" w:bidi="ar"/>
                    </w:rPr>
                    <w:t>10</w:t>
                  </w:r>
                  <w:r>
                    <w:rPr>
                      <w:rFonts w:hint="eastAsia" w:ascii="宋体" w:hAnsi="宋体" w:eastAsia="宋体" w:cs="宋体"/>
                      <w:color w:val="auto"/>
                      <w:kern w:val="0"/>
                      <w:sz w:val="21"/>
                      <w:szCs w:val="21"/>
                      <w:lang w:val="en-US" w:eastAsia="zh-CN" w:bidi="ar"/>
                    </w:rPr>
                    <w:t xml:space="preserve"> kgce/万元</w:t>
                  </w:r>
                </w:p>
              </w:tc>
              <w:tc>
                <w:tcPr>
                  <w:tcW w:w="246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提高产品附加值</w:t>
                  </w:r>
                </w:p>
              </w:tc>
              <w:tc>
                <w:tcPr>
                  <w:tcW w:w="127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安全生产部</w:t>
                  </w:r>
                </w:p>
              </w:tc>
              <w:tc>
                <w:tcPr>
                  <w:tcW w:w="1894" w:type="dxa"/>
                  <w:shd w:val="clear" w:color="auto" w:fill="auto"/>
                  <w:vAlign w:val="top"/>
                </w:tcPr>
                <w:p>
                  <w:pPr>
                    <w:widowControl/>
                    <w:spacing w:before="40"/>
                    <w:jc w:val="left"/>
                    <w:rPr>
                      <w:rFonts w:hint="default" w:ascii="宋体" w:hAnsi="宋体"/>
                      <w:lang w:val="en-US"/>
                    </w:rPr>
                  </w:pPr>
                  <w:r>
                    <w:rPr>
                      <w:rFonts w:hint="eastAsia" w:ascii="宋体" w:hAnsi="宋体" w:cs="宋体"/>
                      <w:color w:val="auto"/>
                      <w:kern w:val="0"/>
                      <w:sz w:val="21"/>
                      <w:szCs w:val="21"/>
                      <w:lang w:val="en-US" w:eastAsia="zh-CN" w:bidi="ar"/>
                    </w:rPr>
                    <w:t>实际完成</w:t>
                  </w:r>
                  <w:r>
                    <w:rPr>
                      <w:rFonts w:hint="eastAsia" w:ascii="宋体" w:hAnsi="宋体" w:eastAsia="宋体" w:cs="宋体"/>
                      <w:color w:val="auto"/>
                      <w:kern w:val="0"/>
                      <w:sz w:val="21"/>
                      <w:szCs w:val="21"/>
                      <w:lang w:val="en-US" w:eastAsia="zh-CN" w:bidi="ar"/>
                    </w:rPr>
                    <w:t>505.06 kgce/万元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highlight w:val="none"/>
              </w:rPr>
            </w:pPr>
            <w:r>
              <w:rPr>
                <w:rFonts w:hint="eastAsia"/>
                <w:lang w:val="en-US" w:eastAsia="zh-CN"/>
              </w:rPr>
              <w:t>企业占地30亩，</w:t>
            </w:r>
            <w:r>
              <w:rPr>
                <w:rFonts w:hint="eastAsia"/>
              </w:rPr>
              <w:t>建筑面积</w:t>
            </w:r>
            <w:r>
              <w:rPr>
                <w:rFonts w:hint="eastAsia"/>
                <w:lang w:val="en-US" w:eastAsia="zh-CN"/>
              </w:rPr>
              <w:t>,15</w:t>
            </w:r>
            <w:r>
              <w:rPr>
                <w:rFonts w:hint="eastAsia"/>
                <w:highlight w:val="none"/>
                <w:lang w:val="en-US" w:eastAsia="zh-CN"/>
              </w:rPr>
              <w:t>000</w:t>
            </w:r>
            <w:r>
              <w:rPr>
                <w:rFonts w:hint="eastAsia"/>
                <w:highlight w:val="none"/>
              </w:rPr>
              <w:t>平方米；</w:t>
            </w:r>
            <w:r>
              <w:rPr>
                <w:rFonts w:hint="eastAsia"/>
                <w:highlight w:val="none"/>
                <w:lang w:val="en-US" w:eastAsia="zh-CN"/>
              </w:rPr>
              <w:t>1</w:t>
            </w:r>
            <w:r>
              <w:rPr>
                <w:rFonts w:hint="eastAsia"/>
                <w:highlight w:val="none"/>
              </w:rPr>
              <w:t>个</w:t>
            </w:r>
            <w:r>
              <w:rPr>
                <w:rFonts w:hint="eastAsia"/>
                <w:highlight w:val="none"/>
                <w:lang w:val="en-US" w:eastAsia="zh-CN"/>
              </w:rPr>
              <w:t>生产工序</w:t>
            </w:r>
            <w:r>
              <w:rPr>
                <w:rFonts w:hint="eastAsia"/>
                <w:highlight w:val="none"/>
                <w:lang w:eastAsia="zh-CN"/>
              </w:rPr>
              <w:t>（</w:t>
            </w:r>
            <w:r>
              <w:rPr>
                <w:rFonts w:hint="eastAsia"/>
                <w:highlight w:val="none"/>
                <w:lang w:val="en-US" w:eastAsia="zh-CN"/>
              </w:rPr>
              <w:t>制氮</w:t>
            </w:r>
            <w:r>
              <w:rPr>
                <w:rFonts w:hint="eastAsia"/>
                <w:highlight w:val="none"/>
                <w:lang w:eastAsia="zh-CN"/>
              </w:rPr>
              <w:t>）</w:t>
            </w:r>
            <w:r>
              <w:rPr>
                <w:rFonts w:hint="eastAsia"/>
                <w:highlight w:val="none"/>
              </w:rPr>
              <w:t>；</w:t>
            </w:r>
            <w:r>
              <w:rPr>
                <w:rFonts w:hint="eastAsia"/>
                <w:highlight w:val="none"/>
                <w:lang w:val="en-US" w:eastAsia="zh-CN"/>
              </w:rPr>
              <w:t>储罐区2</w:t>
            </w:r>
            <w:r>
              <w:rPr>
                <w:rFonts w:hint="eastAsia"/>
                <w:highlight w:val="none"/>
              </w:rPr>
              <w:t>个</w:t>
            </w:r>
            <w:r>
              <w:rPr>
                <w:rFonts w:hint="eastAsia"/>
                <w:highlight w:val="none"/>
                <w:lang w:eastAsia="zh-CN"/>
              </w:rPr>
              <w:t>【</w:t>
            </w:r>
            <w:r>
              <w:rPr>
                <w:rFonts w:hint="eastAsia"/>
                <w:highlight w:val="none"/>
                <w:lang w:val="en-US" w:eastAsia="zh-CN"/>
              </w:rPr>
              <w:t>氮气，大宗气体（氢气、氩气、二氧化碳、氧气）</w:t>
            </w:r>
            <w:r>
              <w:rPr>
                <w:rFonts w:hint="eastAsia"/>
                <w:highlight w:val="none"/>
                <w:lang w:eastAsia="zh-CN"/>
              </w:rPr>
              <w:t>】</w:t>
            </w:r>
            <w:r>
              <w:rPr>
                <w:rFonts w:hint="eastAsia"/>
                <w:highlight w:val="none"/>
              </w:rPr>
              <w:t>；</w:t>
            </w:r>
          </w:p>
          <w:p>
            <w:pPr>
              <w:shd w:val="clear" w:color="auto" w:fill="EBF1DE" w:themeFill="accent3" w:themeFillTint="32"/>
              <w:rPr>
                <w:highlight w:val="none"/>
                <w:u w:val="single"/>
              </w:rPr>
            </w:pPr>
            <w:r>
              <w:rPr>
                <w:rFonts w:hint="eastAsia"/>
              </w:rPr>
              <w:t>主要生产设备有：</w:t>
            </w:r>
            <w:r>
              <w:rPr>
                <w:rFonts w:hint="eastAsia"/>
                <w:lang w:val="en-US" w:eastAsia="zh-CN"/>
              </w:rPr>
              <w:t>空</w:t>
            </w:r>
            <w:r>
              <w:rPr>
                <w:rFonts w:hint="eastAsia"/>
                <w:color w:val="000000"/>
                <w:szCs w:val="22"/>
                <w:highlight w:val="none"/>
                <w:u w:val="single"/>
                <w:lang w:val="en-US" w:eastAsia="zh-CN"/>
              </w:rPr>
              <w:t>压机</w:t>
            </w:r>
            <w:r>
              <w:rPr>
                <w:rFonts w:hint="eastAsia"/>
                <w:color w:val="000000"/>
                <w:szCs w:val="22"/>
                <w:highlight w:val="none"/>
                <w:u w:val="single"/>
              </w:rPr>
              <w:t>、</w:t>
            </w:r>
            <w:r>
              <w:rPr>
                <w:rFonts w:hint="eastAsia"/>
                <w:color w:val="000000"/>
                <w:szCs w:val="22"/>
                <w:highlight w:val="none"/>
                <w:u w:val="single"/>
                <w:lang w:val="en-US" w:eastAsia="zh-CN"/>
              </w:rPr>
              <w:t>冷水</w:t>
            </w:r>
            <w:r>
              <w:rPr>
                <w:rFonts w:hint="eastAsia"/>
                <w:color w:val="000000"/>
                <w:szCs w:val="22"/>
                <w:highlight w:val="none"/>
                <w:u w:val="single"/>
              </w:rPr>
              <w:t>机、</w:t>
            </w:r>
            <w:r>
              <w:rPr>
                <w:rFonts w:hint="eastAsia"/>
                <w:color w:val="000000"/>
                <w:szCs w:val="22"/>
                <w:highlight w:val="none"/>
                <w:u w:val="single"/>
                <w:lang w:val="en-US" w:eastAsia="zh-CN"/>
              </w:rPr>
              <w:t>膨胀机、冷却器等</w:t>
            </w:r>
            <w:r>
              <w:rPr>
                <w:rFonts w:hint="eastAsia"/>
                <w:highlight w:val="none"/>
                <w:u w:val="single"/>
              </w:rPr>
              <w:t>（列举2~4种）</w:t>
            </w:r>
          </w:p>
          <w:p>
            <w:pPr>
              <w:shd w:val="clear" w:color="auto" w:fill="EBF1DE" w:themeFill="accent3" w:themeFillTint="32"/>
              <w:rPr>
                <w:rFonts w:hint="eastAsia"/>
                <w:highlight w:val="none"/>
                <w:u w:val="single"/>
                <w:lang w:eastAsia="zh-CN"/>
              </w:rPr>
            </w:pPr>
            <w:r>
              <w:rPr>
                <w:rFonts w:hint="eastAsia"/>
                <w:highlight w:val="none"/>
              </w:rPr>
              <w:t>主要耗能设备有：</w:t>
            </w:r>
            <w:r>
              <w:rPr>
                <w:rFonts w:hint="eastAsia"/>
                <w:lang w:val="en-US" w:eastAsia="zh-CN"/>
              </w:rPr>
              <w:t>空</w:t>
            </w:r>
            <w:r>
              <w:rPr>
                <w:rFonts w:hint="eastAsia"/>
                <w:color w:val="000000"/>
                <w:szCs w:val="22"/>
                <w:highlight w:val="none"/>
                <w:u w:val="single"/>
                <w:lang w:val="en-US" w:eastAsia="zh-CN"/>
              </w:rPr>
              <w:t>压机</w:t>
            </w:r>
            <w:r>
              <w:rPr>
                <w:rFonts w:hint="eastAsia"/>
                <w:color w:val="000000"/>
                <w:szCs w:val="22"/>
                <w:highlight w:val="none"/>
                <w:u w:val="single"/>
              </w:rPr>
              <w:t>、</w:t>
            </w:r>
            <w:r>
              <w:rPr>
                <w:rFonts w:hint="eastAsia"/>
                <w:color w:val="000000"/>
                <w:szCs w:val="22"/>
                <w:highlight w:val="none"/>
                <w:u w:val="single"/>
                <w:lang w:val="en-US" w:eastAsia="zh-CN"/>
              </w:rPr>
              <w:t>冷水</w:t>
            </w:r>
            <w:r>
              <w:rPr>
                <w:rFonts w:hint="eastAsia"/>
                <w:color w:val="000000"/>
                <w:szCs w:val="22"/>
                <w:highlight w:val="none"/>
                <w:u w:val="single"/>
              </w:rPr>
              <w:t>机、</w:t>
            </w:r>
            <w:r>
              <w:rPr>
                <w:rFonts w:hint="eastAsia"/>
                <w:color w:val="000000"/>
                <w:szCs w:val="22"/>
                <w:highlight w:val="none"/>
                <w:u w:val="single"/>
                <w:lang w:val="en-US" w:eastAsia="zh-CN"/>
              </w:rPr>
              <w:t>膨胀机、冷却器</w:t>
            </w:r>
            <w:r>
              <w:rPr>
                <w:rFonts w:hint="eastAsia"/>
                <w:highlight w:val="none"/>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w:t>
            </w:r>
            <w:r>
              <w:rPr>
                <w:rFonts w:hint="eastAsia"/>
                <w:lang w:val="en-US" w:eastAsia="zh-CN"/>
              </w:rPr>
              <w:t>箱</w:t>
            </w:r>
            <w:r>
              <w:rPr>
                <w:rFonts w:hint="eastAsia" w:ascii="Wingdings" w:hAnsi="Wingdings"/>
                <w:lang w:eastAsia="zh-CN"/>
              </w:rPr>
              <w:sym w:font="Wingdings 2" w:char="0052"/>
            </w:r>
            <w:r>
              <w:rPr>
                <w:rFonts w:hint="eastAsia"/>
              </w:rPr>
              <w:t>空压</w:t>
            </w:r>
            <w:r>
              <w:rPr>
                <w:rFonts w:hint="eastAsia"/>
                <w:lang w:val="en-US" w:eastAsia="zh-CN"/>
              </w:rPr>
              <w:t>机</w:t>
            </w:r>
            <w:r>
              <w:rPr>
                <w:rFonts w:hint="eastAsia" w:ascii="Wingdings" w:hAnsi="Wingdings"/>
                <w:lang w:eastAsia="zh-CN"/>
              </w:rPr>
              <w:t>□</w:t>
            </w:r>
            <w:r>
              <w:rPr>
                <w:rFonts w:hint="eastAsia"/>
              </w:rPr>
              <w:t>锅炉房</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电表、水表、</w:t>
            </w:r>
            <w:r>
              <w:rPr>
                <w:rFonts w:hint="eastAsia"/>
                <w:highlight w:val="none"/>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highlight w:val="none"/>
                <w:lang w:val="en-US" w:eastAsia="zh-CN"/>
              </w:rPr>
              <w:t>由供方电力公司和水务公司校验</w:t>
            </w:r>
            <w:r>
              <w:rPr>
                <w:rFonts w:hint="eastAsia"/>
                <w:lang w:val="en-US" w:eastAsia="zh-CN"/>
              </w:rPr>
              <w:t>。企业内部的电表未进行效验，已经与企业进行沟通。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52"/>
            </w:r>
            <w:r>
              <w:rPr>
                <w:rFonts w:hint="eastAsia"/>
                <w:color w:val="auto"/>
              </w:rPr>
              <w:t>操作规程</w:t>
            </w:r>
            <w:r>
              <w:rPr>
                <w:rFonts w:hint="eastAsia" w:ascii="Wingdings" w:hAnsi="Wingdings"/>
                <w:color w:val="auto"/>
                <w:lang w:eastAsia="zh-CN"/>
              </w:rPr>
              <w:sym w:font="Wingdings 2" w:char="00A3"/>
            </w:r>
            <w:r>
              <w:rPr>
                <w:rFonts w:hint="eastAsia"/>
                <w:color w:val="auto"/>
              </w:rPr>
              <w:t>作业文件</w:t>
            </w:r>
            <w:r>
              <w:rPr>
                <w:rFonts w:hint="eastAsia" w:ascii="Wingdings" w:hAnsi="Wingdings"/>
                <w:color w:val="auto"/>
                <w:lang w:eastAsia="zh-CN"/>
              </w:rPr>
              <w:sym w:font="Wingdings 2" w:char="00A3"/>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color w:val="000000"/>
                <w:szCs w:val="18"/>
                <w:highlight w:val="none"/>
                <w:u w:val="single"/>
                <w:lang w:val="en-US" w:eastAsia="zh-CN"/>
              </w:rPr>
              <w:t>无</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highlight w:val="none"/>
                    </w:rPr>
                    <w:t>天然气消耗</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eastAsia="zh-CN"/>
                    </w:rPr>
                  </w:pPr>
                  <w:r>
                    <w:rPr>
                      <w:rFonts w:hint="eastAsia"/>
                    </w:rPr>
                    <w:t>其他</w:t>
                  </w:r>
                  <w:r>
                    <w:rPr>
                      <w:rFonts w:hint="eastAsia"/>
                      <w:lang w:eastAsia="zh-CN"/>
                    </w:rPr>
                    <w:t>（</w:t>
                  </w:r>
                  <w:r>
                    <w:rPr>
                      <w:rFonts w:hint="eastAsia"/>
                      <w:lang w:val="en-US" w:eastAsia="zh-CN"/>
                    </w:rPr>
                    <w:t>氢气、氧气、氩气、二氧化碳等</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加强销售过程管理，控制</w:t>
                  </w:r>
                  <w:bookmarkStart w:id="33" w:name="_GoBack"/>
                  <w:bookmarkEnd w:id="33"/>
                  <w:r>
                    <w:rPr>
                      <w:rFonts w:hint="eastAsia"/>
                      <w:lang w:val="en-US" w:eastAsia="zh-CN"/>
                    </w:rPr>
                    <w:t>跑冒滴漏</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其他</w:t>
            </w:r>
          </w:p>
          <w:p>
            <w:pPr>
              <w:shd w:val="clear" w:color="auto" w:fill="EBF1DE" w:themeFill="accent3" w:themeFillTint="32"/>
            </w:pPr>
          </w:p>
          <w:p>
            <w:pPr>
              <w:rPr>
                <w:rFonts w:hint="default" w:eastAsia="宋体"/>
                <w:color w:val="000000"/>
                <w:szCs w:val="18"/>
                <w:lang w:val="en-US" w:eastAsia="zh-CN"/>
              </w:rPr>
            </w:pPr>
            <w:r>
              <w:rPr>
                <w:rFonts w:hint="eastAsia"/>
              </w:rPr>
              <w:t>《能效测试报告》编号：</w:t>
            </w:r>
            <w:r>
              <w:rPr>
                <w:rFonts w:hint="eastAsia"/>
                <w:lang w:val="en-US" w:eastAsia="zh-CN"/>
              </w:rPr>
              <w:t>企业</w:t>
            </w:r>
            <w:r>
              <w:rPr>
                <w:rFonts w:hint="eastAsia"/>
                <w:color w:val="000000"/>
                <w:szCs w:val="18"/>
                <w:lang w:val="en-US" w:eastAsia="zh-CN"/>
              </w:rPr>
              <w:t>未测试，但企业通过在线电流表、电压表和功率表进行计算，可通过系统进行查阅，见审核记录。</w:t>
            </w:r>
          </w:p>
          <w:p>
            <w:pPr>
              <w:shd w:val="clear" w:color="auto" w:fill="EBF1DE" w:themeFill="accent3" w:themeFillTint="32"/>
              <w:rPr>
                <w:rFonts w:hint="default"/>
                <w:lang w:val="en-US" w:eastAsia="zh-CN"/>
              </w:rPr>
            </w:pP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52"/>
            </w:r>
            <w:r>
              <w:rPr>
                <w:rFonts w:hint="eastAsia" w:ascii="Wingdings" w:hAnsi="Wingdings"/>
                <w:lang w:val="en-US" w:eastAsia="zh-CN"/>
              </w:rPr>
              <w:t>基本</w:t>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highlight w:val="none"/>
                <w:lang w:val="en-US" w:eastAsia="zh-CN"/>
              </w:rPr>
              <w:t>7</w:t>
            </w:r>
            <w:r>
              <w:rPr>
                <w:rFonts w:hint="eastAsia"/>
                <w:highlight w:val="none"/>
              </w:rPr>
              <w:t>月</w:t>
            </w:r>
            <w:r>
              <w:rPr>
                <w:rFonts w:hint="eastAsia"/>
                <w:highlight w:val="none"/>
                <w:lang w:val="en-US" w:eastAsia="zh-CN"/>
              </w:rPr>
              <w:t>15-6</w:t>
            </w:r>
            <w:r>
              <w:rPr>
                <w:rFonts w:hint="eastAsia"/>
                <w:highlight w:val="none"/>
              </w:rPr>
              <w:t>日</w:t>
            </w:r>
            <w:r>
              <w:rPr>
                <w:rFonts w:hint="eastAsia"/>
              </w:rPr>
              <w:t>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highlight w:val="none"/>
                <w:lang w:val="en-US" w:eastAsia="zh-CN"/>
              </w:rPr>
              <w:t>8</w:t>
            </w:r>
            <w:r>
              <w:rPr>
                <w:rFonts w:hint="eastAsia"/>
                <w:highlight w:val="none"/>
              </w:rPr>
              <w:t>月</w:t>
            </w:r>
            <w:r>
              <w:rPr>
                <w:rFonts w:hint="eastAsia"/>
                <w:highlight w:val="none"/>
                <w:lang w:val="en-US" w:eastAsia="zh-CN"/>
              </w:rPr>
              <w:t>25</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0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33"/>
        <w:gridCol w:w="820"/>
        <w:gridCol w:w="860"/>
        <w:gridCol w:w="810"/>
        <w:gridCol w:w="830"/>
        <w:gridCol w:w="855"/>
        <w:gridCol w:w="779"/>
        <w:gridCol w:w="780"/>
        <w:gridCol w:w="779"/>
        <w:gridCol w:w="67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5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zh-CN"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55"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pP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pPr>
            <w:r>
              <w:rPr>
                <w:rFonts w:hint="eastAsia"/>
              </w:rPr>
              <w:t>8.3</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32AD5BB"/>
    <w:multiLevelType w:val="singleLevel"/>
    <w:tmpl w:val="032AD5BB"/>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AE7306"/>
    <w:rsid w:val="21D9474C"/>
    <w:rsid w:val="2EE06BA2"/>
    <w:rsid w:val="3D7C1ADB"/>
    <w:rsid w:val="54FB44ED"/>
    <w:rsid w:val="61934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style>
  <w:style w:type="paragraph" w:styleId="4">
    <w:name w:val="List Bullet 5"/>
    <w:basedOn w:val="1"/>
    <w:semiHidden/>
    <w:unhideWhenUsed/>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2022-12-06T11:38:36Z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