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无锡市信谊机械有限公司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szCs w:val="21"/>
                <w:lang w:val="en-US" w:eastAsia="zh-CN"/>
              </w:rPr>
              <w:t>相关方的识别清单中未识别供电和供水及用能设备采购等相关部门，建议增加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szCs w:val="21"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szCs w:val="21"/>
                <w:lang w:val="en-US" w:eastAsia="zh-CN"/>
              </w:rPr>
              <w:t>2022年1-10月目标单位产品综合能耗未实现目标，未提供原因分析及纠正措施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szCs w:val="21"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企业的内部审核不规范，审核记录的检查内容过于简单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szCs w:val="21"/>
                <w:lang w:val="en-US" w:eastAsia="zh-CN"/>
              </w:rPr>
              <w:t>下次审核时关注</w:t>
            </w:r>
            <w:bookmarkStart w:id="12" w:name="_GoBack"/>
            <w:bookmarkEnd w:id="1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E410E6"/>
    <w:rsid w:val="12C92226"/>
    <w:rsid w:val="35B21F4C"/>
    <w:rsid w:val="45A733BB"/>
    <w:rsid w:val="56FC0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2022-11-29T03:04:31Z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