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1255-2022-EnMS</w:t>
      </w:r>
      <w:bookmarkEnd w:id="0"/>
    </w:p>
    <w:p>
      <w:pPr>
        <w:jc w:val="left"/>
        <w:rPr>
          <w:rFonts w:hint="eastAsia"/>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无锡市信谊机械有限公司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sym w:font="Wingdings 2" w:char="0052"/>
      </w:r>
      <w:r>
        <w:rPr>
          <w:rFonts w:hint="eastAsia"/>
          <w:sz w:val="28"/>
          <w:szCs w:val="28"/>
        </w:rPr>
        <w:t>能源管理体系（EnMS）</w:t>
      </w:r>
    </w:p>
    <w:p>
      <w:pPr>
        <w:jc w:val="left"/>
        <w:rPr>
          <w:sz w:val="28"/>
          <w:szCs w:val="28"/>
        </w:rPr>
      </w:pPr>
    </w:p>
    <w:p>
      <w:pPr>
        <w:pStyle w:val="14"/>
      </w:pPr>
    </w:p>
    <w:p>
      <w:pPr>
        <w:pStyle w:val="14"/>
      </w:pPr>
    </w:p>
    <w:p>
      <w:pPr>
        <w:pStyle w:val="14"/>
      </w:pPr>
    </w:p>
    <w:p>
      <w:pPr>
        <w:pStyle w:val="14"/>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4"/>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无锡市信谊机械有限公司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无锡市惠山区前洲街道北七房村（营业场所：无锡惠山经济开发区前洲配套区新石路2号）</w:t>
            </w:r>
            <w:bookmarkEnd w:id="6"/>
          </w:p>
        </w:tc>
        <w:tc>
          <w:tcPr>
            <w:tcW w:w="1242" w:type="dxa"/>
            <w:vMerge w:val="restart"/>
            <w:vAlign w:val="center"/>
          </w:tcPr>
          <w:p>
            <w:r>
              <w:rPr>
                <w:rFonts w:hint="eastAsia"/>
              </w:rPr>
              <w:t>邮编</w:t>
            </w:r>
          </w:p>
        </w:tc>
        <w:tc>
          <w:tcPr>
            <w:tcW w:w="1771" w:type="dxa"/>
          </w:tcPr>
          <w:p>
            <w:bookmarkStart w:id="7" w:name="注册邮编"/>
            <w:r>
              <w:t>214174</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无锡惠山经济开发区前洲配套区新石路2号</w:t>
            </w:r>
            <w:bookmarkEnd w:id="8"/>
          </w:p>
        </w:tc>
        <w:tc>
          <w:tcPr>
            <w:tcW w:w="1242" w:type="dxa"/>
            <w:vMerge w:val="continue"/>
            <w:vAlign w:val="center"/>
          </w:tcPr>
          <w:p/>
        </w:tc>
        <w:tc>
          <w:tcPr>
            <w:tcW w:w="1771" w:type="dxa"/>
          </w:tcPr>
          <w:p>
            <w:bookmarkStart w:id="9" w:name="办公邮编"/>
            <w:r>
              <w:t>214174</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华圆</w:t>
            </w:r>
            <w:bookmarkEnd w:id="10"/>
          </w:p>
        </w:tc>
        <w:tc>
          <w:tcPr>
            <w:tcW w:w="1313" w:type="dxa"/>
            <w:vAlign w:val="center"/>
          </w:tcPr>
          <w:p>
            <w:r>
              <w:rPr>
                <w:rFonts w:hint="eastAsia"/>
              </w:rPr>
              <w:t>电话.</w:t>
            </w:r>
          </w:p>
        </w:tc>
        <w:tc>
          <w:tcPr>
            <w:tcW w:w="2180" w:type="dxa"/>
            <w:vAlign w:val="center"/>
          </w:tcPr>
          <w:p>
            <w:bookmarkStart w:id="11" w:name="联系人电话"/>
            <w:r>
              <w:t>13812012818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华振霖</w:t>
            </w:r>
            <w:bookmarkEnd w:id="13"/>
          </w:p>
        </w:tc>
        <w:tc>
          <w:tcPr>
            <w:tcW w:w="1313" w:type="dxa"/>
            <w:vAlign w:val="center"/>
          </w:tcPr>
          <w:p>
            <w:r>
              <w:rPr>
                <w:rFonts w:hint="eastAsia"/>
              </w:rPr>
              <w:t>管理者代表</w:t>
            </w:r>
          </w:p>
        </w:tc>
        <w:tc>
          <w:tcPr>
            <w:tcW w:w="2180" w:type="dxa"/>
          </w:tcPr>
          <w:p>
            <w:bookmarkStart w:id="14" w:name="管理者代表"/>
            <w:r>
              <w:t>华圆</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drawing>
                <wp:inline distT="0" distB="0" distL="114300" distR="114300">
                  <wp:extent cx="4973320" cy="871220"/>
                  <wp:effectExtent l="0" t="0" r="5080"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4973320" cy="871220"/>
                          </a:xfrm>
                          <a:prstGeom prst="rect">
                            <a:avLst/>
                          </a:prstGeom>
                          <a:noFill/>
                          <a:ln>
                            <a:noFill/>
                          </a:ln>
                        </pic:spPr>
                      </pic:pic>
                    </a:graphicData>
                  </a:graphic>
                </wp:inline>
              </w:drawing>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2022年11月28日 下午至2022年12月02日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ISO45001：2018</w:t>
            </w:r>
          </w:p>
          <w:p>
            <w:pPr>
              <w:rPr>
                <w:lang w:val="de-DE"/>
              </w:rPr>
            </w:pPr>
            <w:r>
              <w:rPr>
                <w:rFonts w:hint="eastAsia"/>
                <w:lang w:val="de-DE"/>
              </w:rPr>
              <w:sym w:font="Wingdings 2" w:char="0052"/>
            </w:r>
            <w:r>
              <w:rPr>
                <w:rFonts w:hint="eastAsia"/>
              </w:rPr>
              <w:t>GB/T 23331-2020/</w:t>
            </w:r>
            <w:r>
              <w:rPr>
                <w:rFonts w:hint="eastAsia"/>
                <w:lang w:val="de-DE"/>
              </w:rPr>
              <w:t>ISO50001：2018标准</w:t>
            </w:r>
          </w:p>
          <w:p>
            <w:pPr>
              <w:rPr>
                <w:rFonts w:hint="eastAsia" w:ascii="宋体" w:hAnsi="宋体"/>
                <w:b/>
                <w:sz w:val="21"/>
                <w:szCs w:val="21"/>
                <w:lang w:val="de-DE"/>
              </w:rPr>
            </w:pPr>
            <w:r>
              <w:rPr>
                <w:rFonts w:hint="eastAsia"/>
                <w:lang w:val="de-DE"/>
              </w:rPr>
              <w:sym w:font="Wingdings 2" w:char="0052"/>
            </w:r>
            <w:r>
              <w:rPr>
                <w:rFonts w:hint="eastAsia"/>
                <w:lang w:val="de-DE"/>
              </w:rPr>
              <w:t xml:space="preserve">RB/T </w:t>
            </w:r>
            <w:r>
              <w:rPr>
                <w:rFonts w:hint="eastAsia"/>
              </w:rPr>
              <w:t>119-2015 能源管理体系 机械制造企业认证要求</w:t>
            </w:r>
            <w:r>
              <w:rPr>
                <w:rFonts w:hint="eastAsia" w:ascii="宋体" w:hAnsi="宋体"/>
                <w:b/>
                <w:sz w:val="21"/>
                <w:szCs w:val="21"/>
                <w:lang w:val="de-DE"/>
              </w:rPr>
              <w:t xml:space="preserve"> </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初审Add1"/>
            <w:r>
              <w:rPr>
                <w:rFonts w:hint="eastAsia"/>
              </w:rPr>
              <w:t>■</w:t>
            </w:r>
            <w:bookmarkEnd w:id="24"/>
            <w:r>
              <w:rPr>
                <w:rFonts w:hint="eastAsia"/>
              </w:rPr>
              <w:t>初审二阶段</w:t>
            </w:r>
            <w:bookmarkStart w:id="25" w:name="监督勾选"/>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vAlign w:val="top"/>
          </w:tcPr>
          <w:p>
            <w:pPr>
              <w:rPr>
                <w:rFonts w:hint="default" w:ascii="宋体"/>
                <w:b/>
                <w:color w:val="0000FF"/>
                <w:szCs w:val="21"/>
                <w:lang w:val="en-US" w:eastAsia="zh-CN"/>
              </w:rPr>
            </w:pPr>
            <w:r>
              <w:rPr>
                <w:rFonts w:hint="eastAsia" w:ascii="宋体"/>
                <w:b/>
                <w:color w:val="0000FF"/>
                <w:szCs w:val="21"/>
                <w:lang w:val="en-US" w:eastAsia="zh-CN"/>
              </w:rPr>
              <w:t>河北省石家庄市</w:t>
            </w:r>
          </w:p>
          <w:p>
            <w:pPr>
              <w:rPr>
                <w:rFonts w:ascii="宋体" w:hAnsi="Times New Roman" w:eastAsia="宋体" w:cs="Times New Roman"/>
                <w:b/>
                <w:color w:val="0000FF"/>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hAnsi="Times New Roman" w:eastAsia="宋体" w:cs="Times New Roman"/>
                <w:b/>
                <w:color w:val="0000FF"/>
                <w:kern w:val="2"/>
                <w:sz w:val="21"/>
                <w:szCs w:val="21"/>
                <w:lang w:val="en-US" w:eastAsia="zh-CN" w:bidi="ar-SA"/>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hAnsi="Times New Roman" w:eastAsia="宋体" w:cs="Times New Roman"/>
                <w:b/>
                <w:color w:val="0000FF"/>
                <w:kern w:val="2"/>
                <w:sz w:val="21"/>
                <w:szCs w:val="21"/>
                <w:lang w:val="en-US" w:eastAsia="zh-CN" w:bidi="ar-SA"/>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hAnsi="Times New Roman" w:eastAsia="宋体" w:cs="Times New Roman"/>
                <w:b/>
                <w:color w:val="0000FF"/>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9" w:name="审核范围"/>
            <w:r>
              <w:t>定型及烘干类后整理设备的制造所涉及的能源管理活动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2.7</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10</w:t>
            </w:r>
            <w:r>
              <w:rPr>
                <w:rFonts w:hint="eastAsia"/>
              </w:rPr>
              <w:t>日</w:t>
            </w:r>
          </w:p>
          <w:p/>
        </w:tc>
        <w:tc>
          <w:tcPr>
            <w:tcW w:w="1883" w:type="dxa"/>
            <w:vAlign w:val="center"/>
          </w:tcPr>
          <w:p>
            <w:pPr>
              <w:rPr>
                <w:strike/>
                <w:dstrike w:val="0"/>
              </w:rPr>
            </w:pPr>
            <w:r>
              <w:rPr>
                <w:rFonts w:hint="eastAsia"/>
                <w:strike/>
                <w:dstrike w:val="0"/>
              </w:rPr>
              <w:t>管理体系运行已超过3个月</w:t>
            </w:r>
          </w:p>
          <w:p>
            <w:r>
              <w:rPr>
                <w:rFonts w:hint="eastAsia"/>
                <w:b/>
                <w:bCs/>
              </w:rPr>
              <w:t>能源管理体系运行已超过6个月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732"/>
        <w:gridCol w:w="937"/>
        <w:gridCol w:w="1870"/>
        <w:gridCol w:w="177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732" w:type="dxa"/>
            <w:shd w:val="clear" w:color="auto" w:fill="F3F3F3"/>
            <w:tcMar>
              <w:left w:w="57" w:type="dxa"/>
              <w:right w:w="57" w:type="dxa"/>
            </w:tcMar>
          </w:tcPr>
          <w:p>
            <w:r>
              <w:rPr>
                <w:rFonts w:hint="eastAsia"/>
              </w:rPr>
              <w:t>经营场所的地址</w:t>
            </w:r>
          </w:p>
          <w:p>
            <w:r>
              <w:rPr>
                <w:rFonts w:hint="eastAsia"/>
              </w:rPr>
              <w:t>（多现场和临时现场）</w:t>
            </w:r>
          </w:p>
        </w:tc>
        <w:tc>
          <w:tcPr>
            <w:tcW w:w="937" w:type="dxa"/>
            <w:shd w:val="clear" w:color="auto" w:fill="F3F3F3"/>
            <w:tcMar>
              <w:left w:w="57" w:type="dxa"/>
              <w:right w:w="57" w:type="dxa"/>
            </w:tcMar>
          </w:tcPr>
          <w:p>
            <w:r>
              <w:rPr>
                <w:rFonts w:hint="eastAsia"/>
              </w:rPr>
              <w:t>员工人数</w:t>
            </w:r>
          </w:p>
        </w:tc>
        <w:tc>
          <w:tcPr>
            <w:tcW w:w="1870"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77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hint="eastAsia" w:ascii="Times New Roman" w:hAnsi="Times New Roman" w:eastAsia="宋体" w:cs="Times New Roman"/>
                <w:kern w:val="2"/>
                <w:sz w:val="21"/>
                <w:szCs w:val="21"/>
                <w:lang w:val="de-DE" w:eastAsia="ja-JP" w:bidi="ar-SA"/>
              </w:rPr>
            </w:pPr>
            <w:r>
              <w:rPr>
                <w:sz w:val="21"/>
                <w:szCs w:val="21"/>
              </w:rPr>
              <w:t>无锡市信谊机械有限公司</w:t>
            </w:r>
            <w:r>
              <w:rPr>
                <w:rFonts w:hint="eastAsia"/>
                <w:sz w:val="21"/>
                <w:szCs w:val="21"/>
                <w:lang w:val="en-US" w:eastAsia="zh-CN"/>
              </w:rPr>
              <w:t>/</w:t>
            </w:r>
            <w:r>
              <w:rPr>
                <w:sz w:val="21"/>
                <w:szCs w:val="21"/>
              </w:rPr>
              <w:t>无锡市惠山区前洲街道北七房村</w:t>
            </w:r>
            <w:r>
              <w:rPr>
                <w:sz w:val="21"/>
                <w:szCs w:val="21"/>
                <w:highlight w:val="none"/>
              </w:rPr>
              <w:t>（营业场所：无锡惠山经济开发区前洲配套区新石路2号）</w:t>
            </w:r>
          </w:p>
        </w:tc>
        <w:tc>
          <w:tcPr>
            <w:tcW w:w="1732" w:type="dxa"/>
            <w:vAlign w:val="top"/>
          </w:tcPr>
          <w:p>
            <w:pPr>
              <w:spacing w:before="40" w:after="40"/>
              <w:rPr>
                <w:rFonts w:ascii="Times New Roman" w:hAnsi="Times New Roman" w:eastAsia="黑体" w:cs="Times New Roman"/>
                <w:kern w:val="2"/>
                <w:sz w:val="21"/>
                <w:szCs w:val="21"/>
                <w:lang w:val="de-DE" w:eastAsia="ja-JP" w:bidi="ar-SA"/>
              </w:rPr>
            </w:pPr>
            <w:r>
              <w:rPr>
                <w:sz w:val="21"/>
                <w:szCs w:val="21"/>
                <w:highlight w:val="none"/>
              </w:rPr>
              <w:t>营业场所：无锡惠山经济开发区前洲配套区新石路2号</w:t>
            </w:r>
          </w:p>
        </w:tc>
        <w:tc>
          <w:tcPr>
            <w:tcW w:w="937"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ascii="Times New Roman" w:hAnsi="Times New Roman" w:eastAsia="Times New Roman" w:cs="Times New Roman"/>
                <w:kern w:val="2"/>
                <w:sz w:val="20"/>
                <w:szCs w:val="20"/>
                <w:lang w:val="en-US" w:eastAsia="zh-CN" w:bidi="ar-SA"/>
              </w:rPr>
              <w:t>总9</w:t>
            </w:r>
            <w:r>
              <w:rPr>
                <w:rFonts w:hint="eastAsia" w:eastAsia="Times New Roman" w:cs="Times New Roman"/>
                <w:kern w:val="2"/>
                <w:sz w:val="20"/>
                <w:szCs w:val="20"/>
                <w:lang w:val="en-US" w:eastAsia="zh-CN" w:bidi="ar-SA"/>
              </w:rPr>
              <w:t>2</w:t>
            </w:r>
            <w:r>
              <w:rPr>
                <w:rFonts w:hint="eastAsia" w:ascii="Times New Roman" w:hAnsi="Times New Roman" w:eastAsia="Times New Roman" w:cs="Times New Roman"/>
                <w:kern w:val="2"/>
                <w:sz w:val="20"/>
                <w:szCs w:val="20"/>
                <w:lang w:val="en-US" w:eastAsia="zh-CN" w:bidi="ar-SA"/>
              </w:rPr>
              <w:t>人（能源37）</w:t>
            </w:r>
          </w:p>
        </w:tc>
        <w:tc>
          <w:tcPr>
            <w:tcW w:w="1870" w:type="dxa"/>
            <w:vAlign w:val="center"/>
          </w:tcPr>
          <w:p>
            <w:pPr>
              <w:pStyle w:val="23"/>
              <w:rPr>
                <w:rFonts w:ascii="Times New Roman" w:hAnsi="Times New Roman" w:eastAsia="黑体" w:cs="Arial"/>
                <w:kern w:val="2"/>
                <w:sz w:val="21"/>
                <w:szCs w:val="21"/>
                <w:lang w:val="en-US" w:eastAsia="ja-JP" w:bidi="ar-SA"/>
              </w:rPr>
            </w:pPr>
            <w:r>
              <w:t>定型及烘干类后整理设备的制造所涉及的能源管理活动</w:t>
            </w:r>
          </w:p>
        </w:tc>
        <w:tc>
          <w:tcPr>
            <w:tcW w:w="1771" w:type="dxa"/>
            <w:vAlign w:val="center"/>
          </w:tcPr>
          <w:p>
            <w:pPr>
              <w:spacing w:before="40" w:after="40"/>
              <w:rPr>
                <w:rFonts w:hint="eastAsia"/>
                <w:lang w:val="en-US" w:eastAsia="zh-CN"/>
              </w:rPr>
            </w:pPr>
            <w:r>
              <w:rPr>
                <w:rFonts w:hint="eastAsia"/>
                <w:lang w:val="en-US" w:eastAsia="zh-CN"/>
              </w:rPr>
              <w:t>GB/T23331-2020</w:t>
            </w:r>
          </w:p>
          <w:p>
            <w:pPr>
              <w:pStyle w:val="3"/>
              <w:rPr>
                <w:rFonts w:hint="default" w:ascii="Times New Roman" w:hAnsi="Times New Roman" w:eastAsia="宋体" w:cs="Times New Roman"/>
                <w:kern w:val="2"/>
                <w:sz w:val="24"/>
                <w:szCs w:val="24"/>
                <w:lang w:val="en-US" w:eastAsia="ja-JP" w:bidi="ar-SA"/>
              </w:rPr>
            </w:pPr>
            <w:r>
              <w:rPr>
                <w:rFonts w:hint="eastAsia" w:ascii="Times New Roman" w:hAnsi="Times New Roman" w:eastAsia="宋体" w:cs="Times New Roman"/>
                <w:kern w:val="2"/>
                <w:sz w:val="21"/>
                <w:szCs w:val="24"/>
                <w:lang w:val="en-US" w:eastAsia="zh-CN" w:bidi="ar-SA"/>
              </w:rPr>
              <w:t>RB/T119-2015</w:t>
            </w:r>
          </w:p>
        </w:tc>
        <w:tc>
          <w:tcPr>
            <w:tcW w:w="668" w:type="dxa"/>
            <w:shd w:val="clear" w:color="auto" w:fill="FFFFFF"/>
            <w:vAlign w:val="top"/>
          </w:tcPr>
          <w:sdt>
            <w:sdtPr>
              <w:rPr>
                <w:rFonts w:hint="eastAsia" w:ascii="宋体" w:hAnsi="宋体" w:eastAsia="宋体" w:cs="宋体"/>
                <w:szCs w:val="21"/>
              </w:rPr>
              <w:id w:val="271604670"/>
            </w:sdtPr>
            <w:sdtEndPr>
              <w:rPr>
                <w:rFonts w:hint="eastAsia" w:ascii="宋体" w:hAnsi="宋体" w:eastAsia="黑体" w:cs="宋体"/>
                <w:szCs w:val="21"/>
              </w:rPr>
            </w:sdtEndPr>
            <w:sdtContent>
              <w:p>
                <w:pPr>
                  <w:rPr>
                    <w:rFonts w:hint="eastAsia" w:ascii="宋体" w:hAnsi="宋体" w:eastAsia="黑体" w:cs="宋体"/>
                    <w:szCs w:val="21"/>
                  </w:rPr>
                </w:pPr>
                <w:r>
                  <w:rPr>
                    <w:rFonts w:eastAsia="黑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1732" w:type="dxa"/>
            <w:vAlign w:val="center"/>
          </w:tcPr>
          <w:p>
            <w:pPr>
              <w:rPr>
                <w:lang w:eastAsia="ja-JP"/>
              </w:rPr>
            </w:pPr>
          </w:p>
        </w:tc>
        <w:tc>
          <w:tcPr>
            <w:tcW w:w="937" w:type="dxa"/>
            <w:vAlign w:val="center"/>
          </w:tcPr>
          <w:p>
            <w:pPr>
              <w:rPr>
                <w:lang w:eastAsia="ja-JP"/>
              </w:rPr>
            </w:pPr>
          </w:p>
        </w:tc>
        <w:tc>
          <w:tcPr>
            <w:tcW w:w="1870" w:type="dxa"/>
            <w:vAlign w:val="center"/>
          </w:tcPr>
          <w:p>
            <w:pPr>
              <w:rPr>
                <w:lang w:eastAsia="ja-JP"/>
              </w:rPr>
            </w:pPr>
          </w:p>
        </w:tc>
        <w:tc>
          <w:tcPr>
            <w:tcW w:w="177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1732" w:type="dxa"/>
            <w:vAlign w:val="center"/>
          </w:tcPr>
          <w:p>
            <w:pPr>
              <w:rPr>
                <w:lang w:eastAsia="ja-JP"/>
              </w:rPr>
            </w:pPr>
          </w:p>
        </w:tc>
        <w:tc>
          <w:tcPr>
            <w:tcW w:w="937" w:type="dxa"/>
            <w:vAlign w:val="center"/>
          </w:tcPr>
          <w:p>
            <w:pPr>
              <w:rPr>
                <w:lang w:eastAsia="ja-JP"/>
              </w:rPr>
            </w:pPr>
          </w:p>
        </w:tc>
        <w:tc>
          <w:tcPr>
            <w:tcW w:w="1870" w:type="dxa"/>
            <w:vAlign w:val="center"/>
          </w:tcPr>
          <w:p>
            <w:pPr>
              <w:rPr>
                <w:lang w:eastAsia="ja-JP"/>
              </w:rPr>
            </w:pPr>
          </w:p>
        </w:tc>
        <w:tc>
          <w:tcPr>
            <w:tcW w:w="177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732" w:type="dxa"/>
            <w:vAlign w:val="center"/>
          </w:tcPr>
          <w:p>
            <w:pPr>
              <w:rPr>
                <w:lang w:eastAsia="ja-JP"/>
              </w:rPr>
            </w:pPr>
          </w:p>
        </w:tc>
        <w:tc>
          <w:tcPr>
            <w:tcW w:w="937" w:type="dxa"/>
            <w:vAlign w:val="center"/>
          </w:tcPr>
          <w:p>
            <w:pPr>
              <w:rPr>
                <w:lang w:eastAsia="ja-JP"/>
              </w:rPr>
            </w:pPr>
          </w:p>
        </w:tc>
        <w:tc>
          <w:tcPr>
            <w:tcW w:w="1870" w:type="dxa"/>
            <w:vAlign w:val="center"/>
          </w:tcPr>
          <w:p>
            <w:pPr>
              <w:rPr>
                <w:lang w:eastAsia="ja-JP"/>
              </w:rPr>
            </w:pPr>
          </w:p>
        </w:tc>
        <w:tc>
          <w:tcPr>
            <w:tcW w:w="177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1732" w:type="dxa"/>
            <w:vAlign w:val="center"/>
          </w:tcPr>
          <w:p>
            <w:pPr>
              <w:rPr>
                <w:lang w:eastAsia="ja-JP"/>
              </w:rPr>
            </w:pPr>
          </w:p>
        </w:tc>
        <w:tc>
          <w:tcPr>
            <w:tcW w:w="937" w:type="dxa"/>
            <w:vAlign w:val="center"/>
          </w:tcPr>
          <w:p>
            <w:pPr>
              <w:rPr>
                <w:lang w:eastAsia="ja-JP"/>
              </w:rPr>
            </w:pPr>
          </w:p>
        </w:tc>
        <w:tc>
          <w:tcPr>
            <w:tcW w:w="1870" w:type="dxa"/>
            <w:vAlign w:val="center"/>
          </w:tcPr>
          <w:p>
            <w:pPr>
              <w:rPr>
                <w:lang w:eastAsia="ja-JP"/>
              </w:rPr>
            </w:pPr>
          </w:p>
        </w:tc>
        <w:tc>
          <w:tcPr>
            <w:tcW w:w="177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李丽英</w:t>
            </w:r>
          </w:p>
        </w:tc>
        <w:tc>
          <w:tcPr>
            <w:tcW w:w="1089" w:type="dxa"/>
            <w:vAlign w:val="center"/>
          </w:tcPr>
          <w:p>
            <w:r>
              <w:t>组长</w:t>
            </w:r>
          </w:p>
        </w:tc>
        <w:tc>
          <w:tcPr>
            <w:tcW w:w="711" w:type="dxa"/>
            <w:vAlign w:val="center"/>
          </w:tcPr>
          <w:p>
            <w:r>
              <w:t>女</w:t>
            </w:r>
          </w:p>
        </w:tc>
        <w:tc>
          <w:tcPr>
            <w:tcW w:w="3870" w:type="dxa"/>
            <w:vAlign w:val="center"/>
          </w:tcPr>
          <w:p>
            <w:r>
              <w:t>2020-N1EnMS-3021820</w:t>
            </w:r>
          </w:p>
        </w:tc>
        <w:tc>
          <w:tcPr>
            <w:tcW w:w="2179" w:type="dxa"/>
            <w:vAlign w:val="center"/>
          </w:tcPr>
          <w:p>
            <w: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（见□QMS □EcMS□EMS□OHSMS</w:t>
      </w:r>
      <w:r>
        <w:rPr>
          <w:rFonts w:hint="eastAsia"/>
        </w:rPr>
        <w:sym w:font="Wingdings 2" w:char="0052"/>
      </w:r>
      <w:r>
        <w:rPr>
          <w:rFonts w:hint="eastAsia"/>
        </w:rPr>
        <w:t>EnMS□FSMS□HACCP的附件）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pPr>
        <w:rPr>
          <w:highlight w:val="cyan"/>
        </w:rPr>
      </w:pPr>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3360" behindDoc="0" locked="0" layoutInCell="1" allowOverlap="1">
                  <wp:simplePos x="0" y="0"/>
                  <wp:positionH relativeFrom="column">
                    <wp:posOffset>262890</wp:posOffset>
                  </wp:positionH>
                  <wp:positionV relativeFrom="paragraph">
                    <wp:posOffset>23495</wp:posOffset>
                  </wp:positionV>
                  <wp:extent cx="673100" cy="274955"/>
                  <wp:effectExtent l="0" t="0" r="0" b="3810"/>
                  <wp:wrapSquare wrapText="bothSides"/>
                  <wp:docPr id="1"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丽英电子签"/>
                          <pic:cNvPicPr>
                            <a:picLocks noChangeAspect="1"/>
                          </pic:cNvPicPr>
                        </pic:nvPicPr>
                        <pic:blipFill>
                          <a:blip r:embed="rId7"/>
                          <a:stretch>
                            <a:fillRect/>
                          </a:stretch>
                        </pic:blipFill>
                        <pic:spPr>
                          <a:xfrm>
                            <a:off x="0" y="0"/>
                            <a:ext cx="673100" cy="27495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2022.12.2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EnMS体系建立以来□定期（近一年）□其他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rPr>
                      <w:rFonts w:hint="eastAsia"/>
                    </w:rPr>
                    <w:t>活动、产品和服务</w:t>
                  </w:r>
                  <w:r>
                    <w:rPr>
                      <w:rFonts w:hint="eastAsia"/>
                    </w:rPr>
                    <w:sym w:font="Wingdings 2" w:char="0052"/>
                  </w:r>
                  <w:r>
                    <w:rPr>
                      <w:rFonts w:hint="eastAsia"/>
                    </w:rPr>
                    <w:t>战略方向□其他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A3"/>
                  </w:r>
                  <w:r>
                    <w:rPr>
                      <w:rFonts w:hint="eastAsia"/>
                    </w:rPr>
                    <w:t>社区</w:t>
                  </w:r>
                </w:p>
              </w:tc>
              <w:tc>
                <w:tcPr>
                  <w:tcW w:w="6912" w:type="dxa"/>
                </w:tcPr>
                <w:p>
                  <w:pPr>
                    <w:shd w:val="clear" w:color="auto" w:fill="EBF1DE" w:themeFill="accent3" w:themeFillTint="32"/>
                  </w:pPr>
                  <w:r>
                    <w:rPr>
                      <w:rFonts w:hint="eastAsia"/>
                    </w:rPr>
                    <w:t>遵守相关的法律法规、节能减排；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设备管理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节约资源□满足限额要求</w:t>
            </w:r>
            <w:r>
              <w:rPr>
                <w:rFonts w:hint="eastAsia"/>
              </w:rPr>
              <w:sym w:font="Wingdings 2" w:char="0052"/>
            </w:r>
            <w:r>
              <w:rPr>
                <w:rFonts w:hint="eastAsia"/>
              </w:rPr>
              <w:t>主要用能设备管理□能耗测量</w:t>
            </w:r>
          </w:p>
          <w:p>
            <w:pPr>
              <w:shd w:val="clear" w:color="auto" w:fill="EBF1DE" w:themeFill="accent3" w:themeFillTint="32"/>
              <w:spacing w:before="40" w:after="40"/>
            </w:pPr>
            <w:r>
              <w:rPr>
                <w:rFonts w:hint="eastAsia"/>
              </w:rPr>
              <w:t>□节能评估□其他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□生产/服务过程</w:t>
            </w:r>
            <w:r>
              <w:rPr>
                <w:rFonts w:hint="eastAsia"/>
              </w:rPr>
              <w:sym w:font="Wingdings 2" w:char="0052"/>
            </w:r>
            <w:r>
              <w:rPr>
                <w:rFonts w:hint="eastAsia"/>
              </w:rPr>
              <w:t>能效监测</w:t>
            </w:r>
            <w:r>
              <w:rPr>
                <w:rFonts w:hint="eastAsia"/>
              </w:rPr>
              <w:sym w:font="Wingdings 2" w:char="0052"/>
            </w:r>
            <w:r>
              <w:rPr>
                <w:rFonts w:hint="eastAsia"/>
              </w:rPr>
              <w:t>设备维修□人员培训□其他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r>
              <w:rPr>
                <w:rFonts w:hint="eastAsia"/>
                <w:color w:val="000000"/>
                <w:szCs w:val="18"/>
              </w:rPr>
              <w:t>遵守法规  清洁生产  创新改造  提高能效</w:t>
            </w:r>
          </w:p>
          <w:p>
            <w:pPr>
              <w:shd w:val="clear" w:color="auto" w:fill="EBF1DE" w:themeFill="accent3" w:themeFillTint="32"/>
              <w:rPr>
                <w:u w:val="single"/>
              </w:rPr>
            </w:pP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EnMS的主管部门是——</w:t>
            </w:r>
            <w:r>
              <w:rPr>
                <w:rFonts w:hint="eastAsia"/>
                <w:highlight w:val="none"/>
                <w:lang w:val="en-US" w:eastAsia="zh-CN"/>
              </w:rPr>
              <w:t>综合办</w:t>
            </w:r>
            <w:r>
              <w:rPr>
                <w:rFonts w:hint="eastAsia"/>
                <w:lang w:val="en-US" w:eastAsia="zh-CN"/>
              </w:rPr>
              <w:t xml:space="preserve"> </w:t>
            </w:r>
            <w:r>
              <w:rPr>
                <w:rFonts w:hint="eastAsia"/>
              </w:rPr>
              <w:sym w:font="Wingdings 2" w:char="0052"/>
            </w:r>
            <w:r>
              <w:rPr>
                <w:rFonts w:hint="eastAsia"/>
              </w:rPr>
              <w:t>能源管理团队</w:t>
            </w:r>
            <w:r>
              <w:rPr>
                <w:rFonts w:hint="eastAsia"/>
                <w:lang w:eastAsia="zh-CN"/>
              </w:rPr>
              <w:t>——</w:t>
            </w:r>
            <w:r>
              <w:rPr>
                <w:rFonts w:hint="eastAsia"/>
                <w:highlight w:val="none"/>
                <w:lang w:val="en-US" w:eastAsia="zh-CN"/>
              </w:rPr>
              <w:t>生产部</w:t>
            </w:r>
          </w:p>
          <w:p>
            <w:pPr>
              <w:shd w:val="clear" w:color="auto" w:fill="EBF1DE" w:themeFill="accent3" w:themeFillTint="32"/>
              <w:rPr>
                <w:rFonts w:hint="eastAsia" w:eastAsia="宋体"/>
                <w:lang w:val="en-US" w:eastAsia="zh-CN"/>
              </w:rPr>
            </w:pPr>
            <w:r>
              <w:rPr>
                <w:rFonts w:hint="eastAsia"/>
              </w:rPr>
              <w:t>能源管理团队负责人（管理者代表）是——</w:t>
            </w:r>
            <w:r>
              <w:rPr>
                <w:rFonts w:hint="eastAsia"/>
                <w:highlight w:val="none"/>
                <w:lang w:val="en-US" w:eastAsia="zh-CN"/>
              </w:rPr>
              <w:t>华圆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法律法规的变化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及时更新掌握法律部法规的变化，进行合规性评价</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能源供应的中断</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及时了解供方的生产经营情况，寻求备用能源</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能源结构的变化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了解新能源的优势，及时调整</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能源使用包括(必要时，按每个场所来描述):（不必全选）</w:t>
            </w:r>
          </w:p>
          <w:p>
            <w:pPr>
              <w:shd w:val="clear" w:color="auto" w:fill="EBF1DE" w:themeFill="accent3" w:themeFillTint="32"/>
              <w:spacing w:before="40" w:after="40"/>
            </w:pPr>
            <w:r>
              <w:rPr>
                <w:rFonts w:hint="eastAsia"/>
              </w:rPr>
              <w:t>□蒸汽</w:t>
            </w:r>
            <w:r>
              <w:rPr>
                <w:rFonts w:hint="eastAsia"/>
                <w:highlight w:val="none"/>
              </w:rPr>
              <w:sym w:font="Wingdings 2" w:char="00A3"/>
            </w:r>
            <w:r>
              <w:rPr>
                <w:rFonts w:hint="eastAsia"/>
                <w:highlight w:val="none"/>
              </w:rPr>
              <w:t>天然气□燃料油</w:t>
            </w:r>
            <w:r>
              <w:rPr>
                <w:rFonts w:hint="eastAsia"/>
              </w:rPr>
              <w:t>□燃料气</w:t>
            </w:r>
            <w:r>
              <w:rPr>
                <w:rFonts w:hint="eastAsia"/>
              </w:rPr>
              <w:sym w:font="Wingdings 2" w:char="0052"/>
            </w:r>
            <w:r>
              <w:rPr>
                <w:rFonts w:hint="eastAsia"/>
              </w:rPr>
              <w:t>电力□氮气□风</w:t>
            </w:r>
            <w:r>
              <w:rPr>
                <w:rFonts w:hint="eastAsia"/>
              </w:rPr>
              <w:sym w:font="Wingdings 2" w:char="0052"/>
            </w:r>
            <w:r>
              <w:rPr>
                <w:rFonts w:hint="eastAsia"/>
              </w:rPr>
              <w:t>新鲜水□各种品质水</w:t>
            </w:r>
            <w:r>
              <w:rPr>
                <w:rFonts w:hint="eastAsia"/>
                <w:lang w:eastAsia="zh-CN"/>
              </w:rPr>
              <w:t>——</w:t>
            </w:r>
            <w:r>
              <w:rPr>
                <w:rFonts w:hint="eastAsia"/>
                <w:lang w:val="en-US" w:eastAsia="zh-CN"/>
              </w:rPr>
              <w:t>生活饮用水</w:t>
            </w:r>
          </w:p>
          <w:p>
            <w:pPr>
              <w:jc w:val="left"/>
              <w:rPr>
                <w:rFonts w:hint="default" w:eastAsia="宋体"/>
                <w:lang w:val="en-US" w:eastAsia="zh-CN"/>
              </w:rPr>
            </w:pPr>
            <w:r>
              <w:rPr>
                <w:rFonts w:hint="eastAsia"/>
              </w:rPr>
              <w:t>□其他</w:t>
            </w:r>
            <w:r>
              <w:rPr>
                <w:rFonts w:hint="eastAsia"/>
                <w:lang w:eastAsia="zh-CN"/>
              </w:rPr>
              <w:t>——</w:t>
            </w:r>
            <w:r>
              <w:rPr>
                <w:rFonts w:hint="eastAsia"/>
                <w:lang w:val="en-US" w:eastAsia="zh-CN"/>
              </w:rPr>
              <w:t>焊接用的气体</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rPr>
              <w:t>能源绩效参数包括但不限于：</w:t>
            </w:r>
            <w:r>
              <w:rPr>
                <w:rFonts w:hint="eastAsia"/>
              </w:rPr>
              <w:sym w:font="Wingdings 2" w:char="0052"/>
            </w:r>
            <w:r>
              <w:rPr>
                <w:rFonts w:hint="eastAsia"/>
              </w:rPr>
              <w:t>单位产品综合能耗</w:t>
            </w:r>
            <w:r>
              <w:rPr>
                <w:rFonts w:hint="eastAsia"/>
              </w:rPr>
              <w:sym w:font="Wingdings 2" w:char="0052"/>
            </w:r>
            <w:r>
              <w:rPr>
                <w:rFonts w:hint="eastAsia"/>
              </w:rPr>
              <w:t>能源消费总量□单位产品蒸汽消耗□单位产品燃料气消耗□加热炉热效率□其他</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使用能源评审的信息，并考虑适合的时间段，建立能源基准。</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根据企业活动的性质，归一化可以是简单的调整，或者是更加复杂的过程。</w:t>
            </w:r>
          </w:p>
          <w:p>
            <w:pPr>
              <w:jc w:val="left"/>
              <w:rPr>
                <w:rFonts w:asciiTheme="majorEastAsia" w:hAnsiTheme="majorEastAsia" w:eastAsiaTheme="majorEastAsia"/>
              </w:rPr>
            </w:pPr>
            <w:r>
              <w:rPr>
                <w:rFonts w:hint="eastAsia" w:asciiTheme="majorEastAsia" w:hAnsiTheme="majorEastAsia" w:eastAsiaTheme="majorEastAsia"/>
              </w:rPr>
              <w:t>当出现以下一种或多种情况时，应对能源基准进行调整：</w:t>
            </w:r>
          </w:p>
          <w:p>
            <w:pPr>
              <w:jc w:val="left"/>
              <w:rPr>
                <w:rFonts w:asciiTheme="majorEastAsia" w:hAnsiTheme="majorEastAsia" w:eastAsiaTheme="majorEastAsia"/>
              </w:rPr>
            </w:pPr>
            <w:r>
              <w:rPr>
                <w:rFonts w:hint="eastAsia" w:asciiTheme="majorEastAsia" w:hAnsiTheme="majorEastAsia" w:eastAsiaTheme="majorEastAsia"/>
              </w:rPr>
              <w:t>a）能源绩效参数不再能够反映组织的能源绩效时；</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b）与主要能源使用和组织相关的能源消耗；</w:t>
            </w:r>
          </w:p>
          <w:p>
            <w:pPr>
              <w:jc w:val="left"/>
              <w:rPr>
                <w:rFonts w:asciiTheme="majorEastAsia" w:hAnsiTheme="majorEastAsia" w:eastAsiaTheme="majorEastAsia"/>
              </w:rPr>
            </w:pPr>
            <w:r>
              <w:rPr>
                <w:rFonts w:hint="eastAsia" w:asciiTheme="majorEastAsia" w:hAnsiTheme="majorEastAsia" w:eastAsiaTheme="majorEastAsia"/>
              </w:rPr>
              <w:t>c）与主要能源使用相关的运行准则；</w:t>
            </w:r>
          </w:p>
          <w:p>
            <w:pPr>
              <w:jc w:val="left"/>
              <w:rPr>
                <w:rFonts w:asciiTheme="majorEastAsia" w:hAnsiTheme="majorEastAsia" w:eastAsiaTheme="majorEastAsia"/>
              </w:rPr>
            </w:pPr>
            <w:r>
              <w:rPr>
                <w:rFonts w:hint="eastAsia" w:asciiTheme="majorEastAsia" w:hAnsiTheme="majorEastAsia" w:eastAsiaTheme="majorEastAsia"/>
              </w:rPr>
              <w:t>d）适用时，静态因素；</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能源数据收集计划应按规定的时间间隔进行评审，并在适用时更新。</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rPr>
              <w:t>□节能评估报告编号/日期：</w:t>
            </w:r>
          </w:p>
          <w:p>
            <w:pPr>
              <w:shd w:val="clear" w:color="auto" w:fill="EBF1DE" w:themeFill="accent3" w:themeFillTint="32"/>
              <w:rPr>
                <w:rFonts w:hint="default" w:eastAsia="宋体"/>
                <w:lang w:val="en-US" w:eastAsia="zh-CN"/>
              </w:rPr>
            </w:pPr>
            <w:r>
              <w:rPr>
                <w:rFonts w:hint="eastAsia"/>
              </w:rPr>
              <w:sym w:font="Wingdings 2" w:char="0052"/>
            </w:r>
            <w:r>
              <w:rPr>
                <w:rFonts w:hint="eastAsia"/>
              </w:rPr>
              <w:t>能源评审报告编号/日期：</w:t>
            </w:r>
            <w:r>
              <w:rPr>
                <w:rFonts w:hint="eastAsia"/>
                <w:highlight w:val="none"/>
                <w:lang w:val="en-US" w:eastAsia="zh-CN"/>
              </w:rPr>
              <w:t>2022.9</w:t>
            </w:r>
          </w:p>
          <w:p>
            <w:pPr>
              <w:shd w:val="clear" w:color="auto" w:fill="EBF1DE" w:themeFill="accent3" w:themeFillTint="32"/>
            </w:pPr>
            <w:r>
              <w:rPr>
                <w:rFonts w:hint="eastAsia"/>
              </w:rPr>
              <w:t>□节能项目验收报告编号/日期：</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组织策划并采取措施管理其能源评审、合规义务和识别的风险和机遇；</w:t>
            </w:r>
          </w:p>
          <w:p>
            <w:pPr>
              <w:shd w:val="clear" w:color="auto" w:fill="EBF1DE" w:themeFill="accent3" w:themeFillTint="32"/>
            </w:pPr>
            <w:r>
              <w:rPr>
                <w:rFonts w:hint="eastAsia"/>
              </w:rPr>
              <w:t>□限额标准</w:t>
            </w:r>
            <w:r>
              <w:rPr>
                <w:rFonts w:hint="eastAsia"/>
              </w:rPr>
              <w:sym w:font="Wingdings 2" w:char="0052"/>
            </w:r>
            <w:r>
              <w:rPr>
                <w:rFonts w:hint="eastAsia"/>
              </w:rPr>
              <w:t>能源计量管理</w:t>
            </w:r>
            <w:r>
              <w:rPr>
                <w:rFonts w:hint="eastAsia"/>
              </w:rPr>
              <w:sym w:font="Wingdings 2" w:char="0052"/>
            </w:r>
            <w:r>
              <w:rPr>
                <w:rFonts w:hint="eastAsia"/>
              </w:rPr>
              <w:t>使用节能设备</w:t>
            </w:r>
            <w:r>
              <w:rPr>
                <w:rFonts w:hint="eastAsia"/>
              </w:rPr>
              <w:sym w:font="Wingdings 2" w:char="0052"/>
            </w:r>
            <w:r>
              <w:rPr>
                <w:rFonts w:hint="eastAsia"/>
              </w:rPr>
              <w:t>主要耗能设备识别及能效测试</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4"/>
              <w:gridCol w:w="2700"/>
              <w:gridCol w:w="1290"/>
              <w:gridCol w:w="2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shd w:val="clear" w:color="auto" w:fill="auto"/>
                </w:tcPr>
                <w:p>
                  <w:pPr>
                    <w:shd w:val="clear" w:color="auto" w:fill="EBF1DE" w:themeFill="accent3" w:themeFillTint="32"/>
                    <w:rPr>
                      <w:rFonts w:ascii="宋体" w:hAnsi="宋体"/>
                    </w:rPr>
                  </w:pPr>
                  <w:r>
                    <w:rPr>
                      <w:rFonts w:hint="eastAsia" w:ascii="宋体" w:hAnsi="宋体"/>
                    </w:rPr>
                    <w:t>节能目标</w:t>
                  </w:r>
                </w:p>
              </w:tc>
              <w:tc>
                <w:tcPr>
                  <w:tcW w:w="2700"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29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2414" w:type="dxa"/>
                  <w:shd w:val="clear" w:color="auto" w:fill="auto"/>
                </w:tcPr>
                <w:p>
                  <w:pPr>
                    <w:shd w:val="clear" w:color="auto" w:fill="EBF1DE" w:themeFill="accent3" w:themeFillTint="32"/>
                    <w:rPr>
                      <w:rFonts w:hint="eastAsia" w:ascii="宋体" w:hAnsi="宋体" w:eastAsia="宋体"/>
                      <w:lang w:eastAsia="zh-CN"/>
                    </w:rPr>
                  </w:pPr>
                  <w:r>
                    <w:rPr>
                      <w:rFonts w:hint="eastAsia" w:ascii="宋体" w:hAnsi="宋体"/>
                    </w:rPr>
                    <w:t>目标实际完成</w:t>
                  </w:r>
                  <w:r>
                    <w:rPr>
                      <w:rFonts w:hint="eastAsia" w:ascii="宋体" w:hAnsi="宋体"/>
                      <w:lang w:eastAsia="zh-CN"/>
                    </w:rPr>
                    <w:t>（</w:t>
                  </w:r>
                  <w:r>
                    <w:rPr>
                      <w:rFonts w:hint="eastAsia" w:ascii="宋体" w:hAnsi="宋体"/>
                      <w:lang w:val="en-US" w:eastAsia="zh-CN"/>
                    </w:rPr>
                    <w:t>2021年</w:t>
                  </w:r>
                  <w:r>
                    <w:rPr>
                      <w:rFonts w:hint="eastAsia" w:ascii="宋体" w:hAns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shd w:val="clear" w:color="auto" w:fill="auto"/>
                  <w:vAlign w:val="center"/>
                </w:tcPr>
                <w:p>
                  <w:pPr>
                    <w:jc w:val="left"/>
                    <w:rPr>
                      <w:rFonts w:hint="eastAsia" w:ascii="Times New Roman" w:hAnsi="Times New Roman" w:eastAsia="宋体" w:cs="Times New Roman"/>
                      <w:kern w:val="2"/>
                      <w:sz w:val="21"/>
                      <w:szCs w:val="24"/>
                      <w:highlight w:val="yellow"/>
                      <w:lang w:val="en-US" w:eastAsia="zh-CN" w:bidi="ar-SA"/>
                    </w:rPr>
                  </w:pPr>
                  <w:r>
                    <w:rPr>
                      <w:rFonts w:hint="eastAsia" w:ascii="宋体" w:hAnsi="宋体"/>
                      <w:sz w:val="21"/>
                      <w:szCs w:val="21"/>
                    </w:rPr>
                    <w:t>综合能耗，</w:t>
                  </w:r>
                  <w:r>
                    <w:rPr>
                      <w:rFonts w:hint="eastAsia" w:ascii="宋体" w:hAnsi="宋体"/>
                      <w:sz w:val="21"/>
                      <w:szCs w:val="21"/>
                      <w:lang w:val="en-US" w:eastAsia="zh-CN"/>
                    </w:rPr>
                    <w:t xml:space="preserve">85 </w:t>
                  </w:r>
                  <w:r>
                    <w:rPr>
                      <w:rFonts w:hint="eastAsia" w:ascii="宋体" w:hAnsi="宋体"/>
                      <w:sz w:val="21"/>
                      <w:szCs w:val="21"/>
                    </w:rPr>
                    <w:t>tce</w:t>
                  </w:r>
                </w:p>
              </w:tc>
              <w:tc>
                <w:tcPr>
                  <w:tcW w:w="270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yellow"/>
                      <w:lang w:val="en-GB" w:eastAsia="zh-CN" w:bidi="ar-SA"/>
                    </w:rPr>
                  </w:pPr>
                  <w:r>
                    <w:rPr>
                      <w:rFonts w:hint="eastAsia"/>
                      <w:highlight w:val="none"/>
                      <w:lang w:val="en-US" w:eastAsia="zh-CN"/>
                    </w:rPr>
                    <w:t>加强节能管理，控制工艺参数及相关变量的波动</w:t>
                  </w:r>
                </w:p>
              </w:tc>
              <w:tc>
                <w:tcPr>
                  <w:tcW w:w="1290"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4"/>
                      <w:highlight w:val="yellow"/>
                      <w:lang w:val="en-GB" w:eastAsia="zh-CN" w:bidi="ar-SA"/>
                    </w:rPr>
                  </w:pPr>
                  <w:r>
                    <w:rPr>
                      <w:rFonts w:hint="eastAsia"/>
                      <w:highlight w:val="none"/>
                      <w:lang w:val="en-US" w:eastAsia="zh-CN"/>
                    </w:rPr>
                    <w:t>综合办</w:t>
                  </w:r>
                </w:p>
              </w:tc>
              <w:tc>
                <w:tcPr>
                  <w:tcW w:w="2414" w:type="dxa"/>
                  <w:shd w:val="clear" w:color="auto" w:fill="auto"/>
                  <w:vAlign w:val="center"/>
                </w:tcPr>
                <w:p>
                  <w:pPr>
                    <w:jc w:val="center"/>
                    <w:rPr>
                      <w:rFonts w:ascii="宋体" w:hAnsi="宋体" w:eastAsia="宋体" w:cs="Times New Roman"/>
                      <w:kern w:val="2"/>
                      <w:sz w:val="21"/>
                      <w:szCs w:val="24"/>
                      <w:highlight w:val="yellow"/>
                      <w:lang w:val="en-GB" w:eastAsia="zh-CN" w:bidi="ar-SA"/>
                    </w:rPr>
                  </w:pPr>
                  <w:r>
                    <w:rPr>
                      <w:rFonts w:hint="eastAsia" w:ascii="宋体" w:hAnsi="宋体"/>
                      <w:sz w:val="21"/>
                      <w:szCs w:val="21"/>
                      <w:lang w:val="en-US" w:eastAsia="zh-CN"/>
                    </w:rPr>
                    <w:t xml:space="preserve">83.56 </w:t>
                  </w:r>
                  <w:r>
                    <w:rPr>
                      <w:rFonts w:hint="eastAsia" w:ascii="宋体" w:hAnsi="宋体"/>
                      <w:sz w:val="21"/>
                      <w:szCs w:val="21"/>
                    </w:rPr>
                    <w:t>tce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shd w:val="clear" w:color="auto" w:fill="auto"/>
                  <w:vAlign w:val="center"/>
                </w:tcPr>
                <w:p>
                  <w:pPr>
                    <w:jc w:val="left"/>
                    <w:rPr>
                      <w:rFonts w:hint="eastAsia" w:ascii="Times New Roman" w:hAnsi="Times New Roman" w:eastAsia="宋体" w:cs="Times New Roman"/>
                      <w:kern w:val="2"/>
                      <w:sz w:val="21"/>
                      <w:szCs w:val="24"/>
                      <w:highlight w:val="yellow"/>
                      <w:lang w:val="en-US" w:eastAsia="zh-CN" w:bidi="ar-SA"/>
                    </w:rPr>
                  </w:pPr>
                  <w:r>
                    <w:rPr>
                      <w:rFonts w:hint="eastAsia" w:ascii="宋体" w:hAnsi="宋体"/>
                      <w:sz w:val="21"/>
                      <w:szCs w:val="21"/>
                    </w:rPr>
                    <w:t>单位产品综合能耗</w:t>
                  </w:r>
                  <w:r>
                    <w:rPr>
                      <w:rFonts w:hint="eastAsia" w:ascii="宋体" w:hAnsi="宋体"/>
                      <w:sz w:val="21"/>
                      <w:szCs w:val="21"/>
                      <w:lang w:val="en-US" w:eastAsia="zh-CN"/>
                    </w:rPr>
                    <w:t xml:space="preserve">0.8 </w:t>
                  </w:r>
                  <w:r>
                    <w:rPr>
                      <w:rFonts w:hint="eastAsia" w:ascii="宋体" w:hAnsi="宋体"/>
                      <w:sz w:val="21"/>
                      <w:szCs w:val="21"/>
                    </w:rPr>
                    <w:t>tce/</w:t>
                  </w:r>
                  <w:r>
                    <w:rPr>
                      <w:rFonts w:hint="eastAsia" w:ascii="宋体" w:hAnsi="宋体"/>
                      <w:sz w:val="21"/>
                      <w:szCs w:val="21"/>
                      <w:lang w:val="en-US" w:eastAsia="zh-CN"/>
                    </w:rPr>
                    <w:t>台</w:t>
                  </w:r>
                </w:p>
              </w:tc>
              <w:tc>
                <w:tcPr>
                  <w:tcW w:w="2700" w:type="dxa"/>
                  <w:shd w:val="clear" w:color="auto" w:fill="auto"/>
                  <w:vAlign w:val="center"/>
                </w:tcPr>
                <w:p>
                  <w:pPr>
                    <w:shd w:val="clear" w:color="auto" w:fill="EBF1DE" w:themeFill="accent3" w:themeFillTint="32"/>
                    <w:rPr>
                      <w:rFonts w:hint="default" w:ascii="宋体" w:hAnsi="宋体" w:eastAsia="宋体" w:cs="Times New Roman"/>
                      <w:kern w:val="2"/>
                      <w:sz w:val="21"/>
                      <w:szCs w:val="24"/>
                      <w:highlight w:val="yellow"/>
                      <w:lang w:val="en-US" w:eastAsia="zh-CN" w:bidi="ar-SA"/>
                    </w:rPr>
                  </w:pPr>
                  <w:r>
                    <w:rPr>
                      <w:rFonts w:hint="eastAsia"/>
                      <w:highlight w:val="none"/>
                      <w:lang w:val="en-US" w:eastAsia="zh-CN"/>
                    </w:rPr>
                    <w:t>加强节能管理，控制工艺参数及相关变量的波动，提高产品产量</w:t>
                  </w:r>
                </w:p>
              </w:tc>
              <w:tc>
                <w:tcPr>
                  <w:tcW w:w="1290" w:type="dxa"/>
                  <w:shd w:val="clear" w:color="auto" w:fill="auto"/>
                  <w:vAlign w:val="center"/>
                </w:tcPr>
                <w:p>
                  <w:pPr>
                    <w:shd w:val="clear" w:color="auto" w:fill="EBF1DE" w:themeFill="accent3" w:themeFillTint="32"/>
                    <w:rPr>
                      <w:rFonts w:hint="eastAsia" w:ascii="宋体" w:hAnsi="宋体" w:eastAsia="宋体" w:cs="Times New Roman"/>
                      <w:kern w:val="2"/>
                      <w:sz w:val="21"/>
                      <w:szCs w:val="24"/>
                      <w:highlight w:val="yellow"/>
                      <w:lang w:val="en-US" w:eastAsia="zh-CN" w:bidi="ar-SA"/>
                    </w:rPr>
                  </w:pPr>
                  <w:r>
                    <w:rPr>
                      <w:rFonts w:hint="eastAsia" w:ascii="宋体" w:hAnsi="宋体"/>
                      <w:highlight w:val="none"/>
                      <w:lang w:val="en-US" w:eastAsia="zh-CN"/>
                    </w:rPr>
                    <w:t>生产部</w:t>
                  </w:r>
                </w:p>
              </w:tc>
              <w:tc>
                <w:tcPr>
                  <w:tcW w:w="2414" w:type="dxa"/>
                  <w:shd w:val="clear" w:color="auto" w:fill="auto"/>
                  <w:vAlign w:val="center"/>
                </w:tcPr>
                <w:p>
                  <w:pPr>
                    <w:jc w:val="center"/>
                    <w:rPr>
                      <w:rFonts w:hint="default" w:ascii="宋体" w:hAnsi="宋体" w:eastAsia="宋体" w:cs="Times New Roman"/>
                      <w:kern w:val="2"/>
                      <w:sz w:val="21"/>
                      <w:szCs w:val="24"/>
                      <w:highlight w:val="yellow"/>
                      <w:lang w:val="en-US" w:eastAsia="zh-CN" w:bidi="ar-SA"/>
                    </w:rPr>
                  </w:pPr>
                  <w:r>
                    <w:rPr>
                      <w:rFonts w:hint="eastAsia" w:ascii="宋体" w:hAnsi="宋体"/>
                      <w:sz w:val="21"/>
                      <w:szCs w:val="21"/>
                      <w:lang w:val="en-US" w:eastAsia="zh-CN"/>
                    </w:rPr>
                    <w:t xml:space="preserve">0.68 </w:t>
                  </w:r>
                  <w:r>
                    <w:rPr>
                      <w:rFonts w:hint="eastAsia" w:ascii="宋体" w:hAnsi="宋体"/>
                      <w:sz w:val="21"/>
                      <w:szCs w:val="21"/>
                    </w:rPr>
                    <w:t>tce/</w:t>
                  </w:r>
                  <w:r>
                    <w:rPr>
                      <w:rFonts w:hint="eastAsia" w:ascii="宋体" w:hAnsi="宋体"/>
                      <w:sz w:val="21"/>
                      <w:szCs w:val="21"/>
                      <w:lang w:val="en-US" w:eastAsia="zh-CN"/>
                    </w:rPr>
                    <w:t>台</w:t>
                  </w:r>
                  <w:bookmarkStart w:id="34" w:name="_GoBack"/>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shd w:val="clear" w:color="auto" w:fill="auto"/>
                  <w:vAlign w:val="center"/>
                </w:tcPr>
                <w:p>
                  <w:pPr>
                    <w:jc w:val="left"/>
                  </w:pPr>
                  <w:r>
                    <w:rPr>
                      <w:rFonts w:hint="eastAsia" w:ascii="宋体" w:hAnsi="宋体"/>
                      <w:sz w:val="21"/>
                      <w:szCs w:val="21"/>
                    </w:rPr>
                    <w:t>单位产值综合能耗</w:t>
                  </w:r>
                  <w:r>
                    <w:rPr>
                      <w:rFonts w:hint="eastAsia" w:ascii="宋体" w:hAnsi="宋体"/>
                      <w:sz w:val="21"/>
                      <w:szCs w:val="21"/>
                      <w:lang w:val="en-US" w:eastAsia="zh-CN"/>
                    </w:rPr>
                    <w:t>5.00 kg</w:t>
                  </w:r>
                  <w:r>
                    <w:rPr>
                      <w:rFonts w:hint="eastAsia" w:ascii="宋体" w:hAnsi="宋体"/>
                      <w:sz w:val="21"/>
                      <w:szCs w:val="21"/>
                    </w:rPr>
                    <w:t>ce/万元</w:t>
                  </w:r>
                </w:p>
              </w:tc>
              <w:tc>
                <w:tcPr>
                  <w:tcW w:w="2700"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提高产品附加值</w:t>
                  </w:r>
                </w:p>
              </w:tc>
              <w:tc>
                <w:tcPr>
                  <w:tcW w:w="1290"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综合办/生产部</w:t>
                  </w:r>
                </w:p>
              </w:tc>
              <w:tc>
                <w:tcPr>
                  <w:tcW w:w="2414" w:type="dxa"/>
                  <w:shd w:val="clear" w:color="auto" w:fill="auto"/>
                  <w:vAlign w:val="center"/>
                </w:tcPr>
                <w:p>
                  <w:pPr>
                    <w:jc w:val="center"/>
                    <w:rPr>
                      <w:rFonts w:hint="default" w:ascii="宋体" w:hAnsi="宋体"/>
                      <w:lang w:val="en-US"/>
                    </w:rPr>
                  </w:pPr>
                  <w:r>
                    <w:rPr>
                      <w:rFonts w:hint="eastAsia" w:ascii="宋体" w:hAnsi="宋体"/>
                      <w:sz w:val="21"/>
                      <w:szCs w:val="21"/>
                      <w:lang w:val="en-US" w:eastAsia="zh-CN"/>
                    </w:rPr>
                    <w:t>4.64 kg</w:t>
                  </w:r>
                  <w:r>
                    <w:rPr>
                      <w:rFonts w:hint="eastAsia" w:ascii="宋体" w:hAnsi="宋体"/>
                      <w:sz w:val="21"/>
                      <w:szCs w:val="21"/>
                    </w:rPr>
                    <w:t>ce/万元</w:t>
                  </w:r>
                </w:p>
              </w:tc>
            </w:tr>
          </w:tbl>
          <w:p>
            <w:pPr>
              <w:shd w:val="clear" w:color="auto" w:fill="EBF1DE" w:themeFill="accent3" w:themeFillTint="32"/>
              <w:rPr>
                <w:rFonts w:hint="default" w:eastAsia="宋体"/>
                <w:highlight w:val="none"/>
                <w:lang w:val="en-US" w:eastAsia="zh-CN"/>
              </w:rPr>
            </w:pPr>
            <w:r>
              <w:rPr>
                <w:rFonts w:hint="eastAsia" w:ascii="Wingdings" w:hAnsi="Wingdings"/>
                <w:highlight w:val="none"/>
                <w:lang w:eastAsia="zh-CN"/>
              </w:rPr>
              <w:sym w:font="Wingdings 2" w:char="0052"/>
            </w:r>
            <w:r>
              <w:rPr>
                <w:rFonts w:hint="eastAsia"/>
                <w:highlight w:val="none"/>
              </w:rPr>
              <w:t>目标已实现</w:t>
            </w:r>
            <w:r>
              <w:rPr>
                <w:rFonts w:hint="eastAsia"/>
                <w:highlight w:val="none"/>
                <w:lang w:val="en-US" w:eastAsia="zh-CN"/>
              </w:rPr>
              <w:t>。</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rPr>
              <w:sym w:font="Wingdings 2" w:char="0052"/>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p>
          <w:p>
            <w:pPr>
              <w:shd w:val="clear" w:color="auto" w:fill="EBF1DE" w:themeFill="accent3" w:themeFillTint="32"/>
            </w:pPr>
            <w:r>
              <w:rPr>
                <w:rFonts w:hint="eastAsia"/>
              </w:rPr>
              <w:t>□组织现有内部资源的能力完全不能满足能源管理体系运行，需要从外部供方获得：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sym w:font="Wingdings 2" w:char="0052"/>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p>
          <w:p>
            <w:pPr>
              <w:shd w:val="clear" w:color="auto" w:fill="EBF1DE" w:themeFill="accent3" w:themeFillTint="32"/>
            </w:pPr>
            <w:r>
              <w:rPr>
                <w:rFonts w:hint="eastAsia"/>
              </w:rPr>
              <w:t>□组织现有人力资源的能力完全不能满足能源管理体系运行，需要从外部供方获得：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highlight w:val="yellow"/>
              </w:rPr>
            </w:pPr>
            <w:r>
              <w:rPr>
                <w:rFonts w:hint="eastAsia"/>
                <w:lang w:val="en-US" w:eastAsia="zh-CN"/>
              </w:rPr>
              <w:t>企业占地78亩（50365平方米）</w:t>
            </w:r>
            <w:r>
              <w:rPr>
                <w:rFonts w:hint="eastAsia"/>
              </w:rPr>
              <w:t>建筑面积</w:t>
            </w:r>
            <w:r>
              <w:rPr>
                <w:rFonts w:hint="eastAsia"/>
                <w:highlight w:val="none"/>
                <w:lang w:val="en-US" w:eastAsia="zh-CN"/>
              </w:rPr>
              <w:t>20000</w:t>
            </w:r>
            <w:r>
              <w:rPr>
                <w:rFonts w:hint="eastAsia"/>
                <w:highlight w:val="none"/>
              </w:rPr>
              <w:t>平方米；生产车间</w:t>
            </w:r>
            <w:r>
              <w:rPr>
                <w:rFonts w:hint="eastAsia"/>
                <w:highlight w:val="none"/>
                <w:lang w:val="en-US" w:eastAsia="zh-CN"/>
              </w:rPr>
              <w:t>2</w:t>
            </w:r>
            <w:r>
              <w:rPr>
                <w:rFonts w:hint="eastAsia"/>
                <w:highlight w:val="none"/>
              </w:rPr>
              <w:t>个</w:t>
            </w:r>
            <w:r>
              <w:rPr>
                <w:rFonts w:hint="eastAsia"/>
                <w:highlight w:val="none"/>
                <w:lang w:eastAsia="zh-CN"/>
              </w:rPr>
              <w:t>（</w:t>
            </w:r>
            <w:r>
              <w:rPr>
                <w:rFonts w:hint="eastAsia"/>
                <w:highlight w:val="none"/>
                <w:lang w:val="en-US" w:eastAsia="zh-CN"/>
              </w:rPr>
              <w:t>下料</w:t>
            </w:r>
            <w:r>
              <w:rPr>
                <w:rFonts w:hint="eastAsia"/>
                <w:sz w:val="21"/>
                <w:szCs w:val="21"/>
                <w:highlight w:val="none"/>
                <w:lang w:val="en-US" w:eastAsia="zh-CN"/>
              </w:rPr>
              <w:t>车间、生产车间</w:t>
            </w:r>
            <w:r>
              <w:rPr>
                <w:rFonts w:hint="eastAsia"/>
                <w:highlight w:val="none"/>
                <w:lang w:eastAsia="zh-CN"/>
              </w:rPr>
              <w:t>）</w:t>
            </w:r>
            <w:r>
              <w:rPr>
                <w:rFonts w:hint="eastAsia"/>
                <w:highlight w:val="none"/>
              </w:rPr>
              <w:t>；库房</w:t>
            </w:r>
            <w:r>
              <w:rPr>
                <w:rFonts w:hint="eastAsia"/>
                <w:highlight w:val="none"/>
                <w:lang w:val="en-US" w:eastAsia="zh-CN"/>
              </w:rPr>
              <w:t>1</w:t>
            </w:r>
            <w:r>
              <w:rPr>
                <w:rFonts w:hint="eastAsia"/>
                <w:highlight w:val="none"/>
              </w:rPr>
              <w:t>个</w:t>
            </w:r>
            <w:r>
              <w:rPr>
                <w:rFonts w:hint="eastAsia"/>
                <w:highlight w:val="none"/>
                <w:lang w:eastAsia="zh-CN"/>
              </w:rPr>
              <w:t>（</w:t>
            </w:r>
            <w:r>
              <w:rPr>
                <w:rFonts w:hint="eastAsia"/>
                <w:highlight w:val="none"/>
                <w:lang w:val="en-US" w:eastAsia="zh-CN"/>
              </w:rPr>
              <w:t>在厂房内，包括原料区和产品区</w:t>
            </w:r>
            <w:r>
              <w:rPr>
                <w:rFonts w:hint="eastAsia"/>
                <w:highlight w:val="none"/>
                <w:lang w:eastAsia="zh-CN"/>
              </w:rPr>
              <w:t>）</w:t>
            </w:r>
            <w:r>
              <w:rPr>
                <w:rFonts w:hint="eastAsia"/>
                <w:highlight w:val="none"/>
              </w:rPr>
              <w:t>；实验室</w:t>
            </w:r>
            <w:r>
              <w:rPr>
                <w:rFonts w:hint="eastAsia"/>
                <w:highlight w:val="none"/>
                <w:lang w:val="en-US" w:eastAsia="zh-CN"/>
              </w:rPr>
              <w:t>/</w:t>
            </w:r>
            <w:r>
              <w:rPr>
                <w:rFonts w:hint="eastAsia"/>
                <w:highlight w:val="none"/>
              </w:rPr>
              <w:t>个；</w:t>
            </w:r>
          </w:p>
          <w:p>
            <w:pPr>
              <w:shd w:val="clear" w:color="auto" w:fill="EBF1DE" w:themeFill="accent3" w:themeFillTint="32"/>
              <w:rPr>
                <w:highlight w:val="none"/>
                <w:u w:val="single"/>
              </w:rPr>
            </w:pPr>
            <w:r>
              <w:rPr>
                <w:rFonts w:hint="eastAsia"/>
              </w:rPr>
              <w:t>主要生产设备有：</w:t>
            </w:r>
            <w:r>
              <w:rPr>
                <w:rFonts w:hint="eastAsia"/>
                <w:color w:val="000000"/>
                <w:szCs w:val="22"/>
                <w:highlight w:val="none"/>
                <w:u w:val="single"/>
                <w:lang w:val="en-US" w:eastAsia="zh-CN"/>
              </w:rPr>
              <w:t>数控冲床</w:t>
            </w:r>
            <w:r>
              <w:rPr>
                <w:rFonts w:hint="eastAsia"/>
                <w:color w:val="000000"/>
                <w:szCs w:val="22"/>
                <w:highlight w:val="none"/>
                <w:u w:val="single"/>
              </w:rPr>
              <w:t>、</w:t>
            </w:r>
            <w:r>
              <w:rPr>
                <w:rFonts w:hint="eastAsia"/>
                <w:color w:val="000000"/>
                <w:szCs w:val="22"/>
                <w:highlight w:val="none"/>
                <w:u w:val="single"/>
                <w:lang w:val="en-US" w:eastAsia="zh-CN"/>
              </w:rPr>
              <w:t>激光剪版</w:t>
            </w:r>
            <w:r>
              <w:rPr>
                <w:rFonts w:hint="eastAsia"/>
                <w:color w:val="000000"/>
                <w:szCs w:val="22"/>
                <w:highlight w:val="none"/>
                <w:u w:val="single"/>
              </w:rPr>
              <w:t>机、</w:t>
            </w:r>
            <w:r>
              <w:rPr>
                <w:rFonts w:hint="eastAsia"/>
                <w:color w:val="000000"/>
                <w:szCs w:val="22"/>
                <w:highlight w:val="none"/>
                <w:u w:val="single"/>
                <w:lang w:val="en-US" w:eastAsia="zh-CN"/>
              </w:rPr>
              <w:t>空压机、折弯机等</w:t>
            </w:r>
            <w:r>
              <w:rPr>
                <w:rFonts w:hint="eastAsia"/>
                <w:highlight w:val="none"/>
                <w:u w:val="single"/>
              </w:rPr>
              <w:t>（列举2~4种）</w:t>
            </w:r>
          </w:p>
          <w:p>
            <w:pPr>
              <w:shd w:val="clear" w:color="auto" w:fill="EBF1DE" w:themeFill="accent3" w:themeFillTint="32"/>
              <w:rPr>
                <w:rFonts w:hint="default" w:eastAsia="宋体"/>
                <w:highlight w:val="none"/>
                <w:u w:val="single"/>
                <w:lang w:val="en-US" w:eastAsia="zh-CN"/>
              </w:rPr>
            </w:pPr>
            <w:r>
              <w:rPr>
                <w:rFonts w:hint="eastAsia"/>
                <w:highlight w:val="none"/>
              </w:rPr>
              <w:t>主要耗能设备有：</w:t>
            </w:r>
            <w:r>
              <w:rPr>
                <w:rFonts w:hint="eastAsia"/>
                <w:color w:val="000000"/>
                <w:szCs w:val="22"/>
                <w:highlight w:val="none"/>
                <w:u w:val="single"/>
                <w:lang w:val="en-US" w:eastAsia="zh-CN"/>
              </w:rPr>
              <w:t>数控冲床</w:t>
            </w:r>
            <w:r>
              <w:rPr>
                <w:rFonts w:hint="eastAsia"/>
                <w:color w:val="000000"/>
                <w:szCs w:val="22"/>
                <w:highlight w:val="none"/>
                <w:u w:val="single"/>
              </w:rPr>
              <w:t>、</w:t>
            </w:r>
            <w:r>
              <w:rPr>
                <w:rFonts w:hint="eastAsia"/>
                <w:color w:val="000000"/>
                <w:szCs w:val="22"/>
                <w:highlight w:val="none"/>
                <w:u w:val="single"/>
                <w:lang w:val="en-US" w:eastAsia="zh-CN"/>
              </w:rPr>
              <w:t>空压机、变压器</w:t>
            </w:r>
            <w:r>
              <w:rPr>
                <w:rFonts w:hint="eastAsia"/>
                <w:highlight w:val="none"/>
                <w:u w:val="single"/>
              </w:rPr>
              <w:t>（列举2~4种）</w:t>
            </w:r>
            <w:r>
              <w:rPr>
                <w:rFonts w:hint="eastAsia"/>
                <w:highlight w:val="none"/>
                <w:u w:val="single"/>
                <w:lang w:eastAsia="zh-CN"/>
              </w:rPr>
              <w:t>——</w:t>
            </w:r>
            <w:r>
              <w:rPr>
                <w:rFonts w:hint="eastAsia"/>
                <w:highlight w:val="none"/>
                <w:u w:val="single"/>
                <w:lang w:val="en-US" w:eastAsia="zh-CN"/>
              </w:rPr>
              <w:t>无大于100kw的重点用能设备</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sym w:font="Wingdings 2" w:char="0052"/>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sym w:font="Wingdings 2" w:char="0052"/>
            </w:r>
            <w:r>
              <w:rPr>
                <w:rFonts w:hint="eastAsia"/>
              </w:rPr>
              <w:t>电梯</w:t>
            </w:r>
          </w:p>
          <w:p>
            <w:pPr>
              <w:shd w:val="clear" w:color="auto" w:fill="EBF1DE" w:themeFill="accent3" w:themeFillTint="32"/>
            </w:pPr>
            <w:r>
              <w:rPr>
                <w:rFonts w:hint="eastAsia"/>
              </w:rPr>
              <w:t>辅助场所：</w:t>
            </w:r>
            <w:r>
              <w:rPr>
                <w:rFonts w:hint="eastAsia" w:ascii="Wingdings" w:hAnsi="Wingdings"/>
                <w:lang w:eastAsia="zh-CN"/>
              </w:rPr>
              <w:sym w:font="Wingdings 2" w:char="00A3"/>
            </w:r>
            <w:r>
              <w:rPr>
                <w:rFonts w:hint="eastAsia"/>
              </w:rPr>
              <w:t>高压配电室</w:t>
            </w:r>
            <w:r>
              <w:rPr>
                <w:rFonts w:hint="eastAsia" w:ascii="Wingdings" w:hAnsi="Wingdings"/>
                <w:lang w:eastAsia="zh-CN"/>
              </w:rPr>
              <w:sym w:font="Wingdings 2" w:char="0052"/>
            </w:r>
            <w:r>
              <w:rPr>
                <w:rFonts w:hint="eastAsia"/>
              </w:rPr>
              <w:t>低压配电</w:t>
            </w:r>
            <w:r>
              <w:rPr>
                <w:rFonts w:hint="eastAsia"/>
                <w:lang w:val="en-US" w:eastAsia="zh-CN"/>
              </w:rPr>
              <w:t>箱</w:t>
            </w:r>
            <w:r>
              <w:rPr>
                <w:rFonts w:hint="eastAsia" w:ascii="Wingdings" w:hAnsi="Wingdings"/>
                <w:lang w:eastAsia="zh-CN"/>
              </w:rPr>
              <w:sym w:font="Wingdings 2" w:char="0052"/>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sym w:font="Wingdings 2" w:char="0052"/>
            </w:r>
            <w:r>
              <w:rPr>
                <w:rFonts w:hint="eastAsia"/>
              </w:rPr>
              <w:t>食堂</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p>
          <w:p>
            <w:pPr>
              <w:shd w:val="clear" w:color="auto" w:fill="EBF1DE" w:themeFill="accent3" w:themeFillTint="32"/>
              <w:rPr>
                <w:u w:val="single"/>
              </w:rPr>
            </w:pPr>
            <w:r>
              <w:rPr>
                <w:rFonts w:hint="eastAsia"/>
              </w:rPr>
              <w:t>□组织现有基础设施完全不能满足能源管理体系运行，需要从外部供方获得：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计量器具的测量溯源方法：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能源计量器具有：</w:t>
            </w:r>
            <w:r>
              <w:rPr>
                <w:rFonts w:hint="eastAsia"/>
                <w:highlight w:val="none"/>
                <w:u w:val="single"/>
                <w:lang w:val="en-US" w:eastAsia="zh-CN"/>
              </w:rPr>
              <w:t>电表、水表、</w:t>
            </w:r>
            <w:r>
              <w:rPr>
                <w:rFonts w:hint="eastAsia"/>
                <w:highlight w:val="none"/>
                <w:u w:val="single"/>
              </w:rPr>
              <w:t>（列举1~4种）</w:t>
            </w:r>
          </w:p>
          <w:p>
            <w:pPr>
              <w:shd w:val="clear" w:color="auto" w:fill="EBF1DE" w:themeFill="accent3" w:themeFillTint="32"/>
              <w:rPr>
                <w:rFonts w:hint="default" w:eastAsia="宋体"/>
                <w:u w:val="single"/>
                <w:lang w:val="en-US" w:eastAsia="zh-CN"/>
              </w:rPr>
            </w:pPr>
            <w:r>
              <w:rPr>
                <w:rFonts w:hint="eastAsia"/>
              </w:rPr>
              <w:t>计量器具管理：</w:t>
            </w:r>
            <w:r>
              <w:rPr>
                <w:rFonts w:hint="eastAsia" w:ascii="Wingdings" w:hAnsi="Wingdings"/>
                <w:highlight w:val="none"/>
                <w:lang w:eastAsia="zh-CN"/>
              </w:rPr>
              <w:sym w:font="Wingdings 2" w:char="00A3"/>
            </w:r>
            <w:r>
              <w:rPr>
                <w:rFonts w:hint="eastAsia"/>
                <w:highlight w:val="none"/>
              </w:rPr>
              <w:t>进行了定期校准</w:t>
            </w:r>
            <w:r>
              <w:rPr>
                <w:rFonts w:hint="eastAsia"/>
              </w:rPr>
              <w:t>/检定</w:t>
            </w:r>
            <w:r>
              <w:rPr>
                <w:rFonts w:hint="eastAsia" w:ascii="Wingdings" w:hAnsi="Wingdings"/>
                <w:lang w:eastAsia="zh-CN"/>
              </w:rPr>
              <w:sym w:font="Wingdings 2" w:char="0052"/>
            </w:r>
            <w:r>
              <w:rPr>
                <w:rFonts w:hint="eastAsia"/>
              </w:rPr>
              <w:t>未</w:t>
            </w:r>
            <w:r>
              <w:rPr>
                <w:rFonts w:hint="eastAsia"/>
                <w:lang w:val="en-US" w:eastAsia="zh-CN"/>
              </w:rPr>
              <w:t>提供</w:t>
            </w:r>
            <w:r>
              <w:rPr>
                <w:rFonts w:hint="eastAsia"/>
              </w:rPr>
              <w:t>行定期校准/检定</w:t>
            </w:r>
            <w:r>
              <w:rPr>
                <w:rFonts w:hint="eastAsia"/>
                <w:lang w:val="en-US" w:eastAsia="zh-CN"/>
              </w:rPr>
              <w:t>报告，企业介绍</w:t>
            </w:r>
            <w:r>
              <w:rPr>
                <w:rFonts w:hint="eastAsia"/>
              </w:rPr>
              <w:t>：</w:t>
            </w:r>
            <w:r>
              <w:rPr>
                <w:rFonts w:hint="eastAsia"/>
                <w:highlight w:val="none"/>
                <w:lang w:val="en-US" w:eastAsia="zh-CN"/>
              </w:rPr>
              <w:t>由供方电力公司和水务公司校验</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组织为满足节能管理的要求，已对用能过程建立了相应的运行准则；按照运行准则实施过程控制。策划文件包括：</w:t>
            </w:r>
          </w:p>
          <w:p>
            <w:pPr>
              <w:shd w:val="clear" w:color="auto" w:fill="EBF1DE" w:themeFill="accent3" w:themeFillTint="32"/>
            </w:pPr>
            <w:r>
              <w:rPr>
                <w:rFonts w:hint="eastAsia" w:ascii="Wingdings" w:hAnsi="Wingdings"/>
                <w:color w:val="auto"/>
                <w:lang w:eastAsia="zh-CN"/>
              </w:rPr>
              <w:t>□</w:t>
            </w:r>
            <w:r>
              <w:rPr>
                <w:rFonts w:hint="eastAsia"/>
                <w:color w:val="auto"/>
              </w:rPr>
              <w:t>操作规程</w:t>
            </w:r>
            <w:r>
              <w:rPr>
                <w:rFonts w:hint="eastAsia" w:ascii="Wingdings" w:hAnsi="Wingdings"/>
                <w:color w:val="auto"/>
                <w:lang w:eastAsia="zh-CN"/>
              </w:rPr>
              <w:sym w:font="Wingdings 2" w:char="0052"/>
            </w:r>
            <w:r>
              <w:rPr>
                <w:rFonts w:hint="eastAsia"/>
                <w:color w:val="auto"/>
              </w:rPr>
              <w:t>作业文件</w:t>
            </w:r>
            <w:r>
              <w:rPr>
                <w:rFonts w:hint="eastAsia" w:ascii="Wingdings" w:hAnsi="Wingdings"/>
                <w:color w:val="auto"/>
                <w:lang w:eastAsia="zh-CN"/>
              </w:rPr>
              <w:t>□</w:t>
            </w:r>
            <w:r>
              <w:rPr>
                <w:rFonts w:hint="eastAsia"/>
                <w:color w:val="auto"/>
              </w:rPr>
              <w:t>工艺卡片</w:t>
            </w:r>
            <w:r>
              <w:rPr>
                <w:rFonts w:hint="eastAsia" w:ascii="Wingdings" w:hAnsi="Wingdings"/>
                <w:color w:val="auto"/>
                <w:lang w:eastAsia="zh-CN"/>
              </w:rPr>
              <w:sym w:font="Wingdings 2" w:char="0052"/>
            </w:r>
            <w:r>
              <w:rPr>
                <w:rFonts w:hint="eastAsia"/>
                <w:color w:val="auto"/>
              </w:rPr>
              <w:t>接收准则</w:t>
            </w:r>
            <w:r>
              <w:rPr>
                <w:rFonts w:hint="eastAsia" w:ascii="Wingdings" w:hAnsi="Wingdings"/>
                <w:color w:val="auto"/>
                <w:lang w:eastAsia="zh-CN"/>
              </w:rPr>
              <w:t>□</w:t>
            </w:r>
            <w:r>
              <w:rPr>
                <w:rFonts w:hint="eastAsia"/>
                <w:color w:val="auto"/>
              </w:rPr>
              <w:t>工艺流程图</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审核期间内，设计和开发新产品/项目名称：</w:t>
            </w:r>
            <w:r>
              <w:rPr>
                <w:rFonts w:hint="eastAsia"/>
                <w:color w:val="000000"/>
                <w:szCs w:val="18"/>
                <w:highlight w:val="none"/>
                <w:u w:val="single"/>
                <w:lang w:val="en-US" w:eastAsia="zh-CN"/>
              </w:rPr>
              <w:t>烫光机</w:t>
            </w:r>
            <w:r>
              <w:rPr>
                <w:rFonts w:hint="eastAsia"/>
                <w:highlight w:val="none"/>
                <w:u w:val="single"/>
              </w:rPr>
              <w:t>（</w:t>
            </w:r>
            <w:r>
              <w:rPr>
                <w:rFonts w:hint="eastAsia"/>
                <w:highlight w:val="none"/>
              </w:rPr>
              <w:t>举1例）</w:t>
            </w:r>
          </w:p>
          <w:p>
            <w:pPr>
              <w:shd w:val="clear" w:color="auto" w:fill="EBF1DE" w:themeFill="accent3" w:themeFillTint="32"/>
            </w:pPr>
            <w:r>
              <w:rPr>
                <w:rFonts w:hint="eastAsia"/>
              </w:rPr>
              <w:t>对该设计和开发的项目进行了节能评估，并制订了相应的控制措施。</w:t>
            </w:r>
          </w:p>
          <w:p>
            <w:pPr>
              <w:shd w:val="clear" w:color="auto" w:fill="EBF1DE" w:themeFill="accent3" w:themeFillTint="32"/>
              <w:rPr>
                <w:rFonts w:hint="default" w:eastAsia="宋体"/>
                <w:lang w:val="en-US" w:eastAsia="zh-CN"/>
              </w:rPr>
            </w:pPr>
            <w:r>
              <w:rPr>
                <w:rFonts w:hint="eastAsia"/>
              </w:rPr>
              <w:t>设计和开发的节能措施控制：</w:t>
            </w:r>
            <w:r>
              <w:rPr>
                <w:rFonts w:hint="eastAsia"/>
                <w:lang w:val="en-US" w:eastAsia="zh-CN"/>
              </w:rPr>
              <w:t>根据</w:t>
            </w:r>
            <w:r>
              <w:rPr>
                <w:rFonts w:hint="eastAsia" w:ascii="Times New Roman" w:hAnsi="Times New Roman" w:cs="Times New Roman"/>
                <w:lang w:val="en-US" w:eastAsia="zh-CN"/>
              </w:rPr>
              <w:t>客户要求生产一款适用于天然纤维、合成纤维及其混纺织物的机织物、针织物和无纺织物的长环蒸化机，主要作用是使色浆中的燃料经蒸向纤维内部转移达到固色作用。它的效果直接影响到印花后的色泽和鲜艳度，将长环蒸化机和定型机通过程序控制将其同步运转，蒸化好的织物直接进入定型机，最后定型完毕后成卷收卷，利用已有厂房基础设施实施</w:t>
            </w:r>
            <w:r>
              <w:rPr>
                <w:rFonts w:hint="eastAsia"/>
                <w:lang w:val="en-US" w:eastAsia="zh-CN"/>
              </w:rPr>
              <w:t>。</w:t>
            </w:r>
          </w:p>
          <w:p>
            <w:pPr>
              <w:shd w:val="clear" w:color="auto" w:fill="EBF1DE" w:themeFill="accent3" w:themeFillTint="32"/>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能源采购</w:t>
            </w:r>
            <w:r>
              <w:rPr>
                <w:rFonts w:hint="eastAsia" w:ascii="Wingdings" w:hAnsi="Wingdings"/>
                <w:lang w:eastAsia="zh-CN"/>
              </w:rPr>
              <w:sym w:font="Wingdings 2" w:char="00A3"/>
            </w:r>
            <w:r>
              <w:rPr>
                <w:rFonts w:hint="eastAsia"/>
              </w:rPr>
              <w:t>主要用能设备采购</w:t>
            </w:r>
            <w:r>
              <w:rPr>
                <w:rFonts w:hint="eastAsia" w:ascii="Wingdings" w:hAnsi="Wingdings"/>
                <w:lang w:eastAsia="zh-CN"/>
              </w:rPr>
              <w:sym w:font="Wingdings 2" w:char="0052"/>
            </w:r>
            <w:r>
              <w:rPr>
                <w:rFonts w:hint="eastAsia"/>
              </w:rPr>
              <w:t>淘汰落后设备更新</w:t>
            </w:r>
            <w:r>
              <w:rPr>
                <w:rFonts w:hint="eastAsia" w:ascii="Wingdings" w:hAnsi="Wingdings"/>
                <w:lang w:eastAsia="zh-CN"/>
              </w:rPr>
              <w:sym w:font="Wingdings 2" w:char="0052"/>
            </w:r>
            <w:r>
              <w:rPr>
                <w:rFonts w:hint="eastAsia"/>
              </w:rPr>
              <w:t>能源计量器具采购</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蒸汽消耗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highlight w:val="none"/>
                    </w:rPr>
                    <w:t>天然气消耗</w:t>
                  </w:r>
                </w:p>
              </w:tc>
              <w:tc>
                <w:tcPr>
                  <w:tcW w:w="3665" w:type="dxa"/>
                </w:tcPr>
                <w:p>
                  <w:pPr>
                    <w:shd w:val="clear" w:color="auto" w:fill="EBF1DE" w:themeFill="accent3" w:themeFillTint="32"/>
                    <w:jc w:val="left"/>
                    <w:rPr>
                      <w:rFonts w:hint="eastAsia" w:eastAsia="宋体"/>
                      <w:lang w:val="en-US" w:eastAsia="zh-CN"/>
                    </w:rPr>
                  </w:pPr>
                </w:p>
              </w:tc>
              <w:tc>
                <w:tcPr>
                  <w:tcW w:w="3265" w:type="dxa"/>
                </w:tcPr>
                <w:p>
                  <w:pPr>
                    <w:shd w:val="clear" w:color="auto" w:fill="EBF1DE" w:themeFill="accent3" w:themeFillTint="32"/>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加强节电管理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eastAsia" w:eastAsia="宋体"/>
                      <w:lang w:eastAsia="zh-CN"/>
                    </w:rPr>
                  </w:pPr>
                  <w:r>
                    <w:rPr>
                      <w:rFonts w:hint="eastAsia"/>
                    </w:rPr>
                    <w:t>其他</w:t>
                  </w:r>
                  <w:r>
                    <w:rPr>
                      <w:rFonts w:hint="eastAsia"/>
                      <w:lang w:eastAsia="zh-CN"/>
                    </w:rPr>
                    <w:t>（</w:t>
                  </w:r>
                  <w:r>
                    <w:rPr>
                      <w:rFonts w:hint="eastAsia"/>
                      <w:lang w:val="en-US" w:eastAsia="zh-CN"/>
                    </w:rPr>
                    <w:t>焊接用的氮气、氧气、氩气等</w:t>
                  </w:r>
                  <w:r>
                    <w:rPr>
                      <w:rFonts w:hint="eastAsia"/>
                      <w:lang w:eastAsia="zh-CN"/>
                    </w:rPr>
                    <w:t>）</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加强管理，及时控制焊接时间</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节能技术的实施</w:t>
            </w:r>
            <w:r>
              <w:rPr>
                <w:rFonts w:hint="eastAsia" w:ascii="Wingdings" w:hAnsi="Wingdings"/>
                <w:lang w:eastAsia="zh-CN"/>
              </w:rPr>
              <w:t>□</w:t>
            </w:r>
            <w:r>
              <w:rPr>
                <w:rFonts w:hint="eastAsia"/>
              </w:rPr>
              <w:t>节能设备的更新</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组织识别了潜在紧急情况及应急准备时所带来的能源消耗影响；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定期（每年）：</w:t>
            </w:r>
            <w:r>
              <w:rPr>
                <w:rFonts w:hint="eastAsia"/>
                <w:highlight w:val="none"/>
                <w:lang w:val="en-US" w:eastAsia="zh-CN"/>
              </w:rPr>
              <w:t>2022</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26</w:t>
            </w:r>
            <w:r>
              <w:rPr>
                <w:rFonts w:hint="eastAsia"/>
                <w:highlight w:val="none"/>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组织在适当阶段实施策划的安排，以验证能源法律法规的要求已得到满足。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企业自测</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rPr>
                <w:rFonts w:hint="default"/>
                <w:lang w:val="en-US" w:eastAsia="zh-CN"/>
              </w:rPr>
            </w:pPr>
            <w:r>
              <w:rPr>
                <w:rFonts w:hint="eastAsia"/>
              </w:rPr>
              <w:t>《能效测试报告》编号：</w:t>
            </w:r>
            <w:r>
              <w:rPr>
                <w:rFonts w:hint="eastAsia"/>
                <w:lang w:val="en-US" w:eastAsia="zh-CN"/>
              </w:rPr>
              <w:t>企业目前未开展能效测试</w:t>
            </w:r>
          </w:p>
          <w:p>
            <w:pPr>
              <w:shd w:val="clear" w:color="auto" w:fill="EBF1DE" w:themeFill="accent3" w:themeFillTint="32"/>
              <w:rPr>
                <w:rFonts w:hint="default" w:eastAsia="宋体"/>
                <w:lang w:val="en-US" w:eastAsia="zh-CN"/>
              </w:rPr>
            </w:pPr>
            <w:r>
              <w:rPr>
                <w:rFonts w:hint="eastAsia"/>
              </w:rPr>
              <w:t>达标评价：</w:t>
            </w:r>
            <w:r>
              <w:rPr>
                <w:rFonts w:hint="eastAsia" w:ascii="Wingdings" w:hAnsi="Wingdings"/>
                <w:lang w:eastAsia="zh-CN"/>
              </w:rPr>
              <w:sym w:font="Wingdings 2" w:char="00A3"/>
            </w:r>
            <w:r>
              <w:rPr>
                <w:rFonts w:hint="eastAsia"/>
              </w:rPr>
              <w:t>符合要求</w:t>
            </w:r>
            <w:r>
              <w:rPr>
                <w:rFonts w:hint="eastAsia" w:ascii="Wingdings" w:hAnsi="Wingdings"/>
                <w:lang w:eastAsia="zh-CN"/>
              </w:rPr>
              <w:sym w:font="Wingdings 2" w:char="0052"/>
            </w:r>
            <w:r>
              <w:rPr>
                <w:rFonts w:hint="eastAsia"/>
              </w:rPr>
              <w:t>存在不足，说明</w:t>
            </w:r>
            <w:r>
              <w:rPr>
                <w:rFonts w:hint="eastAsia"/>
                <w:lang w:eastAsia="zh-CN"/>
              </w:rPr>
              <w:t>：</w:t>
            </w:r>
            <w:r>
              <w:rPr>
                <w:rFonts w:hint="eastAsia"/>
                <w:lang w:val="en-US" w:eastAsia="zh-CN"/>
              </w:rPr>
              <w:t>建议企业结合实际适时开展。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highlight w:val="none"/>
                <w:lang w:val="en-US" w:eastAsia="zh-CN"/>
              </w:rPr>
              <w:t>9</w:t>
            </w:r>
            <w:r>
              <w:rPr>
                <w:rFonts w:hint="eastAsia"/>
                <w:highlight w:val="none"/>
              </w:rPr>
              <w:t>月</w:t>
            </w:r>
            <w:r>
              <w:rPr>
                <w:rFonts w:hint="eastAsia"/>
                <w:highlight w:val="none"/>
                <w:lang w:val="en-US" w:eastAsia="zh-CN"/>
              </w:rPr>
              <w:t>5-6</w:t>
            </w:r>
            <w:r>
              <w:rPr>
                <w:rFonts w:hint="eastAsia"/>
                <w:highlight w:val="none"/>
              </w:rPr>
              <w:t>日</w:t>
            </w:r>
            <w:r>
              <w:rPr>
                <w:rFonts w:hint="eastAsia"/>
              </w:rPr>
              <w:t>实施了能源管理体系内部审核，对能源管理体系的符合性和有效性进行了审核。内审发现的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highlight w:val="none"/>
                <w:lang w:val="en-US" w:eastAsia="zh-CN"/>
              </w:rPr>
              <w:t>10</w:t>
            </w:r>
            <w:r>
              <w:rPr>
                <w:rFonts w:hint="eastAsia"/>
                <w:highlight w:val="none"/>
              </w:rPr>
              <w:t>月</w:t>
            </w:r>
            <w:r>
              <w:rPr>
                <w:rFonts w:hint="eastAsia"/>
                <w:highlight w:val="none"/>
                <w:lang w:val="en-US" w:eastAsia="zh-CN"/>
              </w:rPr>
              <w:t>20</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10"/>
        <w:tblW w:w="100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133"/>
        <w:gridCol w:w="820"/>
        <w:gridCol w:w="860"/>
        <w:gridCol w:w="810"/>
        <w:gridCol w:w="830"/>
        <w:gridCol w:w="855"/>
        <w:gridCol w:w="779"/>
        <w:gridCol w:w="780"/>
        <w:gridCol w:w="779"/>
        <w:gridCol w:w="677"/>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133"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820"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86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810"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83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855"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677"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00"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33"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82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6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81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83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55"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677"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0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yellow"/>
                <w:lang w:val="en-US" w:eastAsia="zh-CN" w:bidi="ar-SA"/>
              </w:rPr>
            </w:pPr>
            <w:r>
              <w:rPr>
                <w:rFonts w:hint="eastAsia"/>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33"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820" w:type="dxa"/>
            <w:shd w:val="clear" w:color="auto" w:fill="EBF1DE" w:themeFill="accent3" w:themeFillTint="32"/>
            <w:vAlign w:val="center"/>
          </w:tcPr>
          <w:p>
            <w:pPr>
              <w:shd w:val="clear" w:color="auto" w:fill="EBF1DE" w:themeFill="accent3" w:themeFillTint="32"/>
              <w:rPr>
                <w:lang w:eastAsia="ja-JP"/>
              </w:rPr>
            </w:pPr>
          </w:p>
        </w:tc>
        <w:tc>
          <w:tcPr>
            <w:tcW w:w="860" w:type="dxa"/>
            <w:shd w:val="clear" w:color="auto" w:fill="EBF1DE" w:themeFill="accent3" w:themeFillTint="32"/>
          </w:tcPr>
          <w:p>
            <w:pPr>
              <w:shd w:val="clear" w:color="auto" w:fill="EBF1DE" w:themeFill="accent3" w:themeFillTint="32"/>
              <w:rPr>
                <w:lang w:eastAsia="ja-JP"/>
              </w:rPr>
            </w:pPr>
          </w:p>
        </w:tc>
        <w:tc>
          <w:tcPr>
            <w:tcW w:w="810" w:type="dxa"/>
            <w:shd w:val="clear" w:color="auto" w:fill="EBF1DE" w:themeFill="accent3" w:themeFillTint="32"/>
            <w:vAlign w:val="center"/>
          </w:tcPr>
          <w:p>
            <w:pPr>
              <w:shd w:val="clear" w:color="auto" w:fill="EBF1DE" w:themeFill="accent3" w:themeFillTint="32"/>
              <w:rPr>
                <w:lang w:eastAsia="ja-JP"/>
              </w:rPr>
            </w:pPr>
          </w:p>
        </w:tc>
        <w:tc>
          <w:tcPr>
            <w:tcW w:w="830" w:type="dxa"/>
            <w:shd w:val="clear" w:color="auto" w:fill="EBF1DE" w:themeFill="accent3" w:themeFillTint="32"/>
            <w:vAlign w:val="center"/>
          </w:tcPr>
          <w:p>
            <w:pPr>
              <w:shd w:val="clear" w:color="auto" w:fill="EBF1DE" w:themeFill="accent3" w:themeFillTint="32"/>
              <w:rPr>
                <w:lang w:eastAsia="ja-JP"/>
              </w:rPr>
            </w:pPr>
          </w:p>
        </w:tc>
        <w:tc>
          <w:tcPr>
            <w:tcW w:w="855"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677" w:type="dxa"/>
            <w:shd w:val="clear" w:color="auto" w:fill="EBF1DE" w:themeFill="accent3" w:themeFillTint="32"/>
            <w:vAlign w:val="center"/>
          </w:tcPr>
          <w:p>
            <w:pPr>
              <w:shd w:val="clear" w:color="auto" w:fill="EBF1DE" w:themeFill="accent3" w:themeFillTint="32"/>
              <w:rPr>
                <w:lang w:eastAsia="ja-JP"/>
              </w:rPr>
            </w:pPr>
          </w:p>
        </w:tc>
        <w:tc>
          <w:tcPr>
            <w:tcW w:w="700" w:type="dxa"/>
            <w:shd w:val="clear" w:color="auto" w:fill="EBF1DE" w:themeFill="accent3" w:themeFillTint="32"/>
            <w:vAlign w:val="center"/>
          </w:tcPr>
          <w:p>
            <w:pPr>
              <w:shd w:val="clear" w:color="auto" w:fill="EBF1DE" w:themeFill="accent3" w:themeFillTint="32"/>
              <w:rPr>
                <w:rFonts w:hint="default" w:ascii="Times New Roman" w:hAnsi="Times New Roman" w:eastAsia="宋体" w:cs="Times New Roman"/>
                <w:kern w:val="2"/>
                <w:sz w:val="21"/>
                <w:szCs w:val="24"/>
                <w:highlight w:val="yellow"/>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133"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820"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860"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810"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830"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855" w:type="dxa"/>
            <w:shd w:val="clear" w:color="auto" w:fill="EBF1DE" w:themeFill="accent3" w:themeFillTint="32"/>
            <w:vAlign w:val="center"/>
          </w:tcPr>
          <w:p>
            <w:pPr>
              <w:shd w:val="clear" w:color="auto" w:fill="EBF1DE" w:themeFill="accent3" w:themeFillTint="32"/>
            </w:pPr>
            <w:r>
              <w:rPr>
                <w:rFonts w:hint="eastAsia"/>
              </w:rPr>
              <w:t>7.2</w:t>
            </w:r>
          </w:p>
        </w:tc>
        <w:tc>
          <w:tcPr>
            <w:tcW w:w="779" w:type="dxa"/>
            <w:shd w:val="clear" w:color="auto" w:fill="EBF1DE" w:themeFill="accent3" w:themeFillTint="32"/>
            <w:vAlign w:val="center"/>
          </w:tcPr>
          <w:p>
            <w:pPr>
              <w:shd w:val="clear" w:color="auto" w:fill="EBF1DE" w:themeFill="accent3" w:themeFillTint="32"/>
            </w:pPr>
            <w:r>
              <w:rPr>
                <w:rFonts w:hint="eastAsia"/>
              </w:rPr>
              <w:t>7.3</w:t>
            </w:r>
          </w:p>
        </w:tc>
        <w:tc>
          <w:tcPr>
            <w:tcW w:w="780" w:type="dxa"/>
            <w:shd w:val="clear" w:color="auto" w:fill="EBF1DE" w:themeFill="accent3" w:themeFillTint="32"/>
            <w:vAlign w:val="center"/>
          </w:tcPr>
          <w:p>
            <w:pPr>
              <w:shd w:val="clear" w:color="auto" w:fill="EBF1DE" w:themeFill="accent3" w:themeFillTint="32"/>
            </w:pPr>
            <w:r>
              <w:rPr>
                <w:rFonts w:hint="eastAsia"/>
              </w:rPr>
              <w:t>7.4</w:t>
            </w:r>
          </w:p>
        </w:tc>
        <w:tc>
          <w:tcPr>
            <w:tcW w:w="779" w:type="dxa"/>
            <w:shd w:val="clear" w:color="auto" w:fill="EBF1DE" w:themeFill="accent3" w:themeFillTint="32"/>
            <w:vAlign w:val="center"/>
          </w:tcPr>
          <w:p>
            <w:pPr>
              <w:shd w:val="clear" w:color="auto" w:fill="EBF1DE" w:themeFill="accent3" w:themeFillTint="32"/>
            </w:pPr>
            <w:r>
              <w:rPr>
                <w:rFonts w:hint="eastAsia"/>
              </w:rPr>
              <w:t>7.5</w:t>
            </w:r>
          </w:p>
        </w:tc>
        <w:tc>
          <w:tcPr>
            <w:tcW w:w="677"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00"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133"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82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6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81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3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55"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677"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0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133"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820" w:type="dxa"/>
            <w:shd w:val="clear" w:color="auto" w:fill="EBF1DE" w:themeFill="accent3" w:themeFillTint="32"/>
            <w:vAlign w:val="center"/>
          </w:tcPr>
          <w:p>
            <w:pPr>
              <w:shd w:val="clear" w:color="auto" w:fill="EBF1DE" w:themeFill="accent3" w:themeFillTint="32"/>
            </w:pPr>
          </w:p>
        </w:tc>
        <w:tc>
          <w:tcPr>
            <w:tcW w:w="860" w:type="dxa"/>
            <w:shd w:val="clear" w:color="auto" w:fill="EBF1DE" w:themeFill="accent3" w:themeFillTint="32"/>
            <w:vAlign w:val="center"/>
          </w:tcPr>
          <w:p>
            <w:pPr>
              <w:shd w:val="clear" w:color="auto" w:fill="EBF1DE" w:themeFill="accent3" w:themeFillTint="32"/>
              <w:rPr>
                <w:lang w:eastAsia="ja-JP"/>
              </w:rPr>
            </w:pPr>
          </w:p>
        </w:tc>
        <w:tc>
          <w:tcPr>
            <w:tcW w:w="810" w:type="dxa"/>
            <w:shd w:val="clear" w:color="auto" w:fill="EBF1DE" w:themeFill="accent3" w:themeFillTint="32"/>
            <w:vAlign w:val="center"/>
          </w:tcPr>
          <w:p>
            <w:pPr>
              <w:shd w:val="clear" w:color="auto" w:fill="EBF1DE" w:themeFill="accent3" w:themeFillTint="32"/>
              <w:rPr>
                <w:lang w:eastAsia="ja-JP"/>
              </w:rPr>
            </w:pPr>
          </w:p>
        </w:tc>
        <w:tc>
          <w:tcPr>
            <w:tcW w:w="830" w:type="dxa"/>
            <w:shd w:val="clear" w:color="auto" w:fill="EBF1DE" w:themeFill="accent3" w:themeFillTint="32"/>
            <w:vAlign w:val="center"/>
          </w:tcPr>
          <w:p>
            <w:pPr>
              <w:shd w:val="clear" w:color="auto" w:fill="EBF1DE" w:themeFill="accent3" w:themeFillTint="32"/>
              <w:rPr>
                <w:lang w:eastAsia="ja-JP"/>
              </w:rPr>
            </w:pPr>
          </w:p>
        </w:tc>
        <w:tc>
          <w:tcPr>
            <w:tcW w:w="855"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677" w:type="dxa"/>
            <w:shd w:val="clear" w:color="auto" w:fill="EBF1DE" w:themeFill="accent3" w:themeFillTint="32"/>
            <w:vAlign w:val="center"/>
          </w:tcPr>
          <w:p>
            <w:pPr>
              <w:shd w:val="clear" w:color="auto" w:fill="EBF1DE" w:themeFill="accent3" w:themeFillTint="32"/>
              <w:rPr>
                <w:lang w:eastAsia="ja-JP"/>
              </w:rPr>
            </w:pPr>
          </w:p>
        </w:tc>
        <w:tc>
          <w:tcPr>
            <w:tcW w:w="70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33"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820" w:type="dxa"/>
            <w:shd w:val="clear" w:color="auto" w:fill="EBF1DE" w:themeFill="accent3" w:themeFillTint="32"/>
            <w:vAlign w:val="center"/>
          </w:tcPr>
          <w:p>
            <w:pPr>
              <w:shd w:val="clear" w:color="auto" w:fill="EBF1DE" w:themeFill="accent3" w:themeFillTint="32"/>
            </w:pPr>
            <w:r>
              <w:rPr>
                <w:rFonts w:hint="eastAsia"/>
              </w:rPr>
              <w:t>8.3</w:t>
            </w:r>
          </w:p>
        </w:tc>
        <w:tc>
          <w:tcPr>
            <w:tcW w:w="86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810"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83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855"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r>
              <w:rPr>
                <w:rFonts w:hint="eastAsia"/>
                <w:highlight w:val="none"/>
              </w:rPr>
              <w:t>10</w:t>
            </w: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10.2</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677" w:type="dxa"/>
            <w:shd w:val="clear" w:color="auto" w:fill="EBF1DE" w:themeFill="accent3" w:themeFillTint="32"/>
            <w:vAlign w:val="center"/>
          </w:tcPr>
          <w:p>
            <w:pPr>
              <w:shd w:val="clear" w:color="auto" w:fill="EBF1DE" w:themeFill="accent3" w:themeFillTint="32"/>
              <w:rPr>
                <w:lang w:eastAsia="ja-JP"/>
              </w:rPr>
            </w:pPr>
          </w:p>
        </w:tc>
        <w:tc>
          <w:tcPr>
            <w:tcW w:w="70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33"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82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6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81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3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55"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677" w:type="dxa"/>
            <w:shd w:val="clear" w:color="auto" w:fill="EBF1DE" w:themeFill="accent3" w:themeFillTint="32"/>
            <w:vAlign w:val="center"/>
          </w:tcPr>
          <w:p>
            <w:pPr>
              <w:shd w:val="clear" w:color="auto" w:fill="EBF1DE" w:themeFill="accent3" w:themeFillTint="32"/>
              <w:rPr>
                <w:lang w:eastAsia="ja-JP"/>
              </w:rPr>
            </w:pPr>
          </w:p>
        </w:tc>
        <w:tc>
          <w:tcPr>
            <w:tcW w:w="70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33"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820" w:type="dxa"/>
            <w:shd w:val="clear" w:color="auto" w:fill="EBF1DE" w:themeFill="accent3" w:themeFillTint="32"/>
            <w:vAlign w:val="center"/>
          </w:tcPr>
          <w:p>
            <w:pPr>
              <w:shd w:val="clear" w:color="auto" w:fill="EBF1DE" w:themeFill="accent3" w:themeFillTint="32"/>
              <w:rPr>
                <w:lang w:eastAsia="ja-JP"/>
              </w:rPr>
            </w:pPr>
          </w:p>
        </w:tc>
        <w:tc>
          <w:tcPr>
            <w:tcW w:w="860" w:type="dxa"/>
            <w:shd w:val="clear" w:color="auto" w:fill="EBF1DE" w:themeFill="accent3" w:themeFillTint="32"/>
          </w:tcPr>
          <w:p>
            <w:pPr>
              <w:shd w:val="clear" w:color="auto" w:fill="EBF1DE" w:themeFill="accent3" w:themeFillTint="32"/>
              <w:rPr>
                <w:lang w:eastAsia="ja-JP"/>
              </w:rPr>
            </w:pPr>
          </w:p>
        </w:tc>
        <w:tc>
          <w:tcPr>
            <w:tcW w:w="810" w:type="dxa"/>
            <w:shd w:val="clear" w:color="auto" w:fill="EBF1DE" w:themeFill="accent3" w:themeFillTint="32"/>
            <w:vAlign w:val="center"/>
          </w:tcPr>
          <w:p>
            <w:pPr>
              <w:shd w:val="clear" w:color="auto" w:fill="EBF1DE" w:themeFill="accent3" w:themeFillTint="32"/>
              <w:rPr>
                <w:lang w:eastAsia="ja-JP"/>
              </w:rPr>
            </w:pPr>
          </w:p>
        </w:tc>
        <w:tc>
          <w:tcPr>
            <w:tcW w:w="830" w:type="dxa"/>
            <w:shd w:val="clear" w:color="auto" w:fill="EBF1DE" w:themeFill="accent3" w:themeFillTint="32"/>
            <w:vAlign w:val="center"/>
          </w:tcPr>
          <w:p>
            <w:pPr>
              <w:shd w:val="clear" w:color="auto" w:fill="EBF1DE" w:themeFill="accent3" w:themeFillTint="32"/>
              <w:rPr>
                <w:lang w:eastAsia="ja-JP"/>
              </w:rPr>
            </w:pPr>
          </w:p>
        </w:tc>
        <w:tc>
          <w:tcPr>
            <w:tcW w:w="855"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677" w:type="dxa"/>
            <w:shd w:val="clear" w:color="auto" w:fill="EBF1DE" w:themeFill="accent3" w:themeFillTint="32"/>
            <w:vAlign w:val="center"/>
          </w:tcPr>
          <w:p>
            <w:pPr>
              <w:shd w:val="clear" w:color="auto" w:fill="EBF1DE" w:themeFill="accent3" w:themeFillTint="32"/>
              <w:rPr>
                <w:lang w:eastAsia="ja-JP"/>
              </w:rPr>
            </w:pPr>
          </w:p>
        </w:tc>
        <w:tc>
          <w:tcPr>
            <w:tcW w:w="70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7"/>
      <w:pBdr>
        <w:bottom w:val="single" w:color="auto" w:sz="4" w:space="1"/>
      </w:pBdr>
      <w:spacing w:line="320" w:lineRule="exact"/>
      <w:ind w:firstLine="756" w:firstLineChars="400"/>
      <w:jc w:val="left"/>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E51E6E"/>
    <w:multiLevelType w:val="singleLevel"/>
    <w:tmpl w:val="D0E51E6E"/>
    <w:lvl w:ilvl="0" w:tentative="0">
      <w:start w:val="1"/>
      <w:numFmt w:val="bullet"/>
      <w:pStyle w:val="4"/>
      <w:lvlText w:val=""/>
      <w:lvlJc w:val="left"/>
      <w:pPr>
        <w:tabs>
          <w:tab w:val="left" w:pos="2040"/>
        </w:tabs>
        <w:ind w:left="2040" w:hanging="360"/>
      </w:pPr>
      <w:rPr>
        <w:rFonts w:hint="default" w:ascii="Wingdings" w:hAnsi="Wingdings"/>
      </w:r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3471F8"/>
    <w:rsid w:val="03B943D1"/>
    <w:rsid w:val="093538FD"/>
    <w:rsid w:val="25D30142"/>
    <w:rsid w:val="261E18C5"/>
    <w:rsid w:val="2CF74408"/>
    <w:rsid w:val="45835A92"/>
    <w:rsid w:val="5D113D6F"/>
    <w:rsid w:val="64B418A1"/>
    <w:rsid w:val="676332D3"/>
    <w:rsid w:val="7B1A522E"/>
    <w:rsid w:val="7CE31E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4"/>
    <w:qFormat/>
    <w:uiPriority w:val="0"/>
    <w:rPr>
      <w:sz w:val="24"/>
    </w:rPr>
  </w:style>
  <w:style w:type="paragraph" w:styleId="4">
    <w:name w:val="List Bullet 5"/>
    <w:basedOn w:val="1"/>
    <w:semiHidden/>
    <w:unhideWhenUsed/>
    <w:uiPriority w:val="99"/>
    <w:pPr>
      <w:numPr>
        <w:ilvl w:val="0"/>
        <w:numId w:val="1"/>
      </w:numPr>
    </w:p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2"/>
    <w:link w:val="7"/>
    <w:qFormat/>
    <w:uiPriority w:val="99"/>
    <w:rPr>
      <w:rFonts w:ascii="Times New Roman" w:hAnsi="Times New Roman" w:eastAsia="宋体" w:cs="Times New Roman"/>
      <w:sz w:val="18"/>
      <w:szCs w:val="18"/>
    </w:rPr>
  </w:style>
  <w:style w:type="character" w:customStyle="1" w:styleId="17">
    <w:name w:val="页脚 Char"/>
    <w:basedOn w:val="12"/>
    <w:link w:val="6"/>
    <w:qFormat/>
    <w:uiPriority w:val="99"/>
    <w:rPr>
      <w:rFonts w:ascii="Times New Roman" w:hAnsi="Times New Roman" w:eastAsia="宋体" w:cs="Times New Roman"/>
      <w:sz w:val="18"/>
      <w:szCs w:val="18"/>
    </w:rPr>
  </w:style>
  <w:style w:type="character" w:customStyle="1" w:styleId="18">
    <w:name w:val="批注框文本 Char"/>
    <w:basedOn w:val="12"/>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4023</Words>
  <Characters>22932</Characters>
  <Lines>191</Lines>
  <Paragraphs>53</Paragraphs>
  <TotalTime>9</TotalTime>
  <ScaleCrop>false</ScaleCrop>
  <LinksUpToDate>false</LinksUpToDate>
  <CharactersWithSpaces>26902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丽英</cp:lastModifiedBy>
  <cp:lastPrinted>2019-05-13T03:19:00Z</cp:lastPrinted>
  <dcterms:modified xsi:type="dcterms:W3CDTF">2022-11-28T15:35:25Z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