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89"/>
        <w:gridCol w:w="1530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青岛芊亿恒智能机械科技有限公司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24.01.02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80645</wp:posOffset>
                  </wp:positionV>
                  <wp:extent cx="4229100" cy="1915160"/>
                  <wp:effectExtent l="0" t="0" r="0" b="889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191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5"/>
              <w:tblpPr w:leftFromText="180" w:rightFromText="180" w:vertAnchor="text" w:horzAnchor="page" w:tblpX="209" w:tblpY="316"/>
              <w:tblOverlap w:val="never"/>
              <w:tblW w:w="703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  <w:gridCol w:w="942"/>
              <w:gridCol w:w="512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产品/服务名称</w:t>
                  </w:r>
                </w:p>
              </w:tc>
              <w:tc>
                <w:tcPr>
                  <w:tcW w:w="9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关键过程</w:t>
                  </w:r>
                </w:p>
              </w:tc>
              <w:tc>
                <w:tcPr>
                  <w:tcW w:w="5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控制内容（如尺寸、压力等）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</w:trPr>
              <w:tc>
                <w:tcPr>
                  <w:tcW w:w="9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建筑废弃物资源化综合利用</w:t>
                  </w:r>
                </w:p>
              </w:tc>
              <w:tc>
                <w:tcPr>
                  <w:tcW w:w="9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破碎</w:t>
                  </w:r>
                </w:p>
              </w:tc>
              <w:tc>
                <w:tcPr>
                  <w:tcW w:w="5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1）破碎机运转正常后才能投料，全部物料排出后才允许停机。 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2）加负荷运转8小时，轴承温升不大于 40℃°。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3）各运行部位状况正常，满足无负和有负荷运转要求。 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4）加料要求均匀，避免物料在破碎腔单边破载。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atLeast"/>
              </w:trPr>
              <w:tc>
                <w:tcPr>
                  <w:tcW w:w="96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筛分</w:t>
                  </w:r>
                </w:p>
              </w:tc>
              <w:tc>
                <w:tcPr>
                  <w:tcW w:w="5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1）向筛网上给料必须均匀、连续，否则影响筛分效果；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2）随时查看轴承温度，一般温升不应超过70C；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3）筛架两侧弹簧弹性应同步，否则将因筛架振动不均使筛分效率降低；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4）按客户要求及产品质量标准要求使用合适规格筛网。</w:t>
                  </w:r>
                </w:p>
              </w:tc>
            </w:tr>
          </w:tbl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  <w:bookmarkStart w:id="4" w:name="_GoBack"/>
            <w:bookmarkEnd w:id="4"/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</w:t>
            </w:r>
          </w:p>
          <w:p>
            <w:pPr>
              <w:pStyle w:val="11"/>
              <w:ind w:firstLine="440" w:firstLineChars="200"/>
              <w:rPr>
                <w:rFonts w:hint="eastAsia"/>
                <w:b w:val="0"/>
                <w:bCs w:val="0"/>
                <w:sz w:val="20"/>
                <w:lang w:val="en-US" w:eastAsia="zh-CN"/>
              </w:rPr>
            </w:pPr>
          </w:p>
          <w:p>
            <w:pPr>
              <w:pStyle w:val="11"/>
              <w:ind w:firstLine="440" w:firstLineChars="200"/>
              <w:rPr>
                <w:rFonts w:hint="eastAsia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不存在需要确认过程；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440" w:firstLineChars="200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再生资源回收管理条例、再生资源回收管理办法、清洁生产促进法、循环经济促进法、固体废物污染环境防治法、一般工业固体废物贮存、处置场污染控制标准、质量法、计量法等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产品执行标准：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af-ZA" w:eastAsia="zh-TW"/>
              </w:rPr>
              <w:t>普通混凝土用砂、石质量及检验方法标准JGJ52-20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06和客户要求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按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af-ZA" w:eastAsia="zh-TW"/>
              </w:rPr>
              <w:t>普通混凝土用砂、石质量及检验方法标准JGJ52-20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06和客户要求执行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C970E9C"/>
    <w:rsid w:val="3EAF3F1D"/>
    <w:rsid w:val="3FC27A03"/>
    <w:rsid w:val="73CB43D1"/>
    <w:rsid w:val="7E6D05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565</Words>
  <Characters>622</Characters>
  <Lines>2</Lines>
  <Paragraphs>1</Paragraphs>
  <TotalTime>2</TotalTime>
  <ScaleCrop>false</ScaleCrop>
  <LinksUpToDate>false</LinksUpToDate>
  <CharactersWithSpaces>633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2022-12-06T11:26:14Z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