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947"/>
        <w:gridCol w:w="987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3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7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综合办            </w:t>
            </w:r>
            <w:r>
              <w:rPr>
                <w:rFonts w:hint="eastAsia"/>
                <w:sz w:val="24"/>
                <w:szCs w:val="24"/>
              </w:rPr>
              <w:t>主管领导</w:t>
            </w:r>
            <w:r>
              <w:rPr>
                <w:rFonts w:hint="eastAsia"/>
                <w:sz w:val="24"/>
                <w:szCs w:val="24"/>
                <w:lang w:eastAsia="zh-CN"/>
              </w:rPr>
              <w:t>：</w:t>
            </w:r>
            <w:bookmarkStart w:id="0" w:name="管理者代表"/>
            <w:r>
              <w:rPr>
                <w:rFonts w:hint="eastAsia"/>
                <w:sz w:val="24"/>
                <w:szCs w:val="24"/>
                <w:lang w:val="en-US" w:eastAsia="zh-CN"/>
              </w:rPr>
              <w:t xml:space="preserve">丁军         </w:t>
            </w:r>
            <w:bookmarkEnd w:id="0"/>
            <w:r>
              <w:rPr>
                <w:rFonts w:hint="eastAsia"/>
                <w:sz w:val="24"/>
                <w:szCs w:val="24"/>
              </w:rPr>
              <w:t>陪同人员：</w:t>
            </w:r>
            <w:r>
              <w:rPr>
                <w:rFonts w:hint="eastAsia"/>
                <w:sz w:val="24"/>
                <w:szCs w:val="24"/>
                <w:lang w:val="en-US" w:eastAsia="zh-CN"/>
              </w:rPr>
              <w:t>侯雅楠</w:t>
            </w:r>
          </w:p>
        </w:tc>
        <w:tc>
          <w:tcPr>
            <w:tcW w:w="15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32" w:type="dxa"/>
            <w:vMerge w:val="continue"/>
            <w:vAlign w:val="center"/>
          </w:tcPr>
          <w:p/>
        </w:tc>
        <w:tc>
          <w:tcPr>
            <w:tcW w:w="947" w:type="dxa"/>
            <w:vMerge w:val="continue"/>
            <w:vAlign w:val="center"/>
          </w:tcPr>
          <w:p/>
        </w:tc>
        <w:tc>
          <w:tcPr>
            <w:tcW w:w="9875" w:type="dxa"/>
            <w:vAlign w:val="center"/>
          </w:tcPr>
          <w:p>
            <w:pPr>
              <w:spacing w:before="120"/>
            </w:pPr>
            <w:r>
              <w:rPr>
                <w:rFonts w:hint="eastAsia"/>
                <w:sz w:val="24"/>
                <w:szCs w:val="24"/>
              </w:rPr>
              <w:t>审核员：</w:t>
            </w:r>
            <w:bookmarkStart w:id="1" w:name="审核组成员不含组长"/>
            <w:r>
              <w:rPr>
                <w:rFonts w:hint="eastAsia"/>
                <w:sz w:val="24"/>
                <w:szCs w:val="24"/>
                <w:lang w:val="en-US" w:eastAsia="zh-CN"/>
              </w:rPr>
              <w:t>汪桂丽、</w:t>
            </w:r>
            <w:r>
              <w:rPr>
                <w:rFonts w:hint="eastAsia"/>
                <w:sz w:val="24"/>
                <w:szCs w:val="24"/>
              </w:rPr>
              <w:t>刘思顺</w:t>
            </w:r>
            <w:bookmarkEnd w:id="1"/>
            <w:r>
              <w:rPr>
                <w:rFonts w:hint="eastAsia"/>
                <w:sz w:val="24"/>
                <w:szCs w:val="24"/>
                <w:lang w:val="en-US" w:eastAsia="zh-CN"/>
              </w:rPr>
              <w:t xml:space="preserve">                </w:t>
            </w:r>
            <w:r>
              <w:rPr>
                <w:rFonts w:hint="eastAsia"/>
                <w:sz w:val="24"/>
                <w:szCs w:val="24"/>
              </w:rPr>
              <w:t>审核时间：</w:t>
            </w:r>
            <w:bookmarkStart w:id="2" w:name="审核日期"/>
            <w:r>
              <w:t>202</w:t>
            </w:r>
            <w:r>
              <w:rPr>
                <w:rFonts w:hint="eastAsia"/>
                <w:lang w:val="en-US" w:eastAsia="zh-CN"/>
              </w:rPr>
              <w:t>2</w:t>
            </w:r>
            <w:r>
              <w:t>年12月</w:t>
            </w:r>
            <w:r>
              <w:rPr>
                <w:rFonts w:hint="eastAsia"/>
                <w:lang w:val="en-US" w:eastAsia="zh-CN"/>
              </w:rPr>
              <w:t>3</w:t>
            </w:r>
            <w:r>
              <w:t xml:space="preserve">日 </w:t>
            </w:r>
            <w:r>
              <w:rPr>
                <w:rFonts w:hint="eastAsia"/>
                <w:lang w:val="en-US" w:eastAsia="zh-CN"/>
              </w:rPr>
              <w:t>上</w:t>
            </w:r>
            <w:r>
              <w:t>午</w:t>
            </w:r>
            <w:bookmarkEnd w:id="2"/>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Merge w:val="continue"/>
            <w:vAlign w:val="center"/>
          </w:tcPr>
          <w:p/>
        </w:tc>
        <w:tc>
          <w:tcPr>
            <w:tcW w:w="947" w:type="dxa"/>
            <w:vMerge w:val="continue"/>
            <w:vAlign w:val="center"/>
          </w:tcPr>
          <w:p/>
        </w:tc>
        <w:tc>
          <w:tcPr>
            <w:tcW w:w="9875" w:type="dxa"/>
            <w:vAlign w:val="center"/>
          </w:tcPr>
          <w:p>
            <w:pPr>
              <w:rPr>
                <w:sz w:val="24"/>
                <w:szCs w:val="24"/>
              </w:rPr>
            </w:pPr>
            <w:r>
              <w:rPr>
                <w:rFonts w:hint="eastAsia"/>
                <w:sz w:val="24"/>
                <w:szCs w:val="24"/>
              </w:rPr>
              <w:t>审核条款：</w:t>
            </w:r>
            <w:r>
              <w:rPr>
                <w:rFonts w:hint="eastAsia" w:ascii="宋体" w:hAnsi="宋体" w:cs="Arial"/>
                <w:b w:val="0"/>
                <w:bCs/>
                <w:sz w:val="21"/>
                <w:szCs w:val="21"/>
                <w:u w:val="none"/>
              </w:rPr>
              <w:t>5.3组织的岗位、职责和权限、6.2质量目标、7.1.2人员、7.1.6组织知识、7.2能力、7.3意识、</w:t>
            </w:r>
            <w:r>
              <w:rPr>
                <w:rFonts w:hint="eastAsia" w:ascii="宋体" w:hAnsi="宋体" w:cs="Arial"/>
                <w:b w:val="0"/>
                <w:bCs/>
                <w:spacing w:val="-6"/>
                <w:sz w:val="21"/>
                <w:szCs w:val="21"/>
                <w:u w:val="none"/>
              </w:rPr>
              <w:t>9.1.1监视、测量、分析和评价总则</w:t>
            </w:r>
            <w:r>
              <w:rPr>
                <w:rFonts w:hint="eastAsia" w:ascii="宋体" w:hAnsi="宋体" w:cs="Arial"/>
                <w:b w:val="0"/>
                <w:bCs/>
                <w:sz w:val="21"/>
                <w:szCs w:val="21"/>
                <w:u w:val="none"/>
              </w:rPr>
              <w:t>、9.1.3分析与评价、9.2 内部审核、10.2不合格和纠正措施</w:t>
            </w:r>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组织的岗位职责和权限</w:t>
            </w:r>
          </w:p>
        </w:tc>
        <w:tc>
          <w:tcPr>
            <w:tcW w:w="947"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部门主要负责人</w:t>
            </w:r>
            <w:r>
              <w:rPr>
                <w:rFonts w:hint="eastAsia" w:cs="宋体" w:asciiTheme="minorEastAsia" w:hAnsiTheme="minorEastAsia" w:eastAsiaTheme="minorEastAsia"/>
                <w:szCs w:val="21"/>
                <w:lang w:val="en-US" w:eastAsia="zh-CN"/>
              </w:rPr>
              <w:t>力资源管理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负责企业文化建设及宣传、教育工作；组织协调内外部各方面的关系；负责公司管理体系的归口管理；监督检查体系在各部门的运行质量；组织内部审核，负责对内审、管理评审纠正措施的实施情况进行检查验证；负责本公司文件、记录的控制管理。</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与负责人交流明确职责和权限,与手册中规定一致。</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32" w:type="dxa"/>
            <w:vAlign w:val="center"/>
          </w:tcPr>
          <w:p>
            <w:pPr>
              <w:spacing w:line="280" w:lineRule="exact"/>
              <w:jc w:val="left"/>
              <w:rPr>
                <w:rFonts w:cs="Arial"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目标及其实现策划</w:t>
            </w:r>
          </w:p>
        </w:tc>
        <w:tc>
          <w:tcPr>
            <w:tcW w:w="947"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6.2</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6.2.1</w:t>
            </w:r>
          </w:p>
          <w:p>
            <w:pPr>
              <w:spacing w:line="280" w:lineRule="exact"/>
              <w:jc w:val="left"/>
              <w:rPr>
                <w:rFonts w:cs="Arial"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6.2.2</w:t>
            </w: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本部门</w:t>
            </w:r>
            <w:r>
              <w:rPr>
                <w:rFonts w:hint="eastAsia" w:cs="宋体" w:asciiTheme="minorEastAsia" w:hAnsiTheme="minorEastAsia" w:eastAsiaTheme="minorEastAsia"/>
                <w:szCs w:val="21"/>
              </w:rPr>
              <w:t>质量目标分解</w:t>
            </w:r>
            <w:r>
              <w:rPr>
                <w:rFonts w:hint="eastAsia" w:cs="宋体" w:asciiTheme="minorEastAsia" w:hAnsiTheme="minorEastAsia" w:eastAsiaTheme="minorEastAsia"/>
                <w:szCs w:val="21"/>
                <w:lang w:val="en-US" w:eastAsia="zh-CN"/>
              </w:rPr>
              <w:t>5项</w:t>
            </w:r>
            <w:r>
              <w:rPr>
                <w:rFonts w:hint="eastAsia" w:cs="宋体" w:asciiTheme="minorEastAsia" w:hAnsiTheme="minorEastAsia" w:eastAsiaTheme="minorEastAsia"/>
                <w:szCs w:val="21"/>
              </w:rPr>
              <w:t>，明确考核方法、周期和考核人；有</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1月-11月20日完成</w:t>
            </w:r>
            <w:r>
              <w:rPr>
                <w:rFonts w:hint="eastAsia" w:cs="宋体" w:asciiTheme="minorEastAsia" w:hAnsiTheme="minorEastAsia" w:eastAsiaTheme="minorEastAsia"/>
                <w:szCs w:val="21"/>
              </w:rPr>
              <w:t>情况记录，目标、指示达成；</w:t>
            </w:r>
          </w:p>
          <w:p>
            <w:pPr>
              <w:spacing w:line="280" w:lineRule="exact"/>
              <w:ind w:firstLine="420" w:firstLineChars="200"/>
              <w:rPr>
                <w:rFonts w:hint="eastAsia" w:cs="Arial"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 xml:space="preserve">统计考核人：丁军    批准：邢金辉   </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7.1.2</w:t>
            </w:r>
          </w:p>
        </w:tc>
        <w:tc>
          <w:tcPr>
            <w:tcW w:w="9875" w:type="dxa"/>
            <w:vAlign w:val="center"/>
          </w:tcPr>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岗位任职</w:t>
            </w:r>
            <w:r>
              <w:rPr>
                <w:rFonts w:hint="eastAsia" w:cs="宋体" w:asciiTheme="minorEastAsia" w:hAnsiTheme="minorEastAsia" w:eastAsiaTheme="minorEastAsia"/>
                <w:szCs w:val="21"/>
              </w:rPr>
              <w:t>要求》，内容包括：职位、学历、培训、技能和经验要求，批准：</w:t>
            </w:r>
            <w:r>
              <w:rPr>
                <w:rFonts w:hint="eastAsia" w:cs="宋体" w:asciiTheme="minorEastAsia" w:hAnsiTheme="minorEastAsia" w:eastAsiaTheme="minorEastAsia"/>
                <w:szCs w:val="21"/>
                <w:lang w:val="en-US" w:eastAsia="zh-CN"/>
              </w:rPr>
              <w:t>邢金辉，涵盖公司目前各岗位；与负责人交流当前</w:t>
            </w:r>
            <w:r>
              <w:rPr>
                <w:rFonts w:hint="eastAsia" w:cs="宋体" w:asciiTheme="minorEastAsia" w:hAnsiTheme="minorEastAsia" w:eastAsiaTheme="minorEastAsia"/>
                <w:szCs w:val="21"/>
              </w:rPr>
              <w:t>人员适宜</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充分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满足需要</w:t>
            </w:r>
            <w:r>
              <w:rPr>
                <w:rFonts w:hint="eastAsia" w:cs="宋体" w:asciiTheme="minorEastAsia" w:hAnsiTheme="minorEastAsia" w:eastAsiaTheme="minorEastAsia"/>
                <w:szCs w:val="21"/>
              </w:rPr>
              <w:t>。</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jc w:val="left"/>
              <w:rPr>
                <w:rFonts w:ascii="宋体" w:hAnsi="宋体" w:cs="Arial"/>
                <w:szCs w:val="21"/>
              </w:rPr>
            </w:pPr>
          </w:p>
          <w:p>
            <w:pPr>
              <w:spacing w:line="280" w:lineRule="exact"/>
              <w:jc w:val="left"/>
              <w:rPr>
                <w:rFonts w:ascii="宋体" w:hAnsi="宋体" w:cs="Arial"/>
                <w:szCs w:val="21"/>
              </w:rPr>
            </w:pPr>
            <w:r>
              <w:rPr>
                <w:rFonts w:hint="eastAsia" w:ascii="宋体" w:hAnsi="宋体" w:cs="Arial"/>
                <w:szCs w:val="21"/>
              </w:rPr>
              <w:t>组织的知识</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ind w:firstLine="420" w:firstLineChars="200"/>
              <w:jc w:val="left"/>
              <w:rPr>
                <w:rFonts w:ascii="宋体" w:hAnsi="宋体" w:cs="Arial"/>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7.1.6</w:t>
            </w: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公司按手册中组织知识要求进行知识控制，公司确定运行过程所需的知识及管理要求；</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内部来源包括：公司运作准则（管理手册、程序文件、各项制度、作业记录等）、管理过程控制失败和成功项目吸取的经验教训和改进的结果等；</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外部来源包括：外来资料（如相关方反馈的信息、供应商和合作伙伴知识、竞争对手等）、法律法规、市场信息等。对知识的保持采取文件资料的保存和信息系统存储方式，在公司内部通过传递、交流、培训等方式获取。</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ascii="宋体" w:hAnsi="宋体" w:cs="Arial"/>
                <w:szCs w:val="21"/>
              </w:rPr>
              <w:t xml:space="preserve">为获取更多必要的知识采用工作经验总结、意见的采集，行业领先者的最佳实践调查等。 </w:t>
            </w:r>
          </w:p>
        </w:tc>
        <w:tc>
          <w:tcPr>
            <w:tcW w:w="1564" w:type="dxa"/>
            <w:vAlign w:val="top"/>
          </w:tcPr>
          <w:p>
            <w:pPr>
              <w:spacing w:line="360" w:lineRule="auto"/>
              <w:rPr>
                <w:rFonts w:hint="default" w:ascii="楷体" w:hAnsi="楷体" w:eastAsia="楷体" w:cs="Times New Roman"/>
                <w:kern w:val="2"/>
                <w:sz w:val="24"/>
                <w:szCs w:val="24"/>
                <w:lang w:val="en-US" w:eastAsia="zh-CN" w:bidi="ar-SA"/>
              </w:rPr>
            </w:pPr>
            <w:r>
              <w:rPr>
                <w:rFonts w:hint="eastAsia" w:asciiTheme="majorEastAsia" w:hAnsiTheme="majorEastAsia" w:eastAsiaTheme="majorEastAsia"/>
                <w:sz w:val="24"/>
                <w:szCs w:val="24"/>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7.2</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公司执行《人力资源管理程序》、有岗位任职要求</w:t>
            </w:r>
          </w:p>
          <w:p>
            <w:pPr>
              <w:spacing w:line="280" w:lineRule="exact"/>
              <w:ind w:firstLine="42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提供人员花名册12人，有管理人员、操作工、财务、质检员；</w:t>
            </w:r>
          </w:p>
          <w:p>
            <w:pPr>
              <w:spacing w:line="280" w:lineRule="exact"/>
              <w:ind w:firstLine="420" w:firstLineChars="200"/>
              <w:rPr>
                <w:rFonts w:hint="default" w:cs="宋体" w:asciiTheme="minorEastAsia" w:hAnsiTheme="minorEastAsia" w:eastAsiaTheme="minorEastAsia"/>
                <w:szCs w:val="21"/>
                <w:lang w:val="en-US"/>
              </w:rPr>
            </w:pPr>
            <w:r>
              <w:rPr>
                <w:rFonts w:hint="eastAsia" w:cs="宋体" w:asciiTheme="minorEastAsia" w:hAnsiTheme="minorEastAsia" w:eastAsiaTheme="minorEastAsia"/>
                <w:szCs w:val="21"/>
              </w:rPr>
              <w:t>查岗位任职评价：抽查</w:t>
            </w:r>
            <w:r>
              <w:rPr>
                <w:rFonts w:hint="eastAsia" w:cs="宋体" w:asciiTheme="minorEastAsia" w:hAnsiTheme="minorEastAsia" w:eastAsiaTheme="minorEastAsia"/>
                <w:szCs w:val="21"/>
                <w:lang w:val="en-US" w:eastAsia="zh-CN"/>
              </w:rPr>
              <w:t>李敬彬</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丁军</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申祥波、刘杭（操作工）</w:t>
            </w:r>
            <w:r>
              <w:rPr>
                <w:rFonts w:hint="eastAsia" w:cs="宋体" w:asciiTheme="minorEastAsia" w:hAnsiTheme="minorEastAsia" w:eastAsiaTheme="minorEastAsia"/>
                <w:szCs w:val="21"/>
              </w:rPr>
              <w:t>评价，采用分项打分法，评价结果称职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得分为98分、99分、96分、96分</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记录评价时间2022年1月10日；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年度培训计划，批准：</w:t>
            </w:r>
            <w:r>
              <w:rPr>
                <w:rFonts w:hint="eastAsia" w:cs="宋体" w:asciiTheme="minorEastAsia" w:hAnsiTheme="minorEastAsia" w:eastAsiaTheme="minorEastAsia"/>
                <w:szCs w:val="21"/>
                <w:lang w:val="en-US" w:eastAsia="zh-CN"/>
              </w:rPr>
              <w:t>乔学斌</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1月10日，全年安排7次培训</w:t>
            </w:r>
            <w:r>
              <w:rPr>
                <w:rFonts w:hint="eastAsia" w:cs="宋体" w:asciiTheme="minorEastAsia" w:hAnsiTheme="minorEastAsia" w:eastAsiaTheme="minorEastAsia"/>
                <w:szCs w:val="21"/>
              </w:rPr>
              <w:t>，培训计划包括适用</w:t>
            </w:r>
            <w:r>
              <w:rPr>
                <w:rFonts w:hint="eastAsia" w:cs="宋体" w:asciiTheme="minorEastAsia" w:hAnsiTheme="minorEastAsia" w:eastAsiaTheme="minorEastAsia"/>
                <w:szCs w:val="21"/>
                <w:lang w:val="en-US" w:eastAsia="zh-CN"/>
              </w:rPr>
              <w:t>质量管理</w:t>
            </w:r>
            <w:r>
              <w:rPr>
                <w:rFonts w:hint="eastAsia" w:cs="宋体" w:asciiTheme="minorEastAsia" w:hAnsiTheme="minorEastAsia" w:eastAsiaTheme="minorEastAsia"/>
                <w:szCs w:val="21"/>
              </w:rPr>
              <w:t>体系标准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手册</w:t>
            </w:r>
            <w:r>
              <w:rPr>
                <w:rFonts w:hint="eastAsia" w:cs="宋体" w:asciiTheme="minorEastAsia" w:hAnsiTheme="minorEastAsia" w:eastAsiaTheme="minorEastAsia"/>
                <w:szCs w:val="21"/>
                <w:lang w:val="en-US" w:eastAsia="zh-CN"/>
              </w:rPr>
              <w:t>和</w:t>
            </w:r>
            <w:r>
              <w:rPr>
                <w:rFonts w:hint="eastAsia" w:cs="宋体" w:asciiTheme="minorEastAsia" w:hAnsiTheme="minorEastAsia" w:eastAsiaTheme="minorEastAsia"/>
                <w:szCs w:val="21"/>
              </w:rPr>
              <w:t>程序文件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内审员、生产工艺技术培训、产品质量问题</w:t>
            </w:r>
            <w:r>
              <w:rPr>
                <w:rFonts w:hint="eastAsia" w:cs="宋体" w:asciiTheme="minorEastAsia" w:hAnsiTheme="minorEastAsia" w:eastAsiaTheme="minorEastAsia"/>
                <w:szCs w:val="21"/>
              </w:rPr>
              <w:t>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生产知识培训</w:t>
            </w:r>
            <w:r>
              <w:rPr>
                <w:rFonts w:hint="eastAsia" w:cs="宋体" w:asciiTheme="minorEastAsia" w:hAnsiTheme="minorEastAsia" w:eastAsiaTheme="minorEastAsia"/>
                <w:szCs w:val="21"/>
              </w:rPr>
              <w:t>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抽查《培训记录表》：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日：各部门负责人</w:t>
            </w:r>
            <w:r>
              <w:rPr>
                <w:rFonts w:hint="eastAsia" w:cs="宋体" w:asciiTheme="minorEastAsia" w:hAnsiTheme="minorEastAsia" w:eastAsiaTheme="minorEastAsia"/>
                <w:szCs w:val="21"/>
                <w:lang w:val="en-US" w:eastAsia="zh-CN"/>
              </w:rPr>
              <w:t xml:space="preserve">参加  </w:t>
            </w:r>
            <w:r>
              <w:rPr>
                <w:rFonts w:hint="eastAsia" w:cs="宋体" w:asciiTheme="minorEastAsia" w:hAnsiTheme="minorEastAsia" w:eastAsiaTheme="minorEastAsia"/>
                <w:szCs w:val="21"/>
              </w:rPr>
              <w:t>培训题目</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管理体系标准</w:t>
            </w:r>
            <w:r>
              <w:rPr>
                <w:rFonts w:hint="eastAsia" w:cs="宋体" w:asciiTheme="minorEastAsia" w:hAnsiTheme="minorEastAsia" w:eastAsiaTheme="minorEastAsia"/>
                <w:szCs w:val="21"/>
                <w:lang w:val="en-US" w:eastAsia="zh-CN"/>
              </w:rPr>
              <w:t>及相关法律法规</w:t>
            </w:r>
            <w:r>
              <w:rPr>
                <w:rFonts w:hint="eastAsia" w:cs="宋体" w:asciiTheme="minorEastAsia" w:hAnsiTheme="minorEastAsia" w:eastAsiaTheme="minorEastAsia"/>
                <w:szCs w:val="21"/>
              </w:rPr>
              <w:t>知识培训，</w:t>
            </w:r>
            <w:r>
              <w:rPr>
                <w:rFonts w:hint="eastAsia" w:cs="宋体" w:asciiTheme="minorEastAsia" w:hAnsiTheme="minorEastAsia" w:eastAsiaTheme="minorEastAsia"/>
                <w:szCs w:val="21"/>
                <w:lang w:val="en-US" w:eastAsia="zh-CN"/>
              </w:rPr>
              <w:t>记录</w:t>
            </w:r>
            <w:r>
              <w:rPr>
                <w:rFonts w:hint="eastAsia" w:cs="宋体" w:asciiTheme="minorEastAsia" w:hAnsiTheme="minorEastAsia" w:eastAsiaTheme="minorEastAsia"/>
                <w:szCs w:val="21"/>
              </w:rPr>
              <w:t>培训老师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培训内容</w:t>
            </w:r>
            <w:r>
              <w:rPr>
                <w:rFonts w:hint="eastAsia" w:cs="宋体" w:asciiTheme="minorEastAsia" w:hAnsiTheme="minorEastAsia" w:eastAsiaTheme="minorEastAsia"/>
                <w:szCs w:val="21"/>
              </w:rPr>
              <w:t>，通过提问考核，考核结果：合格，培训有效；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w:t>
            </w:r>
            <w:r>
              <w:rPr>
                <w:rFonts w:hint="eastAsia" w:cs="宋体" w:asciiTheme="minorEastAsia" w:hAnsiTheme="minorEastAsia" w:eastAsiaTheme="minorEastAsia"/>
                <w:szCs w:val="21"/>
              </w:rPr>
              <w:t>日：各部门负责人</w:t>
            </w:r>
            <w:r>
              <w:rPr>
                <w:rFonts w:hint="eastAsia" w:cs="宋体" w:asciiTheme="minorEastAsia" w:hAnsiTheme="minorEastAsia" w:eastAsiaTheme="minorEastAsia"/>
                <w:szCs w:val="21"/>
                <w:lang w:val="en-US" w:eastAsia="zh-CN"/>
              </w:rPr>
              <w:t xml:space="preserve">参加  </w:t>
            </w:r>
            <w:r>
              <w:rPr>
                <w:rFonts w:hint="eastAsia" w:cs="宋体" w:asciiTheme="minorEastAsia" w:hAnsiTheme="minorEastAsia" w:eastAsiaTheme="minorEastAsia"/>
                <w:szCs w:val="21"/>
              </w:rPr>
              <w:t>培训题目</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手册、程序文件，</w:t>
            </w:r>
            <w:r>
              <w:rPr>
                <w:rFonts w:hint="eastAsia" w:cs="宋体" w:asciiTheme="minorEastAsia" w:hAnsiTheme="minorEastAsia" w:eastAsiaTheme="minorEastAsia"/>
                <w:szCs w:val="21"/>
                <w:lang w:val="en-US" w:eastAsia="zh-CN"/>
              </w:rPr>
              <w:t>记录</w:t>
            </w:r>
            <w:r>
              <w:rPr>
                <w:rFonts w:hint="eastAsia" w:cs="宋体" w:asciiTheme="minorEastAsia" w:hAnsiTheme="minorEastAsia" w:eastAsiaTheme="minorEastAsia"/>
                <w:szCs w:val="21"/>
              </w:rPr>
              <w:t>培训老师</w:t>
            </w:r>
            <w:r>
              <w:rPr>
                <w:rFonts w:hint="eastAsia" w:cs="宋体" w:asciiTheme="minorEastAsia" w:hAnsiTheme="minorEastAsia" w:eastAsiaTheme="minorEastAsia"/>
                <w:szCs w:val="21"/>
                <w:lang w:val="en-US" w:eastAsia="zh-CN"/>
              </w:rPr>
              <w:t>和培训内容</w:t>
            </w:r>
            <w:r>
              <w:rPr>
                <w:rFonts w:hint="eastAsia" w:cs="宋体" w:asciiTheme="minorEastAsia" w:hAnsiTheme="minorEastAsia" w:eastAsiaTheme="minorEastAsia"/>
                <w:szCs w:val="21"/>
              </w:rPr>
              <w:t>，通过提问考核，考核结果：合格，培训有效；</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 xml:space="preserve">生产人员、质检员参加 </w:t>
            </w:r>
            <w:r>
              <w:rPr>
                <w:rFonts w:hint="eastAsia" w:cs="宋体" w:asciiTheme="minorEastAsia" w:hAnsiTheme="minorEastAsia" w:eastAsiaTheme="minorEastAsia"/>
                <w:szCs w:val="21"/>
              </w:rPr>
              <w:t xml:space="preserve"> 培训题目</w:t>
            </w:r>
            <w:r>
              <w:rPr>
                <w:rFonts w:hint="eastAsia" w:cs="宋体" w:asciiTheme="minorEastAsia" w:hAnsiTheme="minorEastAsia" w:eastAsiaTheme="minorEastAsia"/>
                <w:szCs w:val="21"/>
                <w:lang w:val="en-US" w:eastAsia="zh-CN"/>
              </w:rPr>
              <w:t>生产工艺培训</w:t>
            </w:r>
            <w:r>
              <w:rPr>
                <w:rFonts w:hint="eastAsia" w:cs="宋体" w:asciiTheme="minorEastAsia" w:hAnsiTheme="minorEastAsia" w:eastAsiaTheme="minorEastAsia"/>
                <w:szCs w:val="21"/>
              </w:rPr>
              <w:t>，有培训老师</w:t>
            </w:r>
            <w:r>
              <w:rPr>
                <w:rFonts w:hint="eastAsia" w:cs="宋体" w:asciiTheme="minorEastAsia" w:hAnsiTheme="minorEastAsia" w:eastAsiaTheme="minorEastAsia"/>
                <w:szCs w:val="21"/>
                <w:lang w:val="en-US" w:eastAsia="zh-CN"/>
              </w:rPr>
              <w:t>和培训内容</w:t>
            </w:r>
            <w:r>
              <w:rPr>
                <w:rFonts w:hint="eastAsia" w:cs="宋体" w:asciiTheme="minorEastAsia" w:hAnsiTheme="minorEastAsia" w:eastAsiaTheme="minorEastAsia"/>
                <w:szCs w:val="21"/>
              </w:rPr>
              <w:t>记录，通过提问考核，考核结果：合格，培训有效</w:t>
            </w:r>
            <w:r>
              <w:rPr>
                <w:rFonts w:hint="eastAsia" w:cs="宋体" w:asciiTheme="minorEastAsia" w:hAnsiTheme="minorEastAsia" w:eastAsiaTheme="minorEastAsia"/>
                <w:szCs w:val="21"/>
                <w:lang w:eastAsia="zh-CN"/>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 xml:space="preserve">质检员参加 </w:t>
            </w:r>
            <w:r>
              <w:rPr>
                <w:rFonts w:hint="eastAsia" w:cs="宋体" w:asciiTheme="minorEastAsia" w:hAnsiTheme="minorEastAsia" w:eastAsiaTheme="minorEastAsia"/>
                <w:szCs w:val="21"/>
              </w:rPr>
              <w:t xml:space="preserve"> 培训题目</w:t>
            </w:r>
            <w:r>
              <w:rPr>
                <w:rFonts w:hint="eastAsia" w:cs="宋体" w:asciiTheme="minorEastAsia" w:hAnsiTheme="minorEastAsia" w:eastAsiaTheme="minorEastAsia"/>
                <w:szCs w:val="21"/>
                <w:lang w:val="en-US" w:eastAsia="zh-CN"/>
              </w:rPr>
              <w:t>产品质问题培训</w:t>
            </w:r>
            <w:r>
              <w:rPr>
                <w:rFonts w:hint="eastAsia" w:cs="宋体" w:asciiTheme="minorEastAsia" w:hAnsiTheme="minorEastAsia" w:eastAsiaTheme="minorEastAsia"/>
                <w:szCs w:val="21"/>
              </w:rPr>
              <w:t>，有培训老师</w:t>
            </w:r>
            <w:r>
              <w:rPr>
                <w:rFonts w:hint="eastAsia" w:cs="宋体" w:asciiTheme="minorEastAsia" w:hAnsiTheme="minorEastAsia" w:eastAsiaTheme="minorEastAsia"/>
                <w:szCs w:val="21"/>
                <w:lang w:val="en-US" w:eastAsia="zh-CN"/>
              </w:rPr>
              <w:t>和培训内容</w:t>
            </w:r>
            <w:r>
              <w:rPr>
                <w:rFonts w:hint="eastAsia" w:cs="宋体" w:asciiTheme="minorEastAsia" w:hAnsiTheme="minorEastAsia" w:eastAsiaTheme="minorEastAsia"/>
                <w:szCs w:val="21"/>
              </w:rPr>
              <w:t>记录，通过提问考核，考核结果：合格，培训有效。</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抽朱文光  提供合格证书 挖掘机操作上岗证   证号WJ-890024  有效期到2025年4月28日。</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bookmarkStart w:id="3" w:name="_GoBack"/>
            <w:bookmarkEnd w:id="3"/>
          </w:p>
          <w:p>
            <w:pPr>
              <w:spacing w:line="280" w:lineRule="exact"/>
              <w:ind w:firstLine="420" w:firstLineChars="200"/>
              <w:rPr>
                <w:rFonts w:hint="default" w:cs="宋体" w:asciiTheme="minorEastAsia" w:hAnsiTheme="minorEastAsia" w:eastAsiaTheme="minorEastAsia"/>
                <w:kern w:val="2"/>
                <w:sz w:val="21"/>
                <w:szCs w:val="21"/>
                <w:lang w:val="en-US" w:eastAsia="zh-CN" w:bidi="ar-SA"/>
              </w:rPr>
            </w:pPr>
          </w:p>
        </w:tc>
        <w:tc>
          <w:tcPr>
            <w:tcW w:w="1564" w:type="dxa"/>
            <w:vAlign w:val="top"/>
          </w:tcPr>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hint="default"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意识</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7.3</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公司通过学习、会议、宣传等方法使在组织控制范围内的相关工作人员知晓和理解质量方针、质量目标；</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员工为本公司管理体系有效性的贡献的意义和途径，包括改进管理绩效的益处；不符合质量</w:t>
            </w:r>
            <w:r>
              <w:rPr>
                <w:rFonts w:hint="eastAsia" w:cs="宋体" w:asciiTheme="minorEastAsia" w:hAnsiTheme="minorEastAsia" w:eastAsiaTheme="minorEastAsia"/>
                <w:szCs w:val="21"/>
                <w:lang w:val="en-US" w:eastAsia="zh-CN"/>
              </w:rPr>
              <w:t>管</w:t>
            </w:r>
            <w:r>
              <w:rPr>
                <w:rFonts w:hint="eastAsia" w:cs="宋体" w:asciiTheme="minorEastAsia" w:hAnsiTheme="minorEastAsia" w:eastAsiaTheme="minorEastAsia"/>
                <w:szCs w:val="21"/>
              </w:rPr>
              <w:t>理体系要求的后果。</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0" w:type="auto"/>
            <w:vAlign w:val="top"/>
          </w:tcPr>
          <w:p>
            <w:pPr>
              <w:spacing w:line="280" w:lineRule="exact"/>
              <w:jc w:val="left"/>
              <w:rPr>
                <w:rFonts w:hint="eastAsia" w:cs="宋体" w:asciiTheme="minorEastAsia" w:hAnsiTheme="minorEastAsia" w:eastAsiaTheme="minorEastAsia"/>
                <w:kern w:val="2"/>
                <w:sz w:val="21"/>
                <w:szCs w:val="21"/>
                <w:lang w:val="en-US" w:eastAsia="zh-CN" w:bidi="ar-SA"/>
              </w:rPr>
            </w:pPr>
            <w:r>
              <w:rPr>
                <w:rFonts w:hint="eastAsia" w:ascii="宋体" w:hAnsi="宋体" w:cs="Arial"/>
                <w:spacing w:val="-6"/>
                <w:szCs w:val="21"/>
              </w:rPr>
              <w:t>监视、测量、分析和评价总则</w:t>
            </w:r>
          </w:p>
        </w:tc>
        <w:tc>
          <w:tcPr>
            <w:tcW w:w="0" w:type="auto"/>
            <w:vAlign w:val="top"/>
          </w:tcPr>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hint="eastAsia" w:ascii="宋体" w:hAnsi="宋体" w:cs="Arial"/>
                <w:spacing w:val="-6"/>
                <w:szCs w:val="21"/>
              </w:rPr>
              <w:t xml:space="preserve"> 9.1.1</w:t>
            </w: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对公司及各部门管理体系目标、指标每</w:t>
            </w:r>
            <w:r>
              <w:rPr>
                <w:rFonts w:hint="eastAsia" w:cs="宋体" w:asciiTheme="minorEastAsia" w:hAnsiTheme="minorEastAsia" w:eastAsiaTheme="minorEastAsia"/>
                <w:szCs w:val="21"/>
                <w:lang w:val="en-US" w:eastAsia="zh-CN"/>
              </w:rPr>
              <w:t>月</w:t>
            </w:r>
            <w:r>
              <w:rPr>
                <w:rFonts w:hint="eastAsia" w:cs="宋体" w:asciiTheme="minorEastAsia" w:hAnsiTheme="minorEastAsia" w:eastAsiaTheme="minorEastAsia"/>
                <w:szCs w:val="21"/>
              </w:rPr>
              <w:t>进行统计考核，公司及部门分解质量目标均已完成；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对相关方入厂活动进行监测并记录，</w:t>
            </w:r>
            <w:r>
              <w:rPr>
                <w:rFonts w:hint="eastAsia" w:cs="宋体" w:asciiTheme="minorEastAsia" w:hAnsiTheme="minorEastAsia" w:eastAsiaTheme="minorEastAsia"/>
                <w:szCs w:val="21"/>
                <w:lang w:val="en-US" w:eastAsia="zh-CN"/>
              </w:rPr>
              <w:t>对</w:t>
            </w:r>
            <w:r>
              <w:rPr>
                <w:rFonts w:hint="eastAsia" w:cs="宋体" w:asciiTheme="minorEastAsia" w:hAnsiTheme="minorEastAsia" w:eastAsiaTheme="minorEastAsia"/>
                <w:szCs w:val="21"/>
              </w:rPr>
              <w:t>外来人员</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车辆</w:t>
            </w:r>
            <w:r>
              <w:rPr>
                <w:rFonts w:hint="eastAsia" w:cs="宋体" w:asciiTheme="minorEastAsia" w:hAnsiTheme="minorEastAsia" w:eastAsiaTheme="minorEastAsia"/>
                <w:szCs w:val="21"/>
              </w:rPr>
              <w:t>及业务活动</w:t>
            </w:r>
            <w:r>
              <w:rPr>
                <w:rFonts w:hint="eastAsia" w:cs="宋体" w:asciiTheme="minorEastAsia" w:hAnsiTheme="minorEastAsia" w:eastAsiaTheme="minorEastAsia"/>
                <w:szCs w:val="21"/>
                <w:lang w:val="en-US" w:eastAsia="zh-CN"/>
              </w:rPr>
              <w:t>进行控制和管理</w:t>
            </w:r>
            <w:r>
              <w:rPr>
                <w:rFonts w:hint="eastAsia" w:cs="宋体" w:asciiTheme="minorEastAsia" w:hAnsiTheme="minorEastAsia" w:eastAsiaTheme="minorEastAsia"/>
                <w:szCs w:val="21"/>
              </w:rPr>
              <w:t>；</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与负责人交流及记录抽查</w:t>
            </w:r>
            <w:r>
              <w:rPr>
                <w:rFonts w:hint="eastAsia" w:cs="宋体" w:asciiTheme="minorEastAsia" w:hAnsiTheme="minorEastAsia" w:eastAsiaTheme="minorEastAsia"/>
                <w:szCs w:val="21"/>
              </w:rPr>
              <w:t>公司没有违反质量法律法规现象，近期没有发生质量事故和违法情况。</w:t>
            </w: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0" w:type="auto"/>
            <w:vAlign w:val="top"/>
          </w:tcPr>
          <w:p>
            <w:pPr>
              <w:spacing w:line="280" w:lineRule="exact"/>
              <w:jc w:val="left"/>
              <w:rPr>
                <w:rFonts w:hint="eastAsia" w:cs="宋体" w:asciiTheme="minorEastAsia" w:hAnsiTheme="minorEastAsia" w:eastAsiaTheme="minorEastAsia"/>
                <w:kern w:val="2"/>
                <w:sz w:val="21"/>
                <w:szCs w:val="21"/>
                <w:lang w:val="en-US" w:eastAsia="zh-CN" w:bidi="ar-SA"/>
              </w:rPr>
            </w:pPr>
            <w:r>
              <w:rPr>
                <w:rFonts w:hint="eastAsia" w:ascii="宋体" w:hAnsi="宋体" w:cs="Arial"/>
                <w:szCs w:val="21"/>
              </w:rPr>
              <w:t>分析与评价</w:t>
            </w:r>
          </w:p>
        </w:tc>
        <w:tc>
          <w:tcPr>
            <w:tcW w:w="0" w:type="auto"/>
            <w:vAlign w:val="top"/>
          </w:tcPr>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9.1.3</w:t>
            </w: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公司数据：对产品质量状况、顾客满意、目标完成情况、供方等过程的数据进行统计和分析。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自管理体系运行以来，已经进行数据的活动：管理目标考核、顾客满意度调查的简单分析。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统计技术：调查表用于顾客满意度调查；</w:t>
            </w:r>
            <w:r>
              <w:rPr>
                <w:rFonts w:hint="eastAsia" w:cs="宋体" w:asciiTheme="minorEastAsia" w:hAnsiTheme="minorEastAsia" w:eastAsiaTheme="minorEastAsia"/>
                <w:szCs w:val="21"/>
                <w:lang w:val="en-US" w:eastAsia="zh-CN"/>
              </w:rPr>
              <w:t>统计表及趋势分析用于目标完成统计</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公司产品和服务的符合性良好；顾客满意度评价达到目标要求；外部供方按时交付和质量经分析均满足要求，绩效良好。</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信息和数据分析基本有效</w:t>
            </w:r>
            <w:r>
              <w:rPr>
                <w:rFonts w:hint="eastAsia" w:cs="宋体" w:asciiTheme="minorEastAsia" w:hAnsiTheme="minorEastAsia" w:eastAsiaTheme="minorEastAsia"/>
                <w:szCs w:val="21"/>
                <w:lang w:eastAsia="zh-CN"/>
              </w:rPr>
              <w:t>。</w:t>
            </w: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7" w:hRule="atLeast"/>
        </w:trPr>
        <w:tc>
          <w:tcPr>
            <w:tcW w:w="0" w:type="auto"/>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hint="eastAsia" w:cs="宋体" w:asciiTheme="minorEastAsia" w:hAnsiTheme="minorEastAsia" w:eastAsiaTheme="minorEastAsia"/>
                <w:kern w:val="2"/>
                <w:sz w:val="21"/>
                <w:szCs w:val="21"/>
                <w:lang w:val="en-US" w:eastAsia="zh-CN" w:bidi="ar-SA"/>
              </w:rPr>
            </w:pPr>
          </w:p>
        </w:tc>
        <w:tc>
          <w:tcPr>
            <w:tcW w:w="0" w:type="auto"/>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建立并执行《内部审核</w:t>
            </w:r>
            <w:r>
              <w:rPr>
                <w:rFonts w:hint="eastAsia" w:cs="宋体" w:asciiTheme="minorEastAsia" w:hAnsiTheme="minorEastAsia" w:eastAsiaTheme="minorEastAsia"/>
                <w:szCs w:val="21"/>
                <w:lang w:val="en-US" w:eastAsia="zh-CN"/>
              </w:rPr>
              <w:t>管理</w:t>
            </w:r>
            <w:r>
              <w:rPr>
                <w:rFonts w:hint="eastAsia" w:cs="宋体" w:asciiTheme="minorEastAsia" w:hAnsiTheme="minorEastAsia" w:eastAsiaTheme="minorEastAsia"/>
                <w:szCs w:val="21"/>
              </w:rPr>
              <w:t>程序》，并能按标准规定对内部审核的策划、实施、人员安排与资质、内部审核的记录、不符合项的分析与验证，以及审核的结论等开展内部审核。</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组织内部审核，一般每年至少进行一次内部审核，抽查内部审核情况：</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2022</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度</w:t>
            </w:r>
            <w:r>
              <w:rPr>
                <w:rFonts w:hint="eastAsia" w:cs="宋体" w:asciiTheme="minorEastAsia" w:hAnsiTheme="minorEastAsia" w:eastAsiaTheme="minorEastAsia"/>
                <w:szCs w:val="21"/>
              </w:rPr>
              <w:t>内审计划</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月进行内审，批准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乔学斌</w:t>
            </w:r>
            <w:r>
              <w:rPr>
                <w:rFonts w:hint="eastAsia" w:cs="宋体" w:asciiTheme="minorEastAsia" w:hAnsiTheme="minorEastAsia" w:eastAsiaTheme="minorEastAsia"/>
                <w:szCs w:val="21"/>
              </w:rPr>
              <w:t>；</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年内部审核计划，其内容已包括了审核目的、依据、范围、审核组</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日程安排、审核日期：</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日，批准：</w:t>
            </w:r>
            <w:r>
              <w:rPr>
                <w:rFonts w:hint="eastAsia" w:cs="宋体" w:asciiTheme="minorEastAsia" w:hAnsiTheme="minorEastAsia" w:eastAsiaTheme="minorEastAsia"/>
                <w:szCs w:val="21"/>
                <w:lang w:val="en-US" w:eastAsia="zh-CN"/>
              </w:rPr>
              <w:t>邢金辉</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计划批准时间：</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审核目的：确定质量体系是否持续有效，并得到实施与保持，公司的质量体系是否与GB/T19001-2016标准相一致。</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审核依据：GB/T19001-2016标准,公司质量手册和程序文件等质量体系文件等。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内部审核实施：组长：</w:t>
            </w:r>
            <w:r>
              <w:rPr>
                <w:rFonts w:hint="eastAsia" w:cs="宋体" w:asciiTheme="minorEastAsia" w:hAnsiTheme="minorEastAsia" w:eastAsiaTheme="minorEastAsia"/>
                <w:szCs w:val="21"/>
                <w:lang w:val="en-US" w:eastAsia="zh-CN"/>
              </w:rPr>
              <w:t>邢金辉</w:t>
            </w:r>
            <w:r>
              <w:rPr>
                <w:rFonts w:cs="宋体" w:asciiTheme="minorEastAsia" w:hAnsiTheme="minorEastAsia" w:eastAsiaTheme="minorEastAsia"/>
                <w:szCs w:val="21"/>
              </w:rPr>
              <w:t xml:space="preserve">A   </w:t>
            </w:r>
            <w:r>
              <w:rPr>
                <w:rFonts w:hint="eastAsia" w:cs="宋体" w:asciiTheme="minorEastAsia" w:hAnsiTheme="minorEastAsia" w:eastAsiaTheme="minorEastAsia"/>
                <w:szCs w:val="21"/>
              </w:rPr>
              <w:t>组员：</w:t>
            </w:r>
            <w:r>
              <w:rPr>
                <w:rFonts w:hint="eastAsia" w:cs="宋体" w:asciiTheme="minorEastAsia" w:hAnsiTheme="minorEastAsia" w:eastAsiaTheme="minorEastAsia"/>
                <w:szCs w:val="21"/>
                <w:lang w:val="en-US" w:eastAsia="zh-CN"/>
              </w:rPr>
              <w:t>丁军</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B  </w:t>
            </w:r>
            <w:r>
              <w:rPr>
                <w:rFonts w:hint="eastAsia" w:cs="宋体" w:asciiTheme="minorEastAsia" w:hAnsiTheme="minorEastAsia" w:eastAsiaTheme="minorEastAsia"/>
                <w:szCs w:val="21"/>
              </w:rPr>
              <w:t>审核按计划进行，有首末次会议签到和会议记录。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审核计划已考虑到互查的公正性，无审核员审核本部门的情况，计划内容涉及各部门，条款覆盖整个标准。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提供了《内审检查表》，其中包括</w:t>
            </w:r>
            <w:r>
              <w:rPr>
                <w:rFonts w:hint="eastAsia" w:cs="宋体" w:asciiTheme="minorEastAsia" w:hAnsiTheme="minorEastAsia" w:eastAsiaTheme="minorEastAsia"/>
                <w:szCs w:val="21"/>
                <w:lang w:val="en-US" w:eastAsia="zh-CN"/>
              </w:rPr>
              <w:t>管理层</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生产部、</w:t>
            </w:r>
            <w:r>
              <w:rPr>
                <w:rFonts w:hint="eastAsia" w:cs="宋体" w:asciiTheme="minorEastAsia" w:hAnsiTheme="minorEastAsia" w:eastAsiaTheme="minorEastAsia"/>
                <w:szCs w:val="21"/>
                <w:lang w:val="en-US" w:eastAsia="zh-CN"/>
              </w:rPr>
              <w:t>技质部、营销部</w:t>
            </w:r>
            <w:r>
              <w:rPr>
                <w:rFonts w:hint="eastAsia" w:cs="宋体" w:asciiTheme="minorEastAsia" w:hAnsiTheme="minorEastAsia" w:eastAsiaTheme="minorEastAsia"/>
                <w:szCs w:val="21"/>
              </w:rPr>
              <w:t>的审核记录，条款与策划一致，</w:t>
            </w:r>
            <w:r>
              <w:rPr>
                <w:rFonts w:hint="eastAsia" w:cs="宋体" w:asciiTheme="minorEastAsia" w:hAnsiTheme="minorEastAsia" w:eastAsiaTheme="minorEastAsia"/>
                <w:szCs w:val="21"/>
                <w:lang w:val="en-US" w:eastAsia="zh-CN"/>
              </w:rPr>
              <w:t>进行审核</w:t>
            </w:r>
            <w:r>
              <w:rPr>
                <w:rFonts w:hint="eastAsia" w:cs="宋体" w:asciiTheme="minorEastAsia" w:hAnsiTheme="minorEastAsia" w:eastAsiaTheme="minorEastAsia"/>
                <w:szCs w:val="21"/>
              </w:rPr>
              <w:t>记录</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基本</w:t>
            </w:r>
            <w:r>
              <w:rPr>
                <w:rFonts w:hint="eastAsia" w:cs="宋体" w:asciiTheme="minorEastAsia" w:hAnsiTheme="minorEastAsia" w:eastAsiaTheme="minorEastAsia"/>
                <w:szCs w:val="21"/>
              </w:rPr>
              <w:t>真实、完整。</w:t>
            </w:r>
          </w:p>
          <w:p>
            <w:pPr>
              <w:spacing w:line="280" w:lineRule="exact"/>
              <w:ind w:left="420" w:left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有首末次会议签到及记录。</w:t>
            </w:r>
          </w:p>
          <w:p>
            <w:pPr>
              <w:spacing w:line="280" w:lineRule="exact"/>
              <w:ind w:left="420" w:left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提供《内审报告》，对现场审核进行了综述，对质量管理体系进行了符合性的综合评价，结论为：</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管理体系基本符合GB/T19001-2016标准并得到实施与保持，已初步具有以防止不合格满足顾客要求与法规的能力，建立起持续改进机制。</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编制：</w:t>
            </w:r>
            <w:r>
              <w:rPr>
                <w:rFonts w:hint="eastAsia" w:cs="宋体" w:asciiTheme="minorEastAsia" w:hAnsiTheme="minorEastAsia" w:eastAsiaTheme="minorEastAsia"/>
                <w:szCs w:val="21"/>
                <w:lang w:val="en-US" w:eastAsia="zh-CN"/>
              </w:rPr>
              <w:t xml:space="preserve">丁军 </w:t>
            </w:r>
            <w:r>
              <w:rPr>
                <w:rFonts w:hint="eastAsia" w:cs="宋体" w:asciiTheme="minorEastAsia" w:hAnsiTheme="minorEastAsia" w:eastAsiaTheme="minorEastAsia"/>
                <w:szCs w:val="21"/>
              </w:rPr>
              <w:t xml:space="preserve">  批准：</w:t>
            </w:r>
            <w:r>
              <w:rPr>
                <w:rFonts w:hint="eastAsia" w:cs="宋体" w:asciiTheme="minorEastAsia" w:hAnsiTheme="minorEastAsia" w:eastAsiaTheme="minorEastAsia"/>
                <w:szCs w:val="21"/>
                <w:lang w:val="en-US" w:eastAsia="zh-CN"/>
              </w:rPr>
              <w:t xml:space="preserve">邢金辉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日期：</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w:t>
            </w:r>
          </w:p>
          <w:p>
            <w:pPr>
              <w:spacing w:line="280" w:lineRule="exact"/>
              <w:ind w:left="420" w:leftChars="200"/>
              <w:rPr>
                <w:rFonts w:hint="eastAsia" w:cs="宋体" w:asciiTheme="minorEastAsia" w:hAnsiTheme="minorEastAsia" w:eastAsiaTheme="minorEastAsia"/>
                <w:szCs w:val="21"/>
              </w:rPr>
            </w:pP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本次内审发现质量1个一般不符合项，明确不符合标准条款和负责部门，开具不合格项报告：</w:t>
            </w:r>
            <w:r>
              <w:rPr>
                <w:rFonts w:hint="eastAsia" w:cs="宋体" w:asciiTheme="minorEastAsia" w:hAnsiTheme="minorEastAsia" w:eastAsiaTheme="minorEastAsia"/>
                <w:szCs w:val="21"/>
                <w:lang w:val="en-US" w:eastAsia="zh-CN"/>
              </w:rPr>
              <w:t>营销部</w:t>
            </w:r>
            <w:r>
              <w:rPr>
                <w:rFonts w:hint="eastAsia" w:cs="宋体" w:asciiTheme="minorEastAsia" w:hAnsiTheme="minorEastAsia" w:eastAsiaTheme="minorEastAsia"/>
                <w:szCs w:val="21"/>
              </w:rPr>
              <w:t>1项</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Q</w:t>
            </w:r>
            <w:r>
              <w:rPr>
                <w:rFonts w:hint="eastAsia" w:cs="宋体" w:asciiTheme="minorEastAsia" w:hAnsiTheme="minorEastAsia" w:eastAsiaTheme="minorEastAsia"/>
                <w:szCs w:val="21"/>
                <w:lang w:val="en-US" w:eastAsia="zh-CN"/>
              </w:rPr>
              <w:t>8</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部门确认不合格，并进行原因分析和</w:t>
            </w:r>
            <w:r>
              <w:rPr>
                <w:rFonts w:hint="eastAsia" w:cs="宋体" w:asciiTheme="minorEastAsia" w:hAnsiTheme="minorEastAsia" w:eastAsiaTheme="minorEastAsia"/>
                <w:szCs w:val="21"/>
                <w:lang w:val="en-US" w:eastAsia="zh-CN"/>
              </w:rPr>
              <w:t>纠正措施</w:t>
            </w:r>
            <w:r>
              <w:rPr>
                <w:rFonts w:hint="eastAsia" w:cs="宋体" w:asciiTheme="minorEastAsia" w:hAnsiTheme="minorEastAsia" w:eastAsiaTheme="minorEastAsia"/>
                <w:szCs w:val="21"/>
              </w:rPr>
              <w:t>，有</w:t>
            </w:r>
            <w:r>
              <w:rPr>
                <w:rFonts w:hint="eastAsia" w:cs="宋体" w:asciiTheme="minorEastAsia" w:hAnsiTheme="minorEastAsia" w:eastAsiaTheme="minorEastAsia"/>
                <w:szCs w:val="21"/>
                <w:lang w:val="en-US" w:eastAsia="zh-CN"/>
              </w:rPr>
              <w:t>2022年10月15日验证</w:t>
            </w:r>
            <w:r>
              <w:rPr>
                <w:rFonts w:hint="eastAsia" w:cs="宋体" w:asciiTheme="minorEastAsia" w:hAnsiTheme="minorEastAsia" w:eastAsiaTheme="minorEastAsia"/>
                <w:szCs w:val="21"/>
              </w:rPr>
              <w:t>记录并对整改效果进行验证，已关闭。</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公司内部审核</w:t>
            </w:r>
            <w:r>
              <w:rPr>
                <w:rFonts w:hint="eastAsia" w:cs="宋体" w:asciiTheme="minorEastAsia" w:hAnsiTheme="minorEastAsia" w:eastAsiaTheme="minorEastAsia"/>
                <w:szCs w:val="21"/>
                <w:lang w:val="en-US" w:eastAsia="zh-CN"/>
              </w:rPr>
              <w:t>符合程序和标准要求</w:t>
            </w:r>
            <w:r>
              <w:rPr>
                <w:rFonts w:hint="eastAsia" w:cs="宋体" w:asciiTheme="minorEastAsia" w:hAnsiTheme="minorEastAsia" w:eastAsiaTheme="minorEastAsia"/>
                <w:szCs w:val="21"/>
              </w:rPr>
              <w:t>。</w:t>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r>
              <w:drawing>
                <wp:anchor distT="0" distB="0" distL="114300" distR="114300" simplePos="0" relativeHeight="251660288" behindDoc="0" locked="0" layoutInCell="1" allowOverlap="1">
                  <wp:simplePos x="0" y="0"/>
                  <wp:positionH relativeFrom="column">
                    <wp:posOffset>3030220</wp:posOffset>
                  </wp:positionH>
                  <wp:positionV relativeFrom="paragraph">
                    <wp:posOffset>154940</wp:posOffset>
                  </wp:positionV>
                  <wp:extent cx="2887980" cy="3236595"/>
                  <wp:effectExtent l="0" t="0" r="7620" b="19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2887980" cy="3236595"/>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rPr>
            </w:pPr>
            <w:r>
              <w:drawing>
                <wp:anchor distT="0" distB="0" distL="114300" distR="114300" simplePos="0" relativeHeight="251659264" behindDoc="0" locked="0" layoutInCell="1" allowOverlap="1">
                  <wp:simplePos x="0" y="0"/>
                  <wp:positionH relativeFrom="column">
                    <wp:posOffset>78105</wp:posOffset>
                  </wp:positionH>
                  <wp:positionV relativeFrom="paragraph">
                    <wp:posOffset>2540</wp:posOffset>
                  </wp:positionV>
                  <wp:extent cx="2928620" cy="3199765"/>
                  <wp:effectExtent l="0" t="0" r="5080" b="63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2928620" cy="3199765"/>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lang w:val="en-US" w:eastAsia="zh-CN"/>
              </w:rPr>
            </w:pP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VjOWY5MmIxZGI2NTJmOGI5Yzg2MzEwNzA4OWE1NDUifQ=="/>
  </w:docVars>
  <w:rsids>
    <w:rsidRoot w:val="00000000"/>
    <w:rsid w:val="022A5B78"/>
    <w:rsid w:val="044C04D8"/>
    <w:rsid w:val="04AF4650"/>
    <w:rsid w:val="04FC521C"/>
    <w:rsid w:val="05A86320"/>
    <w:rsid w:val="06556F2B"/>
    <w:rsid w:val="06710766"/>
    <w:rsid w:val="069A035E"/>
    <w:rsid w:val="0987026A"/>
    <w:rsid w:val="0A0554EC"/>
    <w:rsid w:val="0AFC1190"/>
    <w:rsid w:val="0BD75BB1"/>
    <w:rsid w:val="0C4B2FCB"/>
    <w:rsid w:val="0CE51C08"/>
    <w:rsid w:val="0DB42481"/>
    <w:rsid w:val="116A2B14"/>
    <w:rsid w:val="141D4D21"/>
    <w:rsid w:val="14635D15"/>
    <w:rsid w:val="15806971"/>
    <w:rsid w:val="15F01464"/>
    <w:rsid w:val="17647B7A"/>
    <w:rsid w:val="19A5619D"/>
    <w:rsid w:val="19D32900"/>
    <w:rsid w:val="1B09762E"/>
    <w:rsid w:val="1C4E1E4E"/>
    <w:rsid w:val="1F65468B"/>
    <w:rsid w:val="1F8B6E45"/>
    <w:rsid w:val="222114DC"/>
    <w:rsid w:val="236E24FF"/>
    <w:rsid w:val="27627C02"/>
    <w:rsid w:val="28100C39"/>
    <w:rsid w:val="28C00CB2"/>
    <w:rsid w:val="2B2175E7"/>
    <w:rsid w:val="2B33475A"/>
    <w:rsid w:val="2D01290C"/>
    <w:rsid w:val="2D5A3158"/>
    <w:rsid w:val="2D9C1F07"/>
    <w:rsid w:val="2FDD02FA"/>
    <w:rsid w:val="32081D91"/>
    <w:rsid w:val="335D7E9A"/>
    <w:rsid w:val="336F02F9"/>
    <w:rsid w:val="36F070D7"/>
    <w:rsid w:val="385615D7"/>
    <w:rsid w:val="3882765D"/>
    <w:rsid w:val="3936786E"/>
    <w:rsid w:val="39A71E6F"/>
    <w:rsid w:val="39CB2002"/>
    <w:rsid w:val="3ADC32D6"/>
    <w:rsid w:val="3EB70DA6"/>
    <w:rsid w:val="41CC4B69"/>
    <w:rsid w:val="431627EB"/>
    <w:rsid w:val="431C38CE"/>
    <w:rsid w:val="44272BB0"/>
    <w:rsid w:val="450260A3"/>
    <w:rsid w:val="45863281"/>
    <w:rsid w:val="45D31ED1"/>
    <w:rsid w:val="47436672"/>
    <w:rsid w:val="48142DC6"/>
    <w:rsid w:val="49236455"/>
    <w:rsid w:val="49F17862"/>
    <w:rsid w:val="4A0923DF"/>
    <w:rsid w:val="4A1A7938"/>
    <w:rsid w:val="4A5C1369"/>
    <w:rsid w:val="4C215AB1"/>
    <w:rsid w:val="4C7A2CF8"/>
    <w:rsid w:val="509B0528"/>
    <w:rsid w:val="50BE7D72"/>
    <w:rsid w:val="52AC15B4"/>
    <w:rsid w:val="5BC621D1"/>
    <w:rsid w:val="5BFC5BF3"/>
    <w:rsid w:val="5C5D6CD5"/>
    <w:rsid w:val="5D4B5084"/>
    <w:rsid w:val="5E776A60"/>
    <w:rsid w:val="5E8343A9"/>
    <w:rsid w:val="5F322057"/>
    <w:rsid w:val="5F9C41A5"/>
    <w:rsid w:val="62607EDA"/>
    <w:rsid w:val="63807CDF"/>
    <w:rsid w:val="644A5590"/>
    <w:rsid w:val="65536987"/>
    <w:rsid w:val="65E04EB0"/>
    <w:rsid w:val="66214BD4"/>
    <w:rsid w:val="66A60C9C"/>
    <w:rsid w:val="66D061F4"/>
    <w:rsid w:val="6787793C"/>
    <w:rsid w:val="6CAA406A"/>
    <w:rsid w:val="6F084EF7"/>
    <w:rsid w:val="6F8821E3"/>
    <w:rsid w:val="70716758"/>
    <w:rsid w:val="71924470"/>
    <w:rsid w:val="74970D07"/>
    <w:rsid w:val="76A97D04"/>
    <w:rsid w:val="78782D79"/>
    <w:rsid w:val="791E39C6"/>
    <w:rsid w:val="7D954748"/>
    <w:rsid w:val="7F190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2325</Words>
  <Characters>2538</Characters>
  <Lines>1</Lines>
  <Paragraphs>1</Paragraphs>
  <TotalTime>1</TotalTime>
  <ScaleCrop>false</ScaleCrop>
  <LinksUpToDate>false</LinksUpToDate>
  <CharactersWithSpaces>2628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2022-12-12T12:32:36Z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