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bookmarkStart w:id="0" w:name="_GoBack"/>
            <w:bookmarkEnd w:id="0"/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满婧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华文细黑" w:hAnsi="华文细黑" w:eastAsia="华文细黑" w:cs="华文细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</w:t>
            </w:r>
            <w:r>
              <w:rPr>
                <w:rFonts w:hint="eastAsia" w:ascii="华文细黑" w:hAnsi="华文细黑" w:cs="华文细黑"/>
                <w:b w:val="0"/>
                <w:bCs/>
                <w:sz w:val="21"/>
                <w:szCs w:val="21"/>
                <w:lang w:val="en-US" w:eastAsia="zh-CN"/>
              </w:rPr>
              <w:t>条款：</w:t>
            </w:r>
            <w:r>
              <w:rPr>
                <w:rFonts w:ascii="宋体" w:hAnsi="宋体"/>
                <w:b/>
                <w:sz w:val="21"/>
                <w:szCs w:val="21"/>
              </w:rPr>
              <w:t>Q：5.3、6.2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</w:rPr>
              <w:t>8.2、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8.4、</w:t>
            </w:r>
            <w:r>
              <w:rPr>
                <w:rFonts w:ascii="宋体" w:hAnsi="宋体"/>
                <w:b/>
                <w:sz w:val="21"/>
                <w:szCs w:val="21"/>
              </w:rPr>
              <w:t>8.5.3、8.5.5、9.1.2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在手册中</w:t>
            </w:r>
            <w:r>
              <w:rPr>
                <w:rFonts w:hint="eastAsia"/>
                <w:lang w:val="en-US" w:eastAsia="zh-CN"/>
              </w:rPr>
              <w:t>分配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lang w:val="en-US" w:eastAsia="zh-CN"/>
              </w:rPr>
              <w:t>销售部的部门</w:t>
            </w:r>
            <w:r>
              <w:rPr>
                <w:rFonts w:hint="eastAsia"/>
              </w:rPr>
              <w:t>职能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主要包括与销售有关的过程控制。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销售部满婧</w:t>
            </w:r>
            <w:r>
              <w:rPr>
                <w:rFonts w:hint="eastAsia" w:ascii="宋体" w:hAnsi="宋体" w:cs="宋体"/>
                <w:szCs w:val="21"/>
              </w:rPr>
              <w:t>，基本清楚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szCs w:val="21"/>
              </w:rPr>
              <w:t>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管理目标及其实现的策划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</w:rPr>
              <w:t>6.2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Cs w:val="21"/>
              </w:rPr>
              <w:t>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6212205" cy="911225"/>
                  <wp:effectExtent l="0" t="0" r="10795" b="317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据2022年审核期间截止的目标分解落实考核结果表明：销售部的目标有按要求完成。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产品和服务的要求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承接业务的方式主要是：通过与顾客签订合同，按顾客要求组织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Cs w:val="21"/>
              </w:rPr>
              <w:t>，并以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电话、APP、</w:t>
            </w:r>
            <w:r>
              <w:rPr>
                <w:rFonts w:hint="eastAsia"/>
                <w:color w:val="auto"/>
                <w:szCs w:val="21"/>
              </w:rPr>
              <w:t>传真等方式进行沟通、确认，对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要求等给予明确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组织识别产品和服务的要求主要来源于：1.</w:t>
            </w:r>
            <w:r>
              <w:rPr>
                <w:rFonts w:hint="eastAsia"/>
                <w:color w:val="auto"/>
                <w:szCs w:val="21"/>
              </w:rPr>
              <w:t>顾客明确规定的要求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即有销售服务本身的质量要求也包括后续活动的要求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</w:rPr>
              <w:t>顾客没有明确规定，但预期或规定用途所必要的要求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的销售服务有关的法律法规的要求及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附加的对顾客的责任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要求等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组织玻璃瓶</w:t>
            </w:r>
            <w:r>
              <w:rPr>
                <w:rFonts w:hint="eastAsia"/>
                <w:color w:val="auto"/>
                <w:szCs w:val="21"/>
              </w:rPr>
              <w:t>等的销售服务已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成型</w:t>
            </w:r>
            <w:r>
              <w:rPr>
                <w:rFonts w:hint="eastAsia"/>
                <w:color w:val="auto"/>
                <w:szCs w:val="21"/>
              </w:rPr>
              <w:t>，收到合同后在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内评审，没有异议后，总经理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同意盖章</w:t>
            </w:r>
            <w:r>
              <w:rPr>
                <w:rFonts w:hint="eastAsia"/>
                <w:color w:val="auto"/>
                <w:szCs w:val="21"/>
              </w:rPr>
              <w:t>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代表</w:t>
            </w:r>
            <w:r>
              <w:rPr>
                <w:rFonts w:hint="eastAsia"/>
                <w:color w:val="auto"/>
                <w:szCs w:val="21"/>
              </w:rPr>
              <w:t>完成合同评审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</w:rPr>
              <w:t>两平米智能家居科技有限公司</w:t>
            </w:r>
            <w:r>
              <w:rPr>
                <w:rFonts w:hint="eastAsia"/>
                <w:color w:val="auto"/>
                <w:szCs w:val="21"/>
              </w:rPr>
              <w:t>签订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的购销</w:t>
            </w:r>
            <w:r>
              <w:rPr>
                <w:rFonts w:hint="eastAsia"/>
                <w:color w:val="auto"/>
                <w:szCs w:val="21"/>
              </w:rPr>
              <w:t>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合同标的：蜻蜓学习灯；2022年9月26日至2025年9月25日；合同期限：</w:t>
            </w:r>
            <w:r>
              <w:rPr>
                <w:rFonts w:hint="eastAsia"/>
                <w:color w:val="auto"/>
                <w:szCs w:val="21"/>
              </w:rPr>
              <w:t>合同规定了产品名称、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规格、</w:t>
            </w:r>
            <w:r>
              <w:rPr>
                <w:rFonts w:hint="eastAsia"/>
                <w:color w:val="auto"/>
                <w:szCs w:val="21"/>
              </w:rPr>
              <w:t>数量（按买方实际生产需求供应）、单价及金额、交货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/>
                <w:color w:val="auto"/>
                <w:szCs w:val="21"/>
              </w:rPr>
              <w:t>、验收标准、结算方式、违约责任等条款，要求明确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抽查浙江安吉护童家具有限公司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的采购订单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订单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标的：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T型灯；合同期限：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合同规定了产品名称、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型号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、数量（按买方实际生产需求供应）、单价及金额、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其它均按《年度采购框架协议》要求执行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，要求明确，有双方盖章。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以上合同均已实施，合同评审在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盖章之前由生产和技质等部门按照程序</w:t>
            </w:r>
            <w:r>
              <w:rPr>
                <w:rFonts w:hint="eastAsia"/>
                <w:color w:val="auto"/>
                <w:szCs w:val="21"/>
              </w:rPr>
              <w:t>进行。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暂无合同变更情况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无相关记录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顾客财产</w:t>
            </w:r>
            <w:r>
              <w:rPr>
                <w:rFonts w:hint="eastAsia"/>
                <w:lang w:val="en-US" w:eastAsia="zh-CN"/>
              </w:rPr>
              <w:t>管理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</w:t>
            </w:r>
            <w:r>
              <w:rPr>
                <w:rFonts w:hint="default"/>
              </w:rPr>
              <w:t>顾客财产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识别、防护作了基本规定。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组织的顾客财产</w:t>
            </w:r>
            <w:r>
              <w:rPr>
                <w:rFonts w:hint="default"/>
              </w:rPr>
              <w:t>包括：</w:t>
            </w:r>
            <w:r>
              <w:rPr>
                <w:rFonts w:hint="eastAsia"/>
                <w:lang w:val="en-US" w:eastAsia="zh-CN"/>
              </w:rPr>
              <w:t>设计图纸、</w:t>
            </w:r>
            <w:r>
              <w:rPr>
                <w:rFonts w:hint="default"/>
              </w:rPr>
              <w:t>个人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default"/>
              </w:rPr>
              <w:t>等，由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default"/>
              </w:rPr>
              <w:t>门专门人员负责管理，分类登记放置。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2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交付后的活动</w:t>
            </w:r>
          </w:p>
        </w:tc>
        <w:tc>
          <w:tcPr>
            <w:tcW w:w="998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不合格输出控制程序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，对已销产品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的质量问题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处理事宜作了基本规定。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询问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销售部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满婧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了解到：组织保证所供货物均符合合同规定的质量、规格和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功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能要求，并且所有产品都随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货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附出厂检验合格证明；如客户在使用过程中发现问题，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可通过电话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、文书等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进行解决。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2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组织已建立和保持了《顾客满意程度测量控制程序》，对顾客满意的监测的相关内容进行了规定，其包括了对调查时机、方式、方案等。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提供调查记录：抽查</w:t>
            </w:r>
            <w:r>
              <w:rPr>
                <w:rFonts w:hint="eastAsia"/>
              </w:rPr>
              <w:t>杭州两平米智能家居科技有限公司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浙江安吉护童家具有限公司的《顾客满意程度调查表》，调查内容有：产品质量、价格、交货期、服务质量等，基本完整。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提供《顾客满意度调查报告》，顾客满意率达到9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3.5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%，达到了质量目标的要求。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861CC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979E1"/>
    <w:rsid w:val="001A05B6"/>
    <w:rsid w:val="001A3B63"/>
    <w:rsid w:val="001C57A3"/>
    <w:rsid w:val="001F0E7B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1BEA"/>
    <w:rsid w:val="003273C2"/>
    <w:rsid w:val="003445A0"/>
    <w:rsid w:val="003541E0"/>
    <w:rsid w:val="00364D71"/>
    <w:rsid w:val="00382525"/>
    <w:rsid w:val="003840DB"/>
    <w:rsid w:val="00384FEF"/>
    <w:rsid w:val="00397D3F"/>
    <w:rsid w:val="003C12BB"/>
    <w:rsid w:val="003C254E"/>
    <w:rsid w:val="003C6170"/>
    <w:rsid w:val="003E434A"/>
    <w:rsid w:val="0042030E"/>
    <w:rsid w:val="00421E1B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03AAF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AF6FB0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C1E1A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F78EA"/>
    <w:rsid w:val="00F01C99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5C3CE6"/>
    <w:rsid w:val="03DE78EB"/>
    <w:rsid w:val="041E548B"/>
    <w:rsid w:val="04E8180D"/>
    <w:rsid w:val="0548225D"/>
    <w:rsid w:val="059C6184"/>
    <w:rsid w:val="05F1642E"/>
    <w:rsid w:val="07155A95"/>
    <w:rsid w:val="071F001B"/>
    <w:rsid w:val="0A755CD1"/>
    <w:rsid w:val="0DDA3736"/>
    <w:rsid w:val="0E682AF0"/>
    <w:rsid w:val="0F360E40"/>
    <w:rsid w:val="11B2304F"/>
    <w:rsid w:val="11B844E6"/>
    <w:rsid w:val="11C37011"/>
    <w:rsid w:val="144E65A3"/>
    <w:rsid w:val="14B556EA"/>
    <w:rsid w:val="15C70407"/>
    <w:rsid w:val="15FB3C44"/>
    <w:rsid w:val="16E66022"/>
    <w:rsid w:val="16E82A85"/>
    <w:rsid w:val="172C45C6"/>
    <w:rsid w:val="17310702"/>
    <w:rsid w:val="182E39BC"/>
    <w:rsid w:val="18E63730"/>
    <w:rsid w:val="19AF5A77"/>
    <w:rsid w:val="1A8330B4"/>
    <w:rsid w:val="1AE334BF"/>
    <w:rsid w:val="1F8F5F24"/>
    <w:rsid w:val="1FCA360B"/>
    <w:rsid w:val="20851F05"/>
    <w:rsid w:val="245F13B9"/>
    <w:rsid w:val="25B51A95"/>
    <w:rsid w:val="277B1EA4"/>
    <w:rsid w:val="29CA0AEB"/>
    <w:rsid w:val="2A306760"/>
    <w:rsid w:val="2BBD52B7"/>
    <w:rsid w:val="2D314E05"/>
    <w:rsid w:val="2EEA15D4"/>
    <w:rsid w:val="2F010C8D"/>
    <w:rsid w:val="2F442FE7"/>
    <w:rsid w:val="311372E9"/>
    <w:rsid w:val="315E4436"/>
    <w:rsid w:val="32504720"/>
    <w:rsid w:val="35415D24"/>
    <w:rsid w:val="35FA59C2"/>
    <w:rsid w:val="36341386"/>
    <w:rsid w:val="36977349"/>
    <w:rsid w:val="370B1400"/>
    <w:rsid w:val="37D20E57"/>
    <w:rsid w:val="389044E9"/>
    <w:rsid w:val="39FC4F8E"/>
    <w:rsid w:val="3C37397E"/>
    <w:rsid w:val="3D457AB4"/>
    <w:rsid w:val="3ED90C45"/>
    <w:rsid w:val="3F055FB6"/>
    <w:rsid w:val="3FF51B86"/>
    <w:rsid w:val="41D20C59"/>
    <w:rsid w:val="45224C47"/>
    <w:rsid w:val="452D7F1C"/>
    <w:rsid w:val="458A74DF"/>
    <w:rsid w:val="48612B74"/>
    <w:rsid w:val="48D662CD"/>
    <w:rsid w:val="4CC0267D"/>
    <w:rsid w:val="4D005D50"/>
    <w:rsid w:val="4DED56EF"/>
    <w:rsid w:val="4F660E4F"/>
    <w:rsid w:val="5109500C"/>
    <w:rsid w:val="515F763E"/>
    <w:rsid w:val="53266E1D"/>
    <w:rsid w:val="54DF1EFD"/>
    <w:rsid w:val="552C2EC0"/>
    <w:rsid w:val="58152BDA"/>
    <w:rsid w:val="5BD930EE"/>
    <w:rsid w:val="5F614678"/>
    <w:rsid w:val="614442C4"/>
    <w:rsid w:val="63163D75"/>
    <w:rsid w:val="64375CD3"/>
    <w:rsid w:val="655B398A"/>
    <w:rsid w:val="65F6716B"/>
    <w:rsid w:val="68764A3D"/>
    <w:rsid w:val="6A3A3731"/>
    <w:rsid w:val="6BED6318"/>
    <w:rsid w:val="6DE50BDD"/>
    <w:rsid w:val="6FD164AB"/>
    <w:rsid w:val="70C76378"/>
    <w:rsid w:val="72851A38"/>
    <w:rsid w:val="728C7879"/>
    <w:rsid w:val="728E539F"/>
    <w:rsid w:val="72DD1E82"/>
    <w:rsid w:val="73534DA6"/>
    <w:rsid w:val="745D6C10"/>
    <w:rsid w:val="747D06DB"/>
    <w:rsid w:val="767174B1"/>
    <w:rsid w:val="78322549"/>
    <w:rsid w:val="793547C6"/>
    <w:rsid w:val="794A137F"/>
    <w:rsid w:val="7AD97E9C"/>
    <w:rsid w:val="7B7F28B3"/>
    <w:rsid w:val="7BAD6F9E"/>
    <w:rsid w:val="7C5733F0"/>
    <w:rsid w:val="7C6F4ABE"/>
    <w:rsid w:val="7D323AFB"/>
    <w:rsid w:val="7D9113F4"/>
    <w:rsid w:val="7D923F5F"/>
    <w:rsid w:val="7E365557"/>
    <w:rsid w:val="7FD02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6">
    <w:name w:val="正文 + 楷体_GB2312"/>
    <w:basedOn w:val="1"/>
    <w:qFormat/>
    <w:uiPriority w:val="0"/>
    <w:pPr>
      <w:ind w:firstLine="630" w:firstLineChars="300"/>
    </w:pPr>
    <w:rPr>
      <w:rFonts w:ascii="楷体_GB2312"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2582</Words>
  <Characters>2792</Characters>
  <Lines>23</Lines>
  <Paragraphs>6</Paragraphs>
  <TotalTime>7</TotalTime>
  <ScaleCrop>false</ScaleCrop>
  <LinksUpToDate>false</LinksUpToDate>
  <CharactersWithSpaces>2806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2022-12-20T06:18:17Z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71E8E3C7B1774F8E859668316F4A42D4</vt:lpwstr>
  </property>
</Properties>
</file>