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过程与活动、</w:t>
            </w:r>
          </w:p>
          <w:p>
            <w:pPr>
              <w:bidi w:val="0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涉及</w:t>
            </w:r>
          </w:p>
          <w:p>
            <w:pPr>
              <w:bidi w:val="0"/>
            </w:pPr>
            <w:r>
              <w:rPr>
                <w:rFonts w:hint="eastAsia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受审核部门：</w:t>
            </w:r>
            <w:bookmarkStart w:id="0" w:name="组织名称"/>
            <w:r>
              <w:rPr>
                <w:rFonts w:hint="eastAsia"/>
              </w:rPr>
              <w:t>无锡市森大竹木业有限公司</w:t>
            </w:r>
            <w:bookmarkEnd w:id="0"/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主管领导：</w:t>
            </w:r>
            <w:bookmarkStart w:id="1" w:name="管理者代表"/>
            <w:r>
              <w:rPr>
                <w:rFonts w:hint="eastAsia"/>
                <w:lang w:val="en-US" w:eastAsia="zh-CN"/>
              </w:rPr>
              <w:t xml:space="preserve">朱晓露； </w:t>
            </w:r>
            <w:bookmarkEnd w:id="1"/>
            <w:r>
              <w:rPr>
                <w:rFonts w:hint="eastAsia"/>
              </w:rPr>
              <w:t>陪同人员：</w:t>
            </w:r>
            <w:r>
              <w:rPr>
                <w:rFonts w:hint="eastAsia"/>
                <w:lang w:val="en-US" w:eastAsia="zh-CN"/>
              </w:rPr>
              <w:t xml:space="preserve">董敏；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审核员：</w:t>
            </w:r>
            <w:bookmarkStart w:id="2" w:name="审核组成员不含组长"/>
            <w:r>
              <w:rPr>
                <w:rFonts w:hint="eastAsia"/>
                <w:lang w:val="en-US" w:eastAsia="zh-CN"/>
              </w:rPr>
              <w:t xml:space="preserve">王献华 </w:t>
            </w:r>
            <w:bookmarkEnd w:id="2"/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审核时间：</w:t>
            </w:r>
            <w:bookmarkStart w:id="3" w:name="审核日期"/>
            <w:r>
              <w:t>2022年</w:t>
            </w:r>
            <w:r>
              <w:rPr>
                <w:rFonts w:hint="eastAsia"/>
                <w:lang w:val="en-US" w:eastAsia="zh-CN"/>
              </w:rPr>
              <w:t>12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bookmarkEnd w:id="3"/>
            <w:r>
              <w:rPr>
                <w:rFonts w:hint="eastAsia"/>
                <w:lang w:val="en-US" w:eastAsia="zh-CN"/>
              </w:rPr>
              <w:t>日下午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QEO：5.3、6.2</w:t>
            </w:r>
          </w:p>
          <w:p>
            <w:pPr>
              <w:spacing w:line="300" w:lineRule="exact"/>
              <w:jc w:val="left"/>
              <w:rPr>
                <w:rFonts w:hint="default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Q：8.2、8.4、8.5.3、8.5.5、9.1.2</w:t>
            </w:r>
          </w:p>
          <w:p>
            <w:pPr>
              <w:bidi w:val="0"/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EO：8.1、8.2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组织的岗位、职责和权限</w:t>
            </w:r>
          </w:p>
          <w:p>
            <w:pPr>
              <w:bidi w:val="0"/>
              <w:rPr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t>QEO5.3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审核发现，行政部的主要职责包括采购管理包括供应商管理、销售管理包括合同管理、客户满意情况监视等。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与供销部负责人朱晓露沟通，对其部门职责和权限基本清楚，符合要求。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Q6.2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目标。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szCs w:val="21"/>
              </w:rPr>
              <w:t>涉及的目标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分解落实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drawing>
                <wp:inline distT="0" distB="0" distL="114300" distR="114300">
                  <wp:extent cx="6209030" cy="1096010"/>
                  <wp:effectExtent l="0" t="0" r="1270" b="889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03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目标可测量，与方针一致。2022年截止审核期间的统计结果表明：生产部的目标有按要求完成。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环境和职业健康安全运行策划与控制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组织编制的与环境管理体系运行控制有关的文件主要包括《运行控制程序》等。现场审核发现情况如下：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1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废水管控</w:t>
            </w:r>
          </w:p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lang w:val="en-US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组织废水</w:t>
            </w:r>
            <w:r>
              <w:rPr>
                <w:rFonts w:hint="eastAsia" w:ascii="等线" w:hAnsi="等线" w:eastAsia="等线" w:cs="等线"/>
              </w:rPr>
              <w:t>主要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为</w:t>
            </w:r>
            <w:r>
              <w:rPr>
                <w:rFonts w:hint="eastAsia" w:ascii="等线" w:hAnsi="等线" w:eastAsia="等线" w:cs="等线"/>
              </w:rPr>
              <w:t>生活废水</w:t>
            </w:r>
            <w:r>
              <w:rPr>
                <w:rFonts w:hint="eastAsia" w:ascii="等线" w:hAnsi="等线" w:eastAsia="等线" w:cs="等线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经化粪池预处理后排入当地污水管网。现场查看无异常。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2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废气管控</w:t>
            </w:r>
          </w:p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color w:val="auto"/>
                <w:lang w:val="en-US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组织办公区域无废气产生，主要见生产部EO8.1记录。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3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噪声管控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组织办公区域无噪声，主要见生产部EO8.1</w:t>
            </w:r>
            <w:r>
              <w:rPr>
                <w:rFonts w:hint="eastAsia" w:ascii="等线" w:hAnsi="等线" w:eastAsia="等线" w:cs="等线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4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固废管控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组织涉及的生活垃圾有进行分类存放并由当地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村委统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一清运。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5.能源资源管控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组织工作人员有</w:t>
            </w:r>
            <w:r>
              <w:rPr>
                <w:rFonts w:hint="eastAsia" w:ascii="等线" w:hAnsi="等线" w:eastAsia="等线" w:cs="等线"/>
              </w:rPr>
              <w:t>注意节水、节电、节油，人走关闭开关，未发现有漏水和浪费电能的现象。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6</w:t>
            </w:r>
            <w:r>
              <w:rPr>
                <w:rFonts w:hint="eastAsia" w:ascii="等线" w:hAnsi="等线" w:eastAsia="等线" w:cs="等线"/>
                <w:lang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潜在火灾管控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各工作场所均</w:t>
            </w:r>
            <w:r>
              <w:rPr>
                <w:rFonts w:hint="eastAsia" w:ascii="等线" w:hAnsi="等线" w:eastAsia="等线" w:cs="等线"/>
              </w:rPr>
              <w:t>配有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消防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栓，灭火器，现场检查发现点检符合要求。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EO8.2 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组织根据手册8.2要求，制定了《应急准备和响应程序》，基本符合策划控制要求。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组织按程序文件规定对紧急情况进行了识别，应急预案主要包括火灾等。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抽查消防应急演练：演练时间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：2022.6.8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；内容完整，识别基本到位，记录显示，供销部人员均有参与，符合要求。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产品和服务的要求</w:t>
            </w:r>
          </w:p>
        </w:tc>
        <w:tc>
          <w:tcPr>
            <w:tcW w:w="0" w:type="auto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通过与顾客签订合同，并以</w:t>
            </w: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邮件、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APP、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传真等方式进行沟通、确认对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产品的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要求等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组织识别产品和服务的要求主要来源于：1.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顾客明确规定的要求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即有销售服务本身的质量要求也包括后续活动的要求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顾客没有明确规定，但预期或规定用途所必要的要求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与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的销售服务有关的法律法规的要求及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附加的对顾客的责任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要求等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收到合同后在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内评审，没有异议后，总经理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同意</w:t>
            </w: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后由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即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代表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完成合同评审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抽查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color w:val="auto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1</w:t>
            </w:r>
            <w:r>
              <w:rPr>
                <w:rFonts w:hint="eastAsia" w:ascii="华文细黑" w:hAnsi="华文细黑" w:cs="华文细黑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20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-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-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与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OKUTA Co.,Ltd签订的SOLID PINE FLOORING PAMS-111等的订单；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2</w:t>
            </w: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）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20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-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-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与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YWG确定的Solid Big Leaf Acacia等产品订单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，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订单内容就产品规格、颜色、单价数量等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要求明确。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以上</w:t>
            </w: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订单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均已实施，评审在</w:t>
            </w: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回复邮件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之前由销售、采购、生产和质检等部门按照程序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进行。</w:t>
            </w:r>
          </w:p>
          <w:p>
            <w:pPr>
              <w:spacing w:line="280" w:lineRule="exact"/>
              <w:ind w:firstLine="421" w:firstLineChars="0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暂无合同变更情况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无相关记录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default" w:ascii="宋体" w:hAnsi="宋体" w:eastAsia="华文细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外部提供过程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及供应商财产管理</w:t>
            </w: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华文细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8.4</w:t>
            </w:r>
            <w:r>
              <w:rPr>
                <w:rFonts w:hint="eastAsia"/>
                <w:szCs w:val="21"/>
                <w:lang w:val="en-US" w:eastAsia="zh-CN"/>
              </w:rPr>
              <w:t>/8.5.3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《管理手册》中明确了“外部提供过程、产品和服务”方面的要求。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组织制定了</w:t>
            </w:r>
            <w:r>
              <w:rPr>
                <w:rFonts w:hint="eastAsia"/>
              </w:rPr>
              <w:t>《外部提供过程、产品和服务控制程序》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对采购控制作了基本的规定。组织采购的</w:t>
            </w:r>
            <w:r>
              <w:rPr>
                <w:rFonts w:hint="eastAsia"/>
              </w:rPr>
              <w:t>主要</w:t>
            </w:r>
            <w:r>
              <w:rPr>
                <w:rFonts w:hint="eastAsia"/>
                <w:lang w:val="en-US" w:eastAsia="zh-CN"/>
              </w:rPr>
              <w:t>产品包括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板材、油漆等原辅材料，一般通过签订合同等形式控制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抽查</w:t>
            </w:r>
            <w:r>
              <w:rPr>
                <w:rFonts w:hint="eastAsia"/>
                <w:lang w:val="en-US" w:eastAsia="zh-CN"/>
              </w:rPr>
              <w:t>合同内容</w:t>
            </w:r>
            <w:r>
              <w:rPr>
                <w:rFonts w:hint="eastAsia"/>
              </w:rPr>
              <w:t>如下：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1.供应商：</w:t>
            </w:r>
            <w:r>
              <w:rPr>
                <w:rFonts w:hint="eastAsia"/>
                <w:color w:val="auto"/>
              </w:rPr>
              <w:t>广西容县华阳家居有限公司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>产品：桉木复合基材；合同就产品规格、数量、单价、质量要求和交货期等内容作了约定</w:t>
            </w:r>
            <w:r>
              <w:rPr>
                <w:rFonts w:hint="eastAsia"/>
                <w:color w:val="auto"/>
              </w:rPr>
              <w:t xml:space="preserve">。 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lang w:val="en-US" w:eastAsia="zh-CN"/>
              </w:rPr>
              <w:t>2.供应商：姚二龙；产品：橡木木皮；合同就产</w:t>
            </w:r>
            <w:r>
              <w:rPr>
                <w:rFonts w:hint="eastAsia"/>
                <w:color w:val="auto"/>
                <w:lang w:val="en-US" w:eastAsia="zh-CN"/>
              </w:rPr>
              <w:t>品规格、数量、单价、质量要求和交货期等内容作了约定</w:t>
            </w:r>
            <w:r>
              <w:rPr>
                <w:rFonts w:hint="eastAsia"/>
                <w:color w:val="auto"/>
              </w:rPr>
              <w:t xml:space="preserve">。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外包过程：无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外部供方的</w:t>
            </w:r>
            <w:r>
              <w:rPr>
                <w:rFonts w:hint="eastAsia"/>
                <w:lang w:val="en-US" w:eastAsia="zh-CN"/>
              </w:rPr>
              <w:t>产品质量</w:t>
            </w:r>
            <w:r>
              <w:rPr>
                <w:rFonts w:hint="eastAsia"/>
              </w:rPr>
              <w:t>验证详见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lang w:val="en-US" w:eastAsia="zh-CN"/>
              </w:rPr>
              <w:t>Q8.6</w:t>
            </w:r>
            <w:r>
              <w:rPr>
                <w:rFonts w:hint="eastAsia"/>
              </w:rPr>
              <w:t>的审核</w:t>
            </w:r>
            <w:r>
              <w:rPr>
                <w:rFonts w:hint="eastAsia"/>
                <w:lang w:val="en-US" w:eastAsia="zh-CN"/>
              </w:rPr>
              <w:t>抽样</w:t>
            </w:r>
            <w:r>
              <w:rPr>
                <w:rFonts w:hint="eastAsia"/>
              </w:rPr>
              <w:t>记录。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组织的供方财产主要</w:t>
            </w:r>
            <w:r>
              <w:rPr>
                <w:rFonts w:hint="eastAsia"/>
              </w:rPr>
              <w:t>包括：a.知识产权类，如产品技术标准等；b.</w:t>
            </w:r>
            <w:r>
              <w:rPr>
                <w:rFonts w:hint="eastAsia"/>
                <w:lang w:val="en-US" w:eastAsia="zh-CN"/>
              </w:rPr>
              <w:t>供方</w:t>
            </w:r>
            <w:r>
              <w:rPr>
                <w:rFonts w:hint="eastAsia"/>
              </w:rPr>
              <w:t>信息等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  <w:lang w:val="en-US" w:eastAsia="zh-CN"/>
              </w:rPr>
              <w:t>供销部</w:t>
            </w:r>
            <w:r>
              <w:rPr>
                <w:rFonts w:hint="eastAsia"/>
              </w:rPr>
              <w:t>专门人员负责管理，分类登记放置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未发生损坏丢失等现象。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交付后活动</w:t>
            </w:r>
          </w:p>
        </w:tc>
        <w:tc>
          <w:tcPr>
            <w:tcW w:w="0" w:type="auto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Q8.5.5</w:t>
            </w: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客户在使用过程中出现问题，先通过电话进行解决，如远程无法解决，派专人到客户现场实地解决。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0" w:type="auto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顾客满意</w:t>
            </w:r>
          </w:p>
        </w:tc>
        <w:tc>
          <w:tcPr>
            <w:tcW w:w="0" w:type="auto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采取对主要顾客进行满意度调查的形式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共发出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份《顾客满意度/意见调查征询表》，有效回收：</w:t>
            </w:r>
            <w:r>
              <w:rPr>
                <w:rFonts w:hint="eastAsia" w:ascii="宋体" w:hAnsi="宋体" w:cs="宋体"/>
                <w:color w:val="auto"/>
                <w:sz w:val="24"/>
              </w:rPr>
              <w:t>YWG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、OKUTA Co.,Ltd</w:t>
            </w:r>
            <w:r>
              <w:rPr>
                <w:rFonts w:hint="eastAsia"/>
                <w:color w:val="auto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家，回收率100%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调查内容有：产品满意程度、服务满意程度等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查阅《顾客满意度/意见调查征询表》。对每一调查内容按百分制统计和计算。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</w:t>
            </w:r>
            <w:r>
              <w:rPr>
                <w:rFonts w:hint="eastAsia"/>
                <w:color w:val="000000"/>
                <w:szCs w:val="21"/>
              </w:rPr>
              <w:t>《顾客满意率统计表》，顾客满意率达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96.2</w:t>
            </w:r>
            <w:bookmarkStart w:id="4" w:name="_GoBack"/>
            <w:bookmarkEnd w:id="4"/>
            <w:r>
              <w:rPr>
                <w:rFonts w:hint="eastAsia"/>
                <w:color w:val="000000"/>
                <w:szCs w:val="21"/>
              </w:rPr>
              <w:t>%，达到了质量目标的要求。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7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0150EAD"/>
    <w:rsid w:val="010D4F6F"/>
    <w:rsid w:val="02954BBC"/>
    <w:rsid w:val="040C2A1E"/>
    <w:rsid w:val="09137F54"/>
    <w:rsid w:val="117F087D"/>
    <w:rsid w:val="144D675B"/>
    <w:rsid w:val="17E175E6"/>
    <w:rsid w:val="1DAA4ED3"/>
    <w:rsid w:val="1F330341"/>
    <w:rsid w:val="26D33C77"/>
    <w:rsid w:val="2A257690"/>
    <w:rsid w:val="2D0571B3"/>
    <w:rsid w:val="2E290F62"/>
    <w:rsid w:val="332E1CAB"/>
    <w:rsid w:val="3579545F"/>
    <w:rsid w:val="35CB70EA"/>
    <w:rsid w:val="361752AB"/>
    <w:rsid w:val="36427319"/>
    <w:rsid w:val="39217C57"/>
    <w:rsid w:val="3BDC22A4"/>
    <w:rsid w:val="3C0C2317"/>
    <w:rsid w:val="3D5B3399"/>
    <w:rsid w:val="3FCD30FD"/>
    <w:rsid w:val="3FD11DB9"/>
    <w:rsid w:val="44B56862"/>
    <w:rsid w:val="4A655B5A"/>
    <w:rsid w:val="4D8B1D7C"/>
    <w:rsid w:val="4DB971B3"/>
    <w:rsid w:val="4E89565E"/>
    <w:rsid w:val="513A18F3"/>
    <w:rsid w:val="53762B86"/>
    <w:rsid w:val="53DA4EC3"/>
    <w:rsid w:val="540006A2"/>
    <w:rsid w:val="57637240"/>
    <w:rsid w:val="5A7D26ED"/>
    <w:rsid w:val="5AC621DF"/>
    <w:rsid w:val="5E69536C"/>
    <w:rsid w:val="61E83190"/>
    <w:rsid w:val="63133F4E"/>
    <w:rsid w:val="661C5E23"/>
    <w:rsid w:val="66DE63BD"/>
    <w:rsid w:val="6A7B00BD"/>
    <w:rsid w:val="706C1141"/>
    <w:rsid w:val="71F24248"/>
    <w:rsid w:val="72CF4584"/>
    <w:rsid w:val="77732D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qFormat/>
    <w:uiPriority w:val="0"/>
    <w:pPr>
      <w:adjustRightInd w:val="0"/>
      <w:snapToGrid w:val="0"/>
    </w:pPr>
    <w:rPr>
      <w:rFonts w:ascii="Times New Roman"/>
      <w:w w:val="80"/>
      <w:sz w:val="24"/>
    </w:rPr>
  </w:style>
  <w:style w:type="paragraph" w:styleId="5">
    <w:name w:val="Body Text Indent"/>
    <w:basedOn w:val="1"/>
    <w:qFormat/>
    <w:uiPriority w:val="0"/>
    <w:pPr>
      <w:ind w:left="360"/>
    </w:pPr>
    <w:rPr>
      <w:sz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2022-12-15T02:22:12Z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E13C6D5AB2B2442098A92898CDC7088A</vt:lpwstr>
  </property>
  <property fmtid="{D5CDD505-2E9C-101B-9397-08002B2CF9AE}" pid="3" name="KSOProductBuildVer">
    <vt:lpwstr>2052-11.1.0.11365</vt:lpwstr>
  </property>
</Properties>
</file>