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default" w:eastAsia="宋体"/>
          <w:b/>
          <w:sz w:val="22"/>
          <w:szCs w:val="22"/>
          <w:lang w:val="en-US" w:eastAsia="zh-CN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>QMS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  <w:lang w:val="en-US" w:eastAsia="zh-CN"/>
        </w:rPr>
        <w:t>■EMS■OHSMS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bCs/>
                <w:sz w:val="21"/>
                <w:szCs w:val="21"/>
              </w:rPr>
              <w:t>无锡市森大竹木业有限公司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Q:06.02.01</w:t>
            </w:r>
          </w:p>
          <w:p>
            <w:pPr>
              <w:jc w:val="both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E:06.02.01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  <w:lang w:val="de-DE"/>
              </w:rPr>
              <w:t>O:06.02.01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叶默琰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Q:06.02.01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E:06.02.01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  <w:lang w:val="de-DE"/>
              </w:rPr>
              <w:t>O:06.02.01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分选→修补→砂光→开槽→油漆→包装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复合：分片→压贴→修补→砂光→开槽→油漆→包装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重要环境因素及危险源的控制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numId w:val="0"/>
              </w:num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</w:t>
            </w:r>
            <w:bookmarkStart w:id="3" w:name="_GoBack"/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关键/特殊过程：油漆；主要控制参数：辊行进速度、传送带行进速度、上胶量；</w:t>
            </w:r>
          </w:p>
          <w:p>
            <w:pPr>
              <w:numPr>
                <w:numId w:val="0"/>
              </w:num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2.重要环境因素及其控制措施：1）危废：由有资质单位运输、处置；2）废气：集气装置收集活性炭吸附处理；3）噪声：运行维护；4）火灾：消防控制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3.重要危险源：1）火灾爆炸：消防控制/演练；2）触电：运行控制；3）机械伤害：操作规程；4）工艺废气：集气处置设施；5）噪声：耳塞防护。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numId w:val="0"/>
              </w:num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质量：中华人民共和国产品质量法、中华人民共和国民法典、</w:t>
            </w:r>
            <w:r>
              <w:rPr>
                <w:rFonts w:hint="eastAsia"/>
                <w:b/>
                <w:sz w:val="20"/>
                <w:lang w:val="en-US" w:eastAsia="zh-CN"/>
              </w:rPr>
              <w:t>LY/T 1738-2020《实木复合地板用胶合板》</w:t>
            </w:r>
          </w:p>
          <w:p>
            <w:pPr>
              <w:numPr>
                <w:numId w:val="0"/>
              </w:num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2.环境：中华人民共和国环境保护法、中华人民共和国水污染防治法、中华人民共和国大气污染防治法、中华人民共和国固体废物污染环境防治法等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3.职业健康安全：中华人民共和国安全生产法等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环境监测及职业健康安全监测要求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有型式检验要求</w:t>
            </w:r>
          </w:p>
          <w:p>
            <w:pPr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2.环境监测：1年1次</w:t>
            </w:r>
          </w:p>
          <w:p>
            <w:pPr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3.职业健康安全监测：危害因素3年一次；职业病1年一次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44450</wp:posOffset>
                  </wp:positionV>
                  <wp:extent cx="1064260" cy="425450"/>
                  <wp:effectExtent l="0" t="0" r="2540" b="6350"/>
                  <wp:wrapSquare wrapText="bothSides"/>
                  <wp:docPr id="1" name="图片 1" descr="叶默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叶默琰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6950" cy="650875"/>
                  <wp:effectExtent l="0" t="0" r="6350" b="9525"/>
                  <wp:wrapSquare wrapText="bothSides"/>
                  <wp:docPr id="3" name="图片 3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BA60AD0"/>
    <w:rsid w:val="1A310B82"/>
    <w:rsid w:val="1B56062E"/>
    <w:rsid w:val="1BA15893"/>
    <w:rsid w:val="1BE0016A"/>
    <w:rsid w:val="20254CE5"/>
    <w:rsid w:val="2D911A26"/>
    <w:rsid w:val="35DD59C7"/>
    <w:rsid w:val="3956224D"/>
    <w:rsid w:val="39D72754"/>
    <w:rsid w:val="433B424F"/>
    <w:rsid w:val="489A151D"/>
    <w:rsid w:val="54BC6CBF"/>
    <w:rsid w:val="57BF2D4E"/>
    <w:rsid w:val="58E16CF4"/>
    <w:rsid w:val="5A7F0572"/>
    <w:rsid w:val="5C2C297C"/>
    <w:rsid w:val="640A35A3"/>
    <w:rsid w:val="65D8147F"/>
    <w:rsid w:val="6CF50029"/>
    <w:rsid w:val="6D5539A2"/>
    <w:rsid w:val="6E192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wangxianhua</cp:lastModifiedBy>
  <dcterms:modified xsi:type="dcterms:W3CDTF">2022-12-13T03:57:17Z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