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金鑫丽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2022-12-05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《信息交流、沟通参与和协商程序》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金鑫丽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8"/>
              <w:gridCol w:w="1539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8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每年内审管评时进行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会议、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面谈、微信、电话或文件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意见箱、电子邮件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8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审核周期内员工代表发生变化，经过总经理任命，审核周期内没有协商的内容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员工代表表示审核周期内未发生事故、工伤等不符合情况。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  <w:lang w:val="en-US" w:eastAsia="zh-CN"/>
                    </w:rPr>
                    <w:t>——审核周期内未发生变化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审核周期内没有发生劳资纠纷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主要是通过口头方式询问，未形成问卷，已沟通建议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《各类应急预案》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见“配送部审核记录”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《不符合纠正与预防措施控制程序》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</w:t>
            </w:r>
            <w:bookmarkStart w:id="1" w:name="_GoBack"/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—— 审核周期内未发生 </w:t>
            </w:r>
            <w:bookmarkEnd w:id="1"/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》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155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14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1C6595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1759FE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13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2022-12-07T01:41:26Z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341B1BB5670447BE826ACE09122DF92E</vt:lpwstr>
  </property>
</Properties>
</file>