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受审核部门：技术质量部       主管领导：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5.3/6.2/7.1.5/8.6/8.7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部门负责人：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刘杨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部门职责权限：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（1）负责数据分析的应用场所及应用方法的制订；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（2）负责纠正措施实施的有效性的跟踪验证；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（3）负责产品和服务的监视和测量；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（4）负责不合格品的控制，组织鉴定、评审和处置；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（5）负责对材料和产品和服务进行标识和可追溯性控制；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（6）负责监视和测量资源的使用、维护、管理；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询问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部长，职责明确，回答基本完整。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部门质量目标：                           考核情况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检验正确率100%                             100%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出厂检验漏检率0                            0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检测设备周期校准率100%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100%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每季度进行一次考核，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季度目标基本实现。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7.1.5</w:t>
            </w:r>
          </w:p>
        </w:tc>
        <w:tc>
          <w:tcPr>
            <w:tcW w:w="10455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建立有《计量器具管理台帐》监视测量仪器有：拉力测试机、千分尺等，满足检验需求。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没有用于监测的计算机软件。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检测设备配置能满足产品检测需求。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该公司技术质量部负责监视和测量设备的管理。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使用过程中没有发生检测设备偏离校准状态现象。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现场</w:t>
            </w:r>
            <w:r>
              <w:rPr>
                <w:rFonts w:hint="eastAsia"/>
                <w:sz w:val="24"/>
                <w:szCs w:val="24"/>
                <w:u w:val="single"/>
              </w:rPr>
              <w:t>审核时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发现</w:t>
            </w:r>
            <w:r>
              <w:rPr>
                <w:rFonts w:hint="eastAsia"/>
                <w:sz w:val="24"/>
                <w:szCs w:val="24"/>
                <w:u w:val="single"/>
              </w:rPr>
              <w:t>，受审核方检验人员正在使用的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千分尺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（规格：</w:t>
            </w:r>
            <w:r>
              <w:rPr>
                <w:rFonts w:hint="eastAsia" w:eastAsia="宋体"/>
                <w:sz w:val="24"/>
                <w:szCs w:val="24"/>
                <w:u w:val="single"/>
                <w:lang w:val="en-US" w:eastAsia="zh-CN"/>
              </w:rPr>
              <w:t>0-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eastAsia="宋体"/>
                <w:sz w:val="24"/>
                <w:szCs w:val="24"/>
                <w:u w:val="singl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拉力测试仪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（规格：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WDW15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未能提供在有效期内的检定或校准的相关证据</w:t>
            </w:r>
            <w:r>
              <w:rPr>
                <w:rFonts w:hint="eastAsia" w:ascii="宋体" w:hAnsi="宋体" w:cs="Arial"/>
                <w:sz w:val="24"/>
                <w:szCs w:val="24"/>
                <w:u w:val="single"/>
              </w:rPr>
              <w:t>。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●编制了《采购管理程序》，包括每种产品进货检验项目等。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收集了产品的相关标准：产品质量法、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民法典、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合同法、标准化法、招标投标法、按照客户提出的要求、技术协议进行生产，加工过程中参考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GB/T 10004-2008 包装用塑料复合膜、袋干法复合、挤出复合、GB/T 20218-20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 xml:space="preserve"> 双向拉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伸聚酰胺（尼龙）薄膜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●提供产品进货验证记录：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记录了进货情况及检验情况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——查：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日采购清单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产品名称：PE颗粒  2010MA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检验项目：牌号、数量、产品性能参数（供应商提供）等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验证结果：合格验证人：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赵京彬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——查：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日采购清单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检验项目：牌号、数量、产品性能参数（供应商提供）等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验证结果：合格验证人：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赵京彬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另抽其他牌号、其他时间的PE颗粒的进货检验记录，进货检验过程符合程序要求。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●过程检验：过程检验见8.5.1工序控制记录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成品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产品名称：真空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膜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24000" cy="2156460"/>
                  <wp:effectExtent l="0" t="0" r="0" b="2540"/>
                  <wp:docPr id="2" name="图片 2" descr="9a67a5f884ccc2e56e6b58a51c42b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a67a5f884ccc2e56e6b58a51c42b8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511300" cy="2138680"/>
                  <wp:effectExtent l="0" t="0" r="0" b="7620"/>
                  <wp:docPr id="4" name="图片 4" descr="f3d160113398c82740e618ca9678f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d160113398c82740e618ca9678f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检验结论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检验员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和检验日期，经查符合要求。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---查其他规格的成品检验记录，均按要求加工，符合客户要求，不再赘述。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企业的检验过程控制符合要求</w:t>
            </w:r>
          </w:p>
        </w:tc>
        <w:tc>
          <w:tcPr>
            <w:tcW w:w="113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●编制《不合格品控制程序》，其规定了不合格品的识别、隔离、标识、评审及处置方面的要求。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1、在产品进货检验中出现的不合格可进行退货处理，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2、生产过程中的不合格主要是开机和停机阶段的不合格，报废处理；生产过程中的不合格设备会自动识别，裁切后作废。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3、在产品交付后出现不合格可进行换货或退货处理。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目前交付后的产品没有发生不合格的情况。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●经查，符合要求。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受审核部门：生产部           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齐建国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杨柳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范玲玲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5.3/6.2/7.1.3/7.1.4/8.1/8.3/8.5.1/8.5.2/8.5.4/8.5.6 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部门负责人：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齐建国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查企业提供的资料见《岗位任职要求》中，规定了公司各个岗位的主要职责和相关要求。生产部的主要职责有：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在生产过程中，协调、支持相关部门贯彻质量方针和质量目标的有效运行，向客户提供合格的产品。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正确贯彻国家有关质量技术标准、技术政策，为产品生产提供有效的技术文件和有关工艺规程、检验标准等。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执行本公司有关质量工作的规定，协助有关质量部门做好质量管理工作，对生产过程加以控制，保持生产正常运行。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负责本公司的设备管理及产品标识和可追溯性的归口管理工作，引进产品新技术，产品更新和产品技术攻关，并组织实施。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负责做好成品搬运，贮存防护和交付发运工作。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与负责人电话沟通生产部经理明确其基本职责和权限。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部门质量目标：                      考核情况（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生产计划按时完成率95%                     97%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成品一次交验合格率≥98%                   99%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生产设备完好率≥98%                       100%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配备有车间、仓库等基础设施，办公主要设施：电话、传真机、电脑、打印机等，满足办公需求。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主要生产设备：五层共挤吹塑生产线、挤出生产设备、前道整经设备、穿综扒扣设备、注塑机等，满足生产需求。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设备的保养：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查《设备年度保养计划》规定保养的计划时间。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查《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设备检修记录》保养的内容、时间、检修人员，按计划完成。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办公区域面积260平米；布局合理，场所卫生干净整洁，工作环境良好，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车间：面积约3000平米，设备按流程摆放有序，原材料、成品分类存放，库房总面积3000平米，工具分类排放；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满足需求。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策划了生产流程：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生产工艺流程：料斗上料 → 物料塑化挤出 → 吹胀牵引 → 风环冷却 → 人字夹板 → 牵引辊牵引 → 电晕处理 → 薄膜收卷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确定产品和服务的要求：按照客户提出的要求、技术协议进行生产，加工过程中参考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GB/T 10004-2008 包装用塑料复合膜、袋干法复合、挤出复合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GB/T 20218-20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 xml:space="preserve"> 双向拉伸聚酰胺（尼龙）薄膜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等标准。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制定目标，目标基本合理、可测量、可达到。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策划所需资源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1、其中主要生产设备有：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主要生产设备：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五层共挤吹塑生产线、挤出生产设备、前道整经设备、穿综扒扣设备等，满足生产需求。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2、检测设备主要有：拉力测试机、千分尺等，满足检验需求。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3、确定胜任人员需求，经过培训、考核合格后上岗；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4、确定了原材料检验、半成品检验、成品检验等检验活动；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5、编制了进货检验、半成品检验、产品检验规范等验收标准、设备操作规程等；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6、编制了采购产品验证记录,半成品检验记录,成品检验制度。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遵照岗位职责、工艺流程、管理制度等作业指导文件实施过程控制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策划结果满足产品实现要求。暂无质量计划。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不适用条款：GB/T19001-2016标准的8.3条款。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产品依据顾客技术要求和协议标准进行加工，客户提供明确的技术参数及原料采购要求，生产和检验的要求均由客户方提供。因此标准8.3条款“产品和服务的设计和开发”要求不适用。公司确保不适用的质量管理体系的产品和服务的设计和开发要求，不影响组织确保产品和服务合格以及增强顾客满意的能力或责任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8.5.1</w:t>
            </w:r>
          </w:p>
        </w:tc>
        <w:tc>
          <w:tcPr>
            <w:tcW w:w="1045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企业提供的资料显示生产程序：技术质量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生产部、经营部共同对客户提出的要求进行评审，确定产品的数量、质量要求、交货期限及其它要求；然后向生产部传递交货通知，生产部根据通知的内容，受控条件：得到图纸、操作规程，特殊过程使用作业指导书等。使用设备和量具，进行测量。根据订货要求，下达任务书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询问车间负责人对生产计划较清楚。生产部负责人负责协调生产的各项事宜。产品检验完成后记录产品数量，通知经营部发货。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产品和服务的要求：按照客户提出的要求、技术协议进行生产，加工过程中参考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GB/T 10004-2008 包装用塑料复合膜、袋干法复合、挤出复合、GB/T 20218-2006 双向拉伸聚酰胺（尼龙）薄膜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等标准。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其中主要生产设备有：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1、主要生产设备：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五层共挤吹塑生产线、挤出生产设备、前道整经设备、穿综扒扣设备等，满足生产需求。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2、检测设备主要有：恒温箱、拉力测试机、千分尺等，满足检验需求。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生产过程：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--查相关控制记录：真空五层复合LDPE薄膜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生产工序控制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1、生产工艺：料斗上料→物料塑化挤出→吹胀牵引→风环冷却→人字夹板→牵引辊牵引→电晕处理→薄膜收卷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2、过程控制情况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1）控制环节：挤出温度160-170℃，操作依据：作业指导书，使用设备：挤出机，监视记录：机头温度165℃、每小时记录一次，操作员：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，记录：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，日期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23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2）控制环节：吹胀比（LDPE）2.5-3.0，操作依据：作业指导书，使用设备：挤出机，监视记录：吹胀比2.6、每小时记录一次，操作员：李**，记录：李**，日期：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3）控制环节：牵引比（LDPE）4-6，操作依据：作业指导书，使用设备：牵引机，监视记录：牵引比每小时记录一次，操作员：李**，记录：李**，日期：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4) 控制环节：露点，操作依据：作业指导书，控制内容：环风速度、角度，每小时记录一次，操作员：李**，记录：李**，日期：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5）电晕处理：调节可印刷性、增加吸附力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查看车间生产现场：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现场查挤出工序，生产产品：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挤出温度16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℃，操作依据：作业指导书，使用设备：挤出机，每小时记录一次，操作员：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现场经查符合要求。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牵引比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工序，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（LDPE）4-6，操作依据：作业指导书，使用设备：牵引机，监视记录：牵引比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每小时记录一次，操作员：李**，记录：李**，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车间按照生产工序流程分为不同的区域，便于工作衔接，车间工序紧张有序，生产设备运行稳定，物品摆放区域有明显的标识，成品存放有序，基本符合要求。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生产车间通风良好，照明条件基本适宜，产品防护及生产环境满足生产要求。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其他相关工序的操作规程，符合要求。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询问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每天完工后由操作员清理场地、保养设备。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外包过程：产品运输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质量手册规定了需确认过程识别的要求，提供《过程确认准则》，企业目前生产环节特殊过程：五层共挤吹塑。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以上过程根据客户提出的要求、技术协议以及相应的国家标准、行业标准等资料；进行产品质量控制。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质量控制程序：原材料进厂检验合格后投入使用、工序不合格不转序、所有工作没有完成前不交付、交付后现场服务验收。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产品交付至客户处，客户按照客户要求确认后，签收。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标识和可追溯性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8.5.2</w:t>
            </w:r>
          </w:p>
        </w:tc>
        <w:tc>
          <w:tcPr>
            <w:tcW w:w="1045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查看库房，产品分区域摆放，用标识牌进行区分。产品及检验状态标识符合要求。在生产过程中用《跟踪单》进行生产记录，注明下单日期、客户、型号、批号、操作工等，基本可实现对产品生产批次的追溯。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产品防护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该公司产品无特殊防护要求，主要是仓库防火，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远程查看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配备有相应数量的灭火器。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贮存环境：仓库清洁，防护措施得当，满足要求。有专门的库管员进行保管，出入库登记手续齐全，管理比较规范。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更改控制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8.5.6</w:t>
            </w:r>
          </w:p>
        </w:tc>
        <w:tc>
          <w:tcPr>
            <w:tcW w:w="10455" w:type="dxa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企业目前主要从事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真空辅助材料的加工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，生产流程未发生变化。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根据企业提供的作业指导书、操作规程和生产记录、检验记录、合同评审记录等形成文件的信息来看未发生更改。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F09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若产品的服务发生变更，由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、生产部填写相应的记录，由生产部和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领导进行评审，并下发至生产和检验。生产部存档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/>
        </w:rPr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19FF1"/>
    <w:multiLevelType w:val="singleLevel"/>
    <w:tmpl w:val="0C519F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C416F6"/>
    <w:rsid w:val="01B2490A"/>
    <w:rsid w:val="03EE0393"/>
    <w:rsid w:val="04051E5E"/>
    <w:rsid w:val="07FF20A1"/>
    <w:rsid w:val="083A39E8"/>
    <w:rsid w:val="0C1741FF"/>
    <w:rsid w:val="0E415563"/>
    <w:rsid w:val="0FDB6689"/>
    <w:rsid w:val="11241C6E"/>
    <w:rsid w:val="13CF798A"/>
    <w:rsid w:val="1461426A"/>
    <w:rsid w:val="174114E0"/>
    <w:rsid w:val="17A90999"/>
    <w:rsid w:val="19267830"/>
    <w:rsid w:val="19516FA3"/>
    <w:rsid w:val="19F26FD4"/>
    <w:rsid w:val="1B7B0307"/>
    <w:rsid w:val="1CB17D58"/>
    <w:rsid w:val="1E035CCD"/>
    <w:rsid w:val="1F1E3E84"/>
    <w:rsid w:val="1FB94DC1"/>
    <w:rsid w:val="20710D0B"/>
    <w:rsid w:val="216D5511"/>
    <w:rsid w:val="21823639"/>
    <w:rsid w:val="245B5C50"/>
    <w:rsid w:val="26054179"/>
    <w:rsid w:val="275C7491"/>
    <w:rsid w:val="29542197"/>
    <w:rsid w:val="2A163C4A"/>
    <w:rsid w:val="2A1F09F7"/>
    <w:rsid w:val="2E6309C5"/>
    <w:rsid w:val="30534F57"/>
    <w:rsid w:val="32977AF8"/>
    <w:rsid w:val="3792044F"/>
    <w:rsid w:val="379F4F25"/>
    <w:rsid w:val="385014F0"/>
    <w:rsid w:val="3B041D5E"/>
    <w:rsid w:val="405A00AB"/>
    <w:rsid w:val="415A47B8"/>
    <w:rsid w:val="41A2189A"/>
    <w:rsid w:val="41AA40AB"/>
    <w:rsid w:val="41E579D9"/>
    <w:rsid w:val="428808A0"/>
    <w:rsid w:val="436F4174"/>
    <w:rsid w:val="43B753A5"/>
    <w:rsid w:val="43BA55D5"/>
    <w:rsid w:val="44055BE3"/>
    <w:rsid w:val="444B446B"/>
    <w:rsid w:val="448C5D06"/>
    <w:rsid w:val="45061933"/>
    <w:rsid w:val="450B77DC"/>
    <w:rsid w:val="45FD1795"/>
    <w:rsid w:val="46206B30"/>
    <w:rsid w:val="482252DB"/>
    <w:rsid w:val="48E12399"/>
    <w:rsid w:val="4A5F0596"/>
    <w:rsid w:val="50177495"/>
    <w:rsid w:val="50292B20"/>
    <w:rsid w:val="546C21DC"/>
    <w:rsid w:val="57C53081"/>
    <w:rsid w:val="589A05AF"/>
    <w:rsid w:val="592A5321"/>
    <w:rsid w:val="59D423B5"/>
    <w:rsid w:val="5B726DD4"/>
    <w:rsid w:val="5C541A56"/>
    <w:rsid w:val="5DD07337"/>
    <w:rsid w:val="60473B82"/>
    <w:rsid w:val="61706A4F"/>
    <w:rsid w:val="61F9521D"/>
    <w:rsid w:val="625614D2"/>
    <w:rsid w:val="626A7834"/>
    <w:rsid w:val="636805AA"/>
    <w:rsid w:val="639B3541"/>
    <w:rsid w:val="6534783C"/>
    <w:rsid w:val="67F105D6"/>
    <w:rsid w:val="69750844"/>
    <w:rsid w:val="69C76290"/>
    <w:rsid w:val="6A3E55E3"/>
    <w:rsid w:val="6A483B5E"/>
    <w:rsid w:val="6C117498"/>
    <w:rsid w:val="6D864791"/>
    <w:rsid w:val="6F2D283B"/>
    <w:rsid w:val="70643DB9"/>
    <w:rsid w:val="70BF5715"/>
    <w:rsid w:val="71D850B1"/>
    <w:rsid w:val="726B1F4B"/>
    <w:rsid w:val="73A0182E"/>
    <w:rsid w:val="74FD3E04"/>
    <w:rsid w:val="75F1223F"/>
    <w:rsid w:val="767A68A9"/>
    <w:rsid w:val="77714E7E"/>
    <w:rsid w:val="7CEF1702"/>
    <w:rsid w:val="7D207DB1"/>
    <w:rsid w:val="7D222EC5"/>
    <w:rsid w:val="7EEE19BF"/>
    <w:rsid w:val="7FC06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4033</Words>
  <Characters>4423</Characters>
  <Lines>1</Lines>
  <Paragraphs>1</Paragraphs>
  <TotalTime>2</TotalTime>
  <ScaleCrop>false</ScaleCrop>
  <LinksUpToDate>false</LinksUpToDate>
  <CharactersWithSpaces>4713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2022-12-29T10:57:24Z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