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0041-2022-QEO-2022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武威市诚关物业服务集团有限公司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武威市诚关物业服务集团有限公司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甘肃省武威市凉州区东升一区服务用房7#楼</w:t>
            </w:r>
            <w:bookmarkEnd w:id="6"/>
          </w:p>
        </w:tc>
        <w:tc>
          <w:tcPr>
            <w:tcW w:w="1242" w:type="dxa"/>
            <w:vMerge w:val="restart"/>
            <w:vAlign w:val="center"/>
          </w:tcPr>
          <w:p>
            <w:r>
              <w:rPr>
                <w:rFonts w:hint="eastAsia"/>
              </w:rPr>
              <w:t>邮编</w:t>
            </w:r>
          </w:p>
        </w:tc>
        <w:tc>
          <w:tcPr>
            <w:tcW w:w="1771" w:type="dxa"/>
          </w:tcPr>
          <w:p>
            <w:bookmarkStart w:id="7" w:name="注册邮编"/>
            <w:r>
              <w:t>733000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甘肃省武威市凉州区东升一区服务用房7#楼</w:t>
            </w:r>
            <w:bookmarkEnd w:id="8"/>
          </w:p>
        </w:tc>
        <w:tc>
          <w:tcPr>
            <w:tcW w:w="1242" w:type="dxa"/>
            <w:vMerge w:val="continue"/>
            <w:vAlign w:val="center"/>
          </w:tcPr>
          <w:p/>
        </w:tc>
        <w:tc>
          <w:tcPr>
            <w:tcW w:w="1771" w:type="dxa"/>
          </w:tcPr>
          <w:p>
            <w:bookmarkStart w:id="9" w:name="办公邮编"/>
            <w:r>
              <w:t>733000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bookmarkEnd w:id="10"/>
            <w:r>
              <w:rPr>
                <w:rFonts w:hint="eastAsia"/>
                <w:sz w:val="21"/>
                <w:szCs w:val="21"/>
                <w:lang w:val="en-US" w:eastAsia="zh-CN"/>
              </w:rPr>
              <w:t>安蓉琴</w:t>
            </w:r>
          </w:p>
        </w:tc>
        <w:tc>
          <w:tcPr>
            <w:tcW w:w="1313" w:type="dxa"/>
            <w:vAlign w:val="center"/>
          </w:tcPr>
          <w:p>
            <w:r>
              <w:rPr>
                <w:rFonts w:hint="eastAsia"/>
              </w:rPr>
              <w:t>电话.</w:t>
            </w:r>
          </w:p>
        </w:tc>
        <w:tc>
          <w:tcPr>
            <w:tcW w:w="2180" w:type="dxa"/>
            <w:vAlign w:val="center"/>
          </w:tcPr>
          <w:p>
            <w:bookmarkStart w:id="11" w:name="联系人电话"/>
            <w:bookmarkEnd w:id="11"/>
            <w:bookmarkStart w:id="12" w:name="联系人手机"/>
            <w:r>
              <w:rPr>
                <w:sz w:val="21"/>
                <w:szCs w:val="21"/>
              </w:rPr>
              <w:t>13008702323</w:t>
            </w:r>
            <w:bookmarkEnd w:id="12"/>
          </w:p>
        </w:tc>
        <w:tc>
          <w:tcPr>
            <w:tcW w:w="1242" w:type="dxa"/>
            <w:vAlign w:val="center"/>
          </w:tcPr>
          <w:p>
            <w:r>
              <w:rPr>
                <w:rFonts w:hint="eastAsia"/>
              </w:rPr>
              <w:t>传真</w:t>
            </w:r>
          </w:p>
        </w:tc>
        <w:tc>
          <w:tcPr>
            <w:tcW w:w="1771" w:type="dxa"/>
          </w:tcPr>
          <w:p>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4" w:name="法人"/>
            <w:r>
              <w:t>周开红</w:t>
            </w:r>
            <w:bookmarkEnd w:id="14"/>
          </w:p>
        </w:tc>
        <w:tc>
          <w:tcPr>
            <w:tcW w:w="1313" w:type="dxa"/>
            <w:vAlign w:val="center"/>
          </w:tcPr>
          <w:p>
            <w:r>
              <w:rPr>
                <w:rFonts w:hint="eastAsia"/>
              </w:rPr>
              <w:t>管理者代表</w:t>
            </w:r>
          </w:p>
        </w:tc>
        <w:tc>
          <w:tcPr>
            <w:tcW w:w="2180" w:type="dxa"/>
          </w:tcPr>
          <w:p>
            <w:bookmarkStart w:id="15" w:name="管理者代表"/>
            <w:r>
              <w:t>安蓉琴</w:t>
            </w:r>
            <w:bookmarkEnd w:id="15"/>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w:t>
            </w:r>
            <w:r>
              <w:rPr>
                <w:rFonts w:hint="eastAsia"/>
                <w:lang w:eastAsia="zh-CN"/>
              </w:rPr>
              <w:t>☑</w:t>
            </w:r>
            <w:r>
              <w:rPr>
                <w:rFonts w:hint="eastAsia"/>
              </w:rPr>
              <w:t>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ascii="宋体" w:hAnsi="宋体" w:eastAsia="宋体" w:cs="Times New Roman"/>
                <w:sz w:val="21"/>
                <w:szCs w:val="21"/>
              </w:rPr>
              <w:t>市场开发—合同评审--签订合同—组织人员—岗前培训—进场交接—开展服务—过程监督检查—满意度调查</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6" w:name="审核日期"/>
            <w:r>
              <w:rPr>
                <w:rFonts w:hint="eastAsia"/>
              </w:rPr>
              <w:t>2022年12月01日 上午至2022年12月03日 上午</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7" w:name="初审"/>
            <w:r>
              <w:rPr>
                <w:rFonts w:hint="eastAsia"/>
              </w:rPr>
              <w:t>□</w:t>
            </w:r>
            <w:bookmarkEnd w:id="17"/>
            <w:r>
              <w:rPr>
                <w:rFonts w:hint="eastAsia"/>
              </w:rPr>
              <w:t>初审二阶段：评价组织管理体系建立、实施运行的符合性及有效性，以确定是否推荐认证注册。</w:t>
            </w:r>
          </w:p>
          <w:p>
            <w:bookmarkStart w:id="18" w:name="监督勾选"/>
            <w:r>
              <w:rPr>
                <w:rFonts w:hint="eastAsia"/>
              </w:rPr>
              <w:t>■</w:t>
            </w:r>
            <w:bookmarkEnd w:id="18"/>
            <w:r>
              <w:rPr>
                <w:rFonts w:hint="eastAsia"/>
              </w:rPr>
              <w:t>监督审核：评价组织管理体系的持续符合性和有效性，以确定是否推荐保持认证证书。</w:t>
            </w:r>
          </w:p>
          <w:p>
            <w:bookmarkStart w:id="19" w:name="再认证勾选Add1"/>
            <w:r>
              <w:rPr>
                <w:rFonts w:hint="eastAsia"/>
              </w:rPr>
              <w:t>□</w:t>
            </w:r>
            <w:bookmarkEnd w:id="19"/>
            <w:r>
              <w:rPr>
                <w:rFonts w:hint="eastAsia"/>
              </w:rPr>
              <w:t>再认证：评价组织管理体系整体的持续符合性和有效性，以确定是否推荐更新认证并换发认证证书。</w:t>
            </w:r>
          </w:p>
          <w:p>
            <w:bookmarkStart w:id="20" w:name="扩项勾选"/>
            <w:r>
              <w:rPr>
                <w:rFonts w:hint="eastAsia"/>
              </w:rPr>
              <w:t>□</w:t>
            </w:r>
            <w:bookmarkEnd w:id="20"/>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1" w:name="Q勾选Add1"/>
            <w:r>
              <w:rPr>
                <w:rFonts w:hint="eastAsia"/>
                <w:lang w:val="de-DE"/>
              </w:rPr>
              <w:t>■</w:t>
            </w:r>
            <w:bookmarkEnd w:id="21"/>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2" w:name="QJ勾选Add1"/>
            <w:r>
              <w:rPr>
                <w:rFonts w:hint="eastAsia"/>
                <w:lang w:val="de-DE"/>
              </w:rPr>
              <w:t>□</w:t>
            </w:r>
            <w:bookmarkEnd w:id="22"/>
            <w:r>
              <w:rPr>
                <w:rFonts w:hint="eastAsia"/>
                <w:lang w:val="de-DE"/>
              </w:rPr>
              <w:t>GB/T 50430-2017</w:t>
            </w:r>
          </w:p>
          <w:p>
            <w:pPr>
              <w:rPr>
                <w:lang w:val="de-DE"/>
              </w:rPr>
            </w:pPr>
            <w:bookmarkStart w:id="23" w:name="E勾选Add1"/>
            <w:r>
              <w:rPr>
                <w:rFonts w:hint="eastAsia"/>
                <w:lang w:val="de-DE"/>
              </w:rPr>
              <w:t>■</w:t>
            </w:r>
            <w:bookmarkEnd w:id="23"/>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4" w:name="S勾选Add1"/>
            <w:r>
              <w:rPr>
                <w:rFonts w:hint="eastAsia"/>
                <w:lang w:val="de-DE"/>
              </w:rPr>
              <w:t>■</w:t>
            </w:r>
            <w:bookmarkEnd w:id="24"/>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val="de-DE"/>
              </w:rPr>
              <w:t>■</w:t>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lang w:val="de-DE"/>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5" w:name="二阶段勾选"/>
            <w:r>
              <w:rPr>
                <w:rFonts w:hint="eastAsia"/>
              </w:rPr>
              <w:t>□</w:t>
            </w:r>
            <w:bookmarkEnd w:id="25"/>
            <w:r>
              <w:rPr>
                <w:rFonts w:hint="eastAsia"/>
              </w:rPr>
              <w:t>初审二阶段</w:t>
            </w:r>
            <w:bookmarkStart w:id="26" w:name="监督勾选Add1"/>
            <w:r>
              <w:rPr>
                <w:rFonts w:hint="eastAsia"/>
              </w:rPr>
              <w:t>■</w:t>
            </w:r>
            <w:bookmarkEnd w:id="26"/>
            <w:r>
              <w:rPr>
                <w:rFonts w:hint="eastAsia"/>
              </w:rPr>
              <w:t>监督第</w:t>
            </w:r>
            <w:bookmarkStart w:id="27" w:name="监督次数"/>
            <w:r>
              <w:rPr>
                <w:rFonts w:hint="eastAsia"/>
              </w:rPr>
              <w:t>一</w:t>
            </w:r>
            <w:bookmarkEnd w:id="27"/>
            <w:r>
              <w:rPr>
                <w:rFonts w:hint="eastAsia"/>
              </w:rPr>
              <w:t>次监督审核</w:t>
            </w:r>
            <w:bookmarkStart w:id="28" w:name="再认证勾选"/>
            <w:r>
              <w:rPr>
                <w:rFonts w:hint="eastAsia"/>
              </w:rPr>
              <w:t>□</w:t>
            </w:r>
            <w:bookmarkEnd w:id="28"/>
            <w:r>
              <w:rPr>
                <w:rFonts w:hint="eastAsia"/>
              </w:rPr>
              <w:t>再认证</w:t>
            </w:r>
            <w:bookmarkStart w:id="29" w:name="扩项勾选Add1"/>
            <w:r>
              <w:rPr>
                <w:rFonts w:hint="eastAsia"/>
              </w:rPr>
              <w:t>□</w:t>
            </w:r>
            <w:bookmarkEnd w:id="29"/>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甘肃省武威市凉州区东升一区服务用房7#楼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音频</w:t>
            </w:r>
            <w:r>
              <w:rPr>
                <w:rFonts w:hint="eastAsia"/>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网络</w:t>
            </w:r>
            <w:r>
              <w:rPr>
                <w:rFonts w:hint="eastAsia"/>
              </w:rPr>
              <w:t>■</w:t>
            </w:r>
            <w:r>
              <w:rPr>
                <w:rFonts w:hint="eastAsia" w:ascii="宋体"/>
                <w:b/>
                <w:color w:val="0000FF"/>
                <w:szCs w:val="21"/>
              </w:rPr>
              <w:t>智能手机□手持设备</w:t>
            </w:r>
            <w:r>
              <w:rPr>
                <w:rFonts w:hint="eastAsia"/>
              </w:rPr>
              <w:t>■</w:t>
            </w:r>
            <w:r>
              <w:rPr>
                <w:rFonts w:hint="eastAsia" w:ascii="宋体"/>
                <w:b/>
                <w:color w:val="0000FF"/>
                <w:szCs w:val="21"/>
              </w:rPr>
              <w:t>笔记本电脑</w:t>
            </w:r>
            <w:r>
              <w:rPr>
                <w:rFonts w:hint="eastAsia"/>
              </w:rPr>
              <w:t>■</w:t>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30" w:name="审核范围"/>
            <w:r>
              <w:t>Q：物业服务</w:t>
            </w:r>
          </w:p>
          <w:p>
            <w:r>
              <w:t>E：物业服务所涉及场所的相关环境管理活动</w:t>
            </w:r>
          </w:p>
          <w:p>
            <w:r>
              <w:t>O：物业服务所涉及场所的相关职业健康安全管理活动</w:t>
            </w:r>
            <w:bookmarkEnd w:id="30"/>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1" w:name="专业代码"/>
            <w:r>
              <w:t>Q：35.15.00</w:t>
            </w:r>
          </w:p>
          <w:p>
            <w:r>
              <w:t>E：35.15.00</w:t>
            </w:r>
          </w:p>
          <w:p>
            <w:r>
              <w:t>O：35.15.00</w:t>
            </w:r>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Q8.3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2022年01月17日 上午至2022年01月19日 下午</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2025</w:t>
            </w:r>
            <w:r>
              <w:rPr>
                <w:rFonts w:hint="eastAsia"/>
              </w:rPr>
              <w:t>年</w:t>
            </w:r>
            <w:r>
              <w:rPr>
                <w:rFonts w:hint="eastAsia"/>
                <w:lang w:val="en-US" w:eastAsia="zh-CN"/>
              </w:rPr>
              <w:t>2</w:t>
            </w:r>
            <w:r>
              <w:rPr>
                <w:rFonts w:hint="eastAsia"/>
              </w:rPr>
              <w:t>月</w:t>
            </w:r>
            <w:r>
              <w:rPr>
                <w:rFonts w:hint="eastAsia"/>
                <w:lang w:val="en-US" w:eastAsia="zh-CN"/>
              </w:rPr>
              <w:t>17</w:t>
            </w:r>
            <w:r>
              <w:rPr>
                <w:rFonts w:hint="eastAsia"/>
              </w:rPr>
              <w:t>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95"/>
        <w:gridCol w:w="2215"/>
        <w:gridCol w:w="995"/>
        <w:gridCol w:w="2227"/>
        <w:gridCol w:w="1245"/>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42"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895" w:type="dxa"/>
            <w:shd w:val="clear" w:color="auto" w:fill="F3F3F3"/>
            <w:tcMar>
              <w:left w:w="57" w:type="dxa"/>
              <w:right w:w="57" w:type="dxa"/>
            </w:tcMar>
          </w:tcPr>
          <w:p>
            <w:r>
              <w:rPr>
                <w:rFonts w:hint="eastAsia"/>
              </w:rPr>
              <w:t>组织名称及注册场所地址</w:t>
            </w:r>
          </w:p>
        </w:tc>
        <w:tc>
          <w:tcPr>
            <w:tcW w:w="2215" w:type="dxa"/>
            <w:shd w:val="clear" w:color="auto" w:fill="F3F3F3"/>
            <w:tcMar>
              <w:left w:w="57" w:type="dxa"/>
              <w:right w:w="57" w:type="dxa"/>
            </w:tcMar>
          </w:tcPr>
          <w:p>
            <w:r>
              <w:rPr>
                <w:rFonts w:hint="eastAsia"/>
              </w:rPr>
              <w:t>经营场所的地址</w:t>
            </w:r>
          </w:p>
          <w:p>
            <w:r>
              <w:rPr>
                <w:rFonts w:hint="eastAsia"/>
              </w:rPr>
              <w:t>（多现场和临时现场）</w:t>
            </w:r>
          </w:p>
        </w:tc>
        <w:tc>
          <w:tcPr>
            <w:tcW w:w="995" w:type="dxa"/>
            <w:shd w:val="clear" w:color="auto" w:fill="F3F3F3"/>
            <w:tcMar>
              <w:left w:w="57" w:type="dxa"/>
              <w:right w:w="57" w:type="dxa"/>
            </w:tcMar>
          </w:tcPr>
          <w:p>
            <w:r>
              <w:rPr>
                <w:rFonts w:hint="eastAsia"/>
              </w:rPr>
              <w:t>员工人数</w:t>
            </w:r>
          </w:p>
        </w:tc>
        <w:tc>
          <w:tcPr>
            <w:tcW w:w="2227" w:type="dxa"/>
            <w:shd w:val="clear" w:color="auto" w:fill="F3F3F3"/>
            <w:tcMar>
              <w:left w:w="57" w:type="dxa"/>
              <w:right w:w="57" w:type="dxa"/>
            </w:tcMar>
          </w:tcPr>
          <w:p>
            <w:r>
              <w:rPr>
                <w:rFonts w:hint="eastAsia"/>
              </w:rPr>
              <w:t>审核范围（产品和过程）</w:t>
            </w:r>
          </w:p>
          <w:p/>
          <w:p/>
        </w:tc>
        <w:tc>
          <w:tcPr>
            <w:tcW w:w="1245"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895" w:type="dxa"/>
            <w:vAlign w:val="top"/>
          </w:tcPr>
          <w:p>
            <w:pPr>
              <w:rPr>
                <w:rFonts w:hint="eastAsia" w:ascii="Times New Roman" w:hAnsi="Times New Roman" w:eastAsia="宋体" w:cs="Times New Roman"/>
                <w:kern w:val="2"/>
                <w:sz w:val="21"/>
                <w:szCs w:val="24"/>
                <w:lang w:val="de-DE" w:eastAsia="ja-JP" w:bidi="ar-SA"/>
              </w:rPr>
            </w:pPr>
            <w:r>
              <w:t>武威市诚关物业服务集团有限公司</w:t>
            </w:r>
            <w:r>
              <w:rPr>
                <w:rFonts w:hint="eastAsia"/>
                <w:lang w:val="en-US" w:eastAsia="zh-CN"/>
              </w:rPr>
              <w:t>/</w:t>
            </w:r>
            <w:r>
              <w:t>甘肃省武威市凉州区东升一区服务用房7#楼</w:t>
            </w:r>
          </w:p>
        </w:tc>
        <w:tc>
          <w:tcPr>
            <w:tcW w:w="2215" w:type="dxa"/>
            <w:vAlign w:val="top"/>
          </w:tcPr>
          <w:p>
            <w:pPr>
              <w:numPr>
                <w:ilvl w:val="0"/>
                <w:numId w:val="1"/>
              </w:numPr>
              <w:rPr>
                <w:rFonts w:hint="eastAsia"/>
                <w:lang w:eastAsia="zh-CN"/>
              </w:rPr>
            </w:pPr>
            <w:r>
              <w:rPr>
                <w:rFonts w:hint="eastAsia"/>
                <w:lang w:val="en-US" w:eastAsia="zh-CN"/>
              </w:rPr>
              <w:t>经营场所地址：</w:t>
            </w:r>
            <w:r>
              <w:t>甘肃省武威市凉州区东升一区服务用房7#楼</w:t>
            </w:r>
            <w:r>
              <w:rPr>
                <w:rFonts w:hint="eastAsia"/>
                <w:lang w:eastAsia="zh-CN"/>
              </w:rPr>
              <w:t>；</w:t>
            </w:r>
          </w:p>
          <w:p>
            <w:pPr>
              <w:pStyle w:val="2"/>
              <w:numPr>
                <w:ilvl w:val="0"/>
                <w:numId w:val="1"/>
              </w:numPr>
              <w:rPr>
                <w:rFonts w:hint="eastAsia"/>
                <w:lang w:val="de-DE" w:eastAsia="zh-CN"/>
              </w:rPr>
            </w:pPr>
            <w:r>
              <w:rPr>
                <w:rFonts w:hint="eastAsia"/>
                <w:lang w:val="en-US" w:eastAsia="zh-CN"/>
              </w:rPr>
              <w:t>项目地址1：区政府：凉州区东大街120号；</w:t>
            </w:r>
          </w:p>
          <w:p>
            <w:pPr>
              <w:pStyle w:val="2"/>
              <w:numPr>
                <w:ilvl w:val="0"/>
                <w:numId w:val="1"/>
              </w:numPr>
              <w:rPr>
                <w:rFonts w:hint="eastAsia" w:ascii="Times New Roman" w:hAnsi="Times New Roman" w:eastAsia="宋体" w:cs="Times New Roman"/>
                <w:bCs/>
                <w:spacing w:val="10"/>
                <w:kern w:val="2"/>
                <w:sz w:val="21"/>
                <w:szCs w:val="24"/>
                <w:lang w:val="de-DE" w:eastAsia="ja-JP" w:bidi="ar-SA"/>
              </w:rPr>
            </w:pPr>
            <w:r>
              <w:rPr>
                <w:rFonts w:hint="eastAsia"/>
                <w:lang w:val="en-US" w:eastAsia="zh-CN"/>
              </w:rPr>
              <w:t>项目地址2：东升小区：凉州区凉都大道246号；</w:t>
            </w:r>
          </w:p>
        </w:tc>
        <w:tc>
          <w:tcPr>
            <w:tcW w:w="995"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63</w:t>
            </w:r>
          </w:p>
        </w:tc>
        <w:tc>
          <w:tcPr>
            <w:tcW w:w="2227" w:type="dxa"/>
            <w:vAlign w:val="center"/>
          </w:tcPr>
          <w:p>
            <w:r>
              <w:t>Q：物业服务</w:t>
            </w:r>
          </w:p>
          <w:p>
            <w:r>
              <w:t>E：物业服务所涉及场所的相关环境管理活动</w:t>
            </w:r>
          </w:p>
          <w:p>
            <w:pPr>
              <w:rPr>
                <w:rFonts w:ascii="Times New Roman" w:hAnsi="Times New Roman" w:eastAsia="宋体" w:cs="Times New Roman"/>
                <w:kern w:val="2"/>
                <w:sz w:val="21"/>
                <w:szCs w:val="24"/>
                <w:lang w:val="en-US" w:eastAsia="ja-JP" w:bidi="ar-SA"/>
              </w:rPr>
            </w:pPr>
            <w:r>
              <w:t>O：物业服务所涉及场所的相关职业健康安全管理活动</w:t>
            </w:r>
          </w:p>
        </w:tc>
        <w:tc>
          <w:tcPr>
            <w:tcW w:w="1245" w:type="dxa"/>
            <w:vAlign w:val="center"/>
          </w:tcPr>
          <w:p>
            <w:r>
              <w:rPr>
                <w:rFonts w:hint="eastAsia"/>
                <w:lang w:val="de-DE"/>
              </w:rPr>
              <w:t>GB/T19001-2016</w:t>
            </w:r>
          </w:p>
          <w:p>
            <w:pPr>
              <w:rPr>
                <w:rFonts w:hint="eastAsia"/>
              </w:rPr>
            </w:pPr>
            <w:r>
              <w:rPr>
                <w:rFonts w:hint="eastAsia"/>
                <w:lang w:val="de-DE"/>
              </w:rPr>
              <w:t>GB/T24001-2016</w:t>
            </w:r>
            <w:r>
              <w:rPr>
                <w:rFonts w:hint="eastAsia"/>
              </w:rPr>
              <w:t xml:space="preserve">  </w:t>
            </w:r>
          </w:p>
          <w:p>
            <w:pPr>
              <w:rPr>
                <w:rFonts w:ascii="Times New Roman" w:hAnsi="Times New Roman" w:eastAsia="宋体" w:cs="Times New Roman"/>
                <w:kern w:val="2"/>
                <w:sz w:val="21"/>
                <w:szCs w:val="24"/>
                <w:lang w:val="en-US" w:eastAsia="ja-JP" w:bidi="ar-SA"/>
              </w:rPr>
            </w:pPr>
            <w:r>
              <w:rPr>
                <w:rFonts w:hint="eastAsia"/>
              </w:rPr>
              <w:t>GB/T 45001-2020</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1895" w:type="dxa"/>
            <w:vAlign w:val="center"/>
          </w:tcPr>
          <w:p>
            <w:pPr>
              <w:rPr>
                <w:lang w:eastAsia="ja-JP"/>
              </w:rPr>
            </w:pPr>
          </w:p>
        </w:tc>
        <w:tc>
          <w:tcPr>
            <w:tcW w:w="2215" w:type="dxa"/>
            <w:vAlign w:val="center"/>
          </w:tcPr>
          <w:p>
            <w:pPr>
              <w:rPr>
                <w:lang w:eastAsia="ja-JP"/>
              </w:rPr>
            </w:pPr>
          </w:p>
        </w:tc>
        <w:tc>
          <w:tcPr>
            <w:tcW w:w="995" w:type="dxa"/>
            <w:vAlign w:val="center"/>
          </w:tcPr>
          <w:p>
            <w:pPr>
              <w:rPr>
                <w:lang w:eastAsia="ja-JP"/>
              </w:rPr>
            </w:pPr>
          </w:p>
        </w:tc>
        <w:tc>
          <w:tcPr>
            <w:tcW w:w="2227" w:type="dxa"/>
            <w:vAlign w:val="center"/>
          </w:tcPr>
          <w:p>
            <w:pPr>
              <w:rPr>
                <w:lang w:eastAsia="ja-JP"/>
              </w:rPr>
            </w:pPr>
          </w:p>
        </w:tc>
        <w:tc>
          <w:tcPr>
            <w:tcW w:w="1245" w:type="dxa"/>
            <w:vAlign w:val="center"/>
          </w:tcPr>
          <w:p>
            <w:pPr>
              <w:rPr>
                <w:lang w:eastAsia="ja-JP"/>
              </w:rPr>
            </w:pPr>
          </w:p>
        </w:tc>
        <w:tc>
          <w:tcPr>
            <w:tcW w:w="668" w:type="dxa"/>
            <w:shd w:val="clear" w:color="auto" w:fill="FFFFFF"/>
          </w:tcPr>
          <w:p>
            <w:r>
              <w:rPr>
                <w:rFonts w:hint="eastAsia"/>
              </w:rPr>
              <w:t>☐</w:t>
            </w:r>
          </w:p>
        </w:tc>
      </w:tr>
    </w:tbl>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李俐</w:t>
            </w:r>
          </w:p>
        </w:tc>
        <w:tc>
          <w:tcPr>
            <w:tcW w:w="1089" w:type="dxa"/>
            <w:vAlign w:val="center"/>
          </w:tcPr>
          <w:p>
            <w:r>
              <w:t>组长</w:t>
            </w:r>
          </w:p>
        </w:tc>
        <w:tc>
          <w:tcPr>
            <w:tcW w:w="711" w:type="dxa"/>
            <w:vAlign w:val="center"/>
          </w:tcPr>
          <w:p>
            <w:r>
              <w:t>女</w:t>
            </w:r>
          </w:p>
        </w:tc>
        <w:tc>
          <w:tcPr>
            <w:tcW w:w="3870" w:type="dxa"/>
            <w:vAlign w:val="center"/>
          </w:tcPr>
          <w:p>
            <w:r>
              <w:t>2021-N1QMS-2222792</w:t>
            </w:r>
          </w:p>
          <w:p>
            <w:r>
              <w:t>2021-N1EMS-2222792</w:t>
            </w:r>
          </w:p>
          <w:p>
            <w:r>
              <w:t>2021-N1OHSMS-2222792</w:t>
            </w:r>
          </w:p>
        </w:tc>
        <w:tc>
          <w:tcPr>
            <w:tcW w:w="2179" w:type="dxa"/>
            <w:vAlign w:val="center"/>
          </w:tcPr>
          <w:p>
            <w:r>
              <w:t>E:35.15.00</w:t>
            </w:r>
          </w:p>
          <w:p>
            <w: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张红侠</w:t>
            </w:r>
          </w:p>
        </w:tc>
        <w:tc>
          <w:tcPr>
            <w:tcW w:w="1089" w:type="dxa"/>
            <w:vAlign w:val="center"/>
          </w:tcPr>
          <w:p>
            <w:r>
              <w:t>组员</w:t>
            </w:r>
          </w:p>
        </w:tc>
        <w:tc>
          <w:tcPr>
            <w:tcW w:w="711" w:type="dxa"/>
            <w:vAlign w:val="center"/>
          </w:tcPr>
          <w:p>
            <w:r>
              <w:t>女</w:t>
            </w:r>
          </w:p>
        </w:tc>
        <w:tc>
          <w:tcPr>
            <w:tcW w:w="3870" w:type="dxa"/>
            <w:vAlign w:val="center"/>
          </w:tcPr>
          <w:p>
            <w:r>
              <w:t>2022-N0QMS-1300329</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安涛</w:t>
            </w:r>
          </w:p>
        </w:tc>
        <w:tc>
          <w:tcPr>
            <w:tcW w:w="1089" w:type="dxa"/>
            <w:vAlign w:val="center"/>
          </w:tcPr>
          <w:p>
            <w:r>
              <w:t>组员</w:t>
            </w:r>
          </w:p>
        </w:tc>
        <w:tc>
          <w:tcPr>
            <w:tcW w:w="711" w:type="dxa"/>
            <w:vAlign w:val="center"/>
          </w:tcPr>
          <w:p>
            <w:r>
              <w:t>男</w:t>
            </w:r>
          </w:p>
        </w:tc>
        <w:tc>
          <w:tcPr>
            <w:tcW w:w="3870" w:type="dxa"/>
            <w:vAlign w:val="center"/>
          </w:tcPr>
          <w:p>
            <w:r>
              <w:t>2020-N1QMS-2211720</w:t>
            </w:r>
          </w:p>
        </w:tc>
        <w:tc>
          <w:tcPr>
            <w:tcW w:w="2179" w:type="dxa"/>
            <w:vAlign w:val="center"/>
          </w:tcPr>
          <w:p>
            <w:r>
              <w:t>Q:35.15.00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2"/>
        </w:numPr>
      </w:pPr>
      <w:r>
        <w:t>审核发现</w:t>
      </w:r>
      <w:r>
        <w:rPr>
          <w:rFonts w:hint="eastAsia"/>
        </w:rPr>
        <w:t>（见■QMS □EcMS■EMS■OHSMS）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rPr>
              <w:t>■</w:t>
            </w: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cs="宋体" w:eastAsiaTheme="minorEastAsia"/>
                <w:kern w:val="0"/>
                <w:szCs w:val="21"/>
                <w:lang w:eastAsia="zh-CN"/>
              </w:rPr>
              <w:drawing>
                <wp:anchor distT="0" distB="0" distL="114300" distR="114300" simplePos="0" relativeHeight="251662336" behindDoc="0" locked="0" layoutInCell="1" allowOverlap="1">
                  <wp:simplePos x="0" y="0"/>
                  <wp:positionH relativeFrom="column">
                    <wp:posOffset>442595</wp:posOffset>
                  </wp:positionH>
                  <wp:positionV relativeFrom="paragraph">
                    <wp:posOffset>20955</wp:posOffset>
                  </wp:positionV>
                  <wp:extent cx="428625" cy="329565"/>
                  <wp:effectExtent l="0" t="0" r="13335" b="5715"/>
                  <wp:wrapNone/>
                  <wp:docPr id="49" name="图片 49" descr="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李俐"/>
                          <pic:cNvPicPr>
                            <a:picLocks noChangeAspect="1"/>
                          </pic:cNvPicPr>
                        </pic:nvPicPr>
                        <pic:blipFill>
                          <a:blip r:embed="rId6"/>
                          <a:stretch>
                            <a:fillRect/>
                          </a:stretch>
                        </pic:blipFill>
                        <pic:spPr>
                          <a:xfrm>
                            <a:off x="0" y="0"/>
                            <a:ext cx="428625" cy="329565"/>
                          </a:xfrm>
                          <a:prstGeom prst="rect">
                            <a:avLst/>
                          </a:prstGeom>
                        </pic:spPr>
                      </pic:pic>
                    </a:graphicData>
                  </a:graphic>
                </wp:anchor>
              </w:drawing>
            </w:r>
          </w:p>
          <w:p/>
        </w:tc>
        <w:tc>
          <w:tcPr>
            <w:tcW w:w="2764" w:type="dxa"/>
            <w:tcMar>
              <w:left w:w="113" w:type="dxa"/>
            </w:tcMar>
          </w:tcPr>
          <w:p>
            <w:pPr>
              <w:rPr>
                <w:color w:val="auto"/>
              </w:rPr>
            </w:pPr>
            <w:r>
              <w:rPr>
                <w:rFonts w:hint="eastAsia"/>
                <w:color w:val="auto"/>
              </w:rPr>
              <w:t>日期</w:t>
            </w:r>
          </w:p>
        </w:tc>
        <w:tc>
          <w:tcPr>
            <w:tcW w:w="2766" w:type="dxa"/>
            <w:tcMar>
              <w:left w:w="113" w:type="dxa"/>
            </w:tcMar>
            <w:vAlign w:val="center"/>
          </w:tcPr>
          <w:p>
            <w:pPr>
              <w:rPr>
                <w:rFonts w:hint="default" w:ascii="宋体" w:eastAsia="宋体"/>
                <w:b/>
                <w:color w:val="auto"/>
                <w:szCs w:val="21"/>
                <w:lang w:val="en-US" w:eastAsia="zh-CN"/>
              </w:rPr>
            </w:pPr>
            <w:r>
              <w:rPr>
                <w:rFonts w:hint="eastAsia" w:ascii="宋体"/>
                <w:b/>
                <w:color w:val="auto"/>
                <w:szCs w:val="21"/>
                <w:lang w:val="en-US" w:eastAsia="zh-CN"/>
              </w:rPr>
              <w:t>2022.12.3</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bookmarkStart w:id="35" w:name="_GoBack"/>
      <w:bookmarkEnd w:id="35"/>
    </w:p>
    <w:p>
      <w:pPr>
        <w:rPr>
          <w:shd w:val="clear" w:color="FFFFFF" w:fill="D9D9D9"/>
        </w:rPr>
      </w:pPr>
      <w:r>
        <w:rPr>
          <w:shd w:val="clear" w:color="FFFFFF" w:fill="D9D9D9"/>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w:t>
                  </w:r>
                  <w:r>
                    <w:rPr>
                      <w:rFonts w:hint="eastAsia"/>
                    </w:rPr>
                    <w:sym w:font="Wingdings 2" w:char="0052"/>
                  </w:r>
                  <w:r>
                    <w:rPr>
                      <w:rFonts w:hint="eastAsia"/>
                    </w:rPr>
                    <w:t>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市场拓展□设备能力</w:t>
            </w:r>
            <w:r>
              <w:rPr>
                <w:rFonts w:hint="eastAsia"/>
              </w:rPr>
              <w:sym w:font="Wingdings 2" w:char="0052"/>
            </w:r>
            <w:r>
              <w:rPr>
                <w:rFonts w:hint="eastAsia"/>
              </w:rPr>
              <w:t>人员能力□检测水平□合同评审□知识保密</w:t>
            </w:r>
          </w:p>
          <w:p>
            <w:pPr>
              <w:shd w:val="clear" w:color="auto" w:fill="C7DAF1" w:themeFill="text2" w:themeFillTint="32"/>
              <w:spacing w:before="40" w:after="40"/>
            </w:pPr>
            <w:r>
              <w:rPr>
                <w:rFonts w:hint="eastAsia"/>
              </w:rPr>
              <w:t>□新产品设计开发□原材料采购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rPr>
              <w:sym w:font="Wingdings 2" w:char="0052"/>
            </w:r>
            <w:r>
              <w:rPr>
                <w:rFonts w:hint="eastAsia"/>
              </w:rPr>
              <w:t>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pStyle w:val="3"/>
              <w:ind w:firstLine="1344" w:firstLineChars="640"/>
              <w:jc w:val="left"/>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科学管理，诚信服务，业主满意；</w:t>
            </w:r>
          </w:p>
          <w:p>
            <w:pPr>
              <w:pStyle w:val="3"/>
              <w:jc w:val="left"/>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xml:space="preserve">             环保领先，节能降耗，预防污染；</w:t>
            </w:r>
          </w:p>
          <w:p>
            <w:pPr>
              <w:pStyle w:val="3"/>
              <w:jc w:val="left"/>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xml:space="preserve">             以人为本，减少风险，保障健康；</w:t>
            </w:r>
          </w:p>
          <w:p>
            <w:pPr>
              <w:tabs>
                <w:tab w:val="left" w:pos="1095"/>
                <w:tab w:val="left" w:pos="1260"/>
                <w:tab w:val="left" w:pos="1680"/>
                <w:tab w:val="left" w:pos="2100"/>
                <w:tab w:val="left" w:pos="3030"/>
              </w:tabs>
              <w:ind w:firstLine="420" w:firstLineChars="200"/>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xml:space="preserve">         遵守法纪，全员参与，持续改进。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行政人事部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gridCol w:w="5596"/>
              <w:gridCol w:w="1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pPr>
                    <w:shd w:val="clear" w:color="auto" w:fill="C7DAF1" w:themeFill="text2" w:themeFillTint="32"/>
                  </w:pPr>
                  <w:r>
                    <w:rPr>
                      <w:rFonts w:hint="eastAsia"/>
                    </w:rPr>
                    <w:t>主要的风险或机遇描述</w:t>
                  </w:r>
                </w:p>
              </w:tc>
              <w:tc>
                <w:tcPr>
                  <w:tcW w:w="5596" w:type="dxa"/>
                </w:tcPr>
                <w:p>
                  <w:pPr>
                    <w:shd w:val="clear" w:color="auto" w:fill="C7DAF1" w:themeFill="text2" w:themeFillTint="32"/>
                  </w:pPr>
                  <w:r>
                    <w:rPr>
                      <w:rFonts w:hint="eastAsia"/>
                    </w:rPr>
                    <w:t>应对措施</w:t>
                  </w:r>
                </w:p>
              </w:tc>
              <w:tc>
                <w:tcPr>
                  <w:tcW w:w="1415"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订单评审过程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1、对</w:t>
                  </w:r>
                  <w:r>
                    <w:rPr>
                      <w:rFonts w:hint="eastAsia" w:ascii="宋体" w:hAnsi="宋体" w:cs="宋体"/>
                      <w:color w:val="000000"/>
                      <w:kern w:val="0"/>
                      <w:sz w:val="20"/>
                      <w:szCs w:val="20"/>
                      <w:lang w:val="en-US" w:eastAsia="zh-CN"/>
                    </w:rPr>
                    <w:t>业主</w:t>
                  </w:r>
                  <w:r>
                    <w:rPr>
                      <w:rFonts w:hint="eastAsia" w:ascii="宋体" w:hAnsi="宋体" w:cs="宋体"/>
                      <w:color w:val="000000"/>
                      <w:kern w:val="0"/>
                      <w:sz w:val="20"/>
                      <w:szCs w:val="20"/>
                    </w:rPr>
                    <w:t>的要求组织相关部门进行识别；</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2、在确定与</w:t>
                  </w:r>
                  <w:r>
                    <w:rPr>
                      <w:rFonts w:hint="eastAsia" w:ascii="宋体" w:hAnsi="宋体" w:cs="宋体"/>
                      <w:color w:val="000000"/>
                      <w:kern w:val="0"/>
                      <w:sz w:val="20"/>
                      <w:szCs w:val="20"/>
                      <w:lang w:val="en-US" w:eastAsia="zh-CN"/>
                    </w:rPr>
                    <w:t>业主</w:t>
                  </w:r>
                  <w:r>
                    <w:rPr>
                      <w:rFonts w:hint="eastAsia" w:ascii="宋体" w:hAnsi="宋体" w:cs="宋体"/>
                      <w:color w:val="000000"/>
                      <w:kern w:val="0"/>
                      <w:sz w:val="20"/>
                      <w:szCs w:val="20"/>
                    </w:rPr>
                    <w:t>签署合同前落实合同评审事宜。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相关文件：《与顾客有关的过程控制程序》</w:t>
                  </w:r>
                </w:p>
              </w:tc>
              <w:tc>
                <w:tcPr>
                  <w:tcW w:w="1415"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lang w:val="en-US" w:eastAsia="zh-CN"/>
                    </w:rPr>
                    <w:t>服务</w:t>
                  </w:r>
                  <w:r>
                    <w:rPr>
                      <w:rFonts w:hint="eastAsia" w:ascii="宋体" w:hAnsi="宋体" w:cs="宋体"/>
                      <w:color w:val="000000"/>
                      <w:kern w:val="0"/>
                      <w:sz w:val="20"/>
                      <w:szCs w:val="20"/>
                    </w:rPr>
                    <w:t>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1、合理安排</w:t>
                  </w:r>
                  <w:r>
                    <w:rPr>
                      <w:rFonts w:hint="eastAsia" w:ascii="宋体" w:hAnsi="宋体" w:cs="宋体"/>
                      <w:color w:val="000000"/>
                      <w:kern w:val="0"/>
                      <w:sz w:val="20"/>
                      <w:szCs w:val="20"/>
                      <w:lang w:val="en-US" w:eastAsia="zh-CN"/>
                    </w:rPr>
                    <w:t>物业服务过程</w:t>
                  </w:r>
                  <w:r>
                    <w:rPr>
                      <w:rFonts w:hint="eastAsia" w:ascii="宋体" w:hAnsi="宋体" w:cs="宋体"/>
                      <w:color w:val="000000"/>
                      <w:kern w:val="0"/>
                      <w:sz w:val="20"/>
                      <w:szCs w:val="20"/>
                    </w:rPr>
                    <w:t>；2、不良率指标监控，及时采用纠正预防措施；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相关文件：《服务提供控制程序》；《不合格品控制程序》</w:t>
                  </w:r>
                </w:p>
              </w:tc>
              <w:tc>
                <w:tcPr>
                  <w:tcW w:w="141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交付和顾客反馈过程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1、客户投诉台账，</w:t>
                  </w:r>
                  <w:r>
                    <w:rPr>
                      <w:rFonts w:hint="eastAsia" w:ascii="宋体" w:hAnsi="宋体" w:cs="宋体"/>
                      <w:color w:val="000000"/>
                      <w:kern w:val="0"/>
                      <w:sz w:val="20"/>
                      <w:szCs w:val="20"/>
                      <w:lang w:val="en-US" w:eastAsia="zh-CN"/>
                    </w:rPr>
                    <w:t>办公室</w:t>
                  </w:r>
                  <w:r>
                    <w:rPr>
                      <w:rFonts w:hint="eastAsia" w:ascii="宋体" w:hAnsi="宋体" w:cs="宋体"/>
                      <w:color w:val="000000"/>
                      <w:kern w:val="0"/>
                      <w:sz w:val="20"/>
                      <w:szCs w:val="20"/>
                    </w:rPr>
                    <w:t>专人负责处理并及时回复客户，保存相应证据；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2、顾客满意度设立监控指标，每年至少调查分析一次；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相关文件：《顾客满意程度测量控制程序》、《纠正措施控制程序》</w:t>
                  </w:r>
                </w:p>
              </w:tc>
              <w:tc>
                <w:tcPr>
                  <w:tcW w:w="141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管理评审过程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1、管理评审计划的输入项要分配到相应的责任部门，总经理批准进行确认；</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2、管理评审输出改进项，下一次管理当作输入项，总经理进行评审确认。</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相关文件：《管理评审控制程序》</w:t>
                  </w:r>
                </w:p>
              </w:tc>
              <w:tc>
                <w:tcPr>
                  <w:tcW w:w="141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采购过程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1、开发建立备用供方以及供方淘汰制度；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2、供应商业绩定期评价，对供方进行考核和扣款等；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3、建立原辅材料安全库存；</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相关文件：《采购控制程序》</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检验过程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w:t>
                  </w:r>
                  <w:r>
                    <w:rPr>
                      <w:rFonts w:hint="eastAsia" w:ascii="宋体" w:hAnsi="宋体" w:cs="宋体"/>
                      <w:color w:val="000000"/>
                      <w:kern w:val="0"/>
                      <w:sz w:val="20"/>
                      <w:szCs w:val="20"/>
                      <w:lang w:val="en-US" w:eastAsia="zh-CN"/>
                    </w:rPr>
                    <w:t>根据物业服务流程操作指导书，进行检验</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设备管理过程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1、设备建立日常保养制度、定期保养计划；</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2、设备建立易损件备品备件清单；</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甘肃市场及对物业服务品质提升需求增大带来机遇</w:t>
                  </w:r>
                </w:p>
              </w:tc>
              <w:tc>
                <w:tcPr>
                  <w:tcW w:w="5596"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保证生服务能力、提高业务人员水平</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新宋体" w:hAnsi="新宋体" w:eastAsia="新宋体"/>
                      <w:color w:val="000000"/>
                    </w:rPr>
                    <w:t>业主满意度</w:t>
                  </w:r>
                  <w:r>
                    <w:rPr>
                      <w:rFonts w:hint="eastAsia" w:ascii="新宋体" w:hAnsi="新宋体" w:eastAsia="新宋体"/>
                      <w:color w:val="000000"/>
                      <w:lang w:val="en-US" w:eastAsia="zh-CN"/>
                    </w:rPr>
                    <w:t>4.5分以</w:t>
                  </w:r>
                  <w:r>
                    <w:rPr>
                      <w:rFonts w:hint="eastAsia" w:ascii="新宋体" w:hAnsi="新宋体" w:eastAsia="新宋体"/>
                      <w:color w:val="000000"/>
                    </w:rPr>
                    <w:t>上</w:t>
                  </w:r>
                </w:p>
              </w:tc>
              <w:tc>
                <w:tcPr>
                  <w:tcW w:w="3136" w:type="dxa"/>
                  <w:shd w:val="clear" w:color="auto" w:fill="auto"/>
                  <w:vAlign w:val="center"/>
                </w:tcPr>
                <w:p>
                  <w:pPr>
                    <w:shd w:val="clear" w:color="auto" w:fill="C7DAF1" w:themeFill="text2" w:themeFillTint="32"/>
                    <w:rPr>
                      <w:lang w:val="en-GB"/>
                    </w:rPr>
                  </w:pPr>
                  <w:r>
                    <w:rPr>
                      <w:rFonts w:hint="eastAsia" w:ascii="宋体" w:hAnsi="宋体"/>
                      <w:szCs w:val="21"/>
                    </w:rPr>
                    <w:t>业主满意度总得分</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市场管理部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4.6分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widowControl/>
                    <w:suppressLineNumbers w:val="0"/>
                    <w:jc w:val="left"/>
                    <w:rPr>
                      <w:rFonts w:hint="default"/>
                      <w:b w:val="0"/>
                      <w:bCs w:val="0"/>
                      <w:sz w:val="21"/>
                      <w:szCs w:val="21"/>
                      <w:lang w:val="en-US"/>
                    </w:rPr>
                  </w:pPr>
                  <w:r>
                    <w:rPr>
                      <w:rFonts w:hint="eastAsia" w:ascii="宋体" w:hAnsi="宋体" w:eastAsia="宋体" w:cs="宋体"/>
                      <w:b w:val="0"/>
                      <w:bCs w:val="0"/>
                      <w:color w:val="000000"/>
                      <w:kern w:val="0"/>
                      <w:sz w:val="21"/>
                      <w:szCs w:val="21"/>
                      <w:lang w:val="en-US" w:eastAsia="zh-CN" w:bidi="ar"/>
                    </w:rPr>
                    <w:t>顾客投诉处理率达到95%以上</w:t>
                  </w:r>
                </w:p>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szCs w:val="21"/>
                    </w:rPr>
                    <w:t>及时处理次数/反馈总次数X 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项目部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rFonts w:hint="default" w:eastAsia="宋体"/>
                <w:lang w:val="en-US" w:eastAsia="zh-CN"/>
              </w:rPr>
            </w:pPr>
            <w:r>
              <w:rPr>
                <w:rFonts w:hint="eastAsia"/>
                <w:highlight w:val="none"/>
              </w:rPr>
              <w:t>建筑面积平方米；</w:t>
            </w:r>
            <w:r>
              <w:rPr>
                <w:rFonts w:hint="eastAsia"/>
                <w:highlight w:val="none"/>
                <w:lang w:val="en-US" w:eastAsia="zh-CN"/>
              </w:rPr>
              <w:t>150平</w:t>
            </w:r>
            <w:r>
              <w:rPr>
                <w:rFonts w:hint="eastAsia"/>
                <w:lang w:val="en-US" w:eastAsia="zh-CN"/>
              </w:rPr>
              <w:t>方米</w:t>
            </w:r>
          </w:p>
          <w:p>
            <w:pPr>
              <w:shd w:val="clear" w:color="auto" w:fill="C7DAF1" w:themeFill="text2" w:themeFillTint="32"/>
              <w:rPr>
                <w:u w:val="single"/>
              </w:rPr>
            </w:pPr>
            <w:r>
              <w:rPr>
                <w:rFonts w:hint="eastAsia"/>
              </w:rPr>
              <w:t>主要生产设备有：</w:t>
            </w:r>
            <w:r>
              <w:rPr>
                <w:rFonts w:hint="eastAsia"/>
                <w:u w:val="single"/>
              </w:rPr>
              <w:t>（</w:t>
            </w:r>
            <w:r>
              <w:rPr>
                <w:rFonts w:hint="eastAsia"/>
                <w:szCs w:val="21"/>
              </w:rPr>
              <w:t>对讲机，</w:t>
            </w:r>
            <w:r>
              <w:rPr>
                <w:rFonts w:hint="eastAsia"/>
                <w:szCs w:val="21"/>
                <w:lang w:val="en-US" w:eastAsia="zh-CN"/>
              </w:rPr>
              <w:t>清扫车</w:t>
            </w:r>
            <w:r>
              <w:rPr>
                <w:rFonts w:hint="eastAsia"/>
                <w:szCs w:val="21"/>
              </w:rPr>
              <w:t>，吸尘器，扫地机，办公及维修工具手电钻，疏通机</w:t>
            </w:r>
            <w:r>
              <w:rPr>
                <w:rFonts w:hint="eastAsia"/>
                <w:szCs w:val="21"/>
                <w:lang w:eastAsia="zh-CN"/>
              </w:rPr>
              <w:t>，</w:t>
            </w:r>
            <w:r>
              <w:rPr>
                <w:rFonts w:hint="eastAsia"/>
                <w:szCs w:val="21"/>
              </w:rPr>
              <w:t>手钳</w:t>
            </w:r>
            <w:r>
              <w:rPr>
                <w:rFonts w:hint="eastAsia"/>
                <w:u w:val="single"/>
              </w:rPr>
              <w:t>）</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管理软件■市场预测</w:t>
            </w:r>
            <w:r>
              <w:rPr>
                <w:rFonts w:hint="eastAsia" w:ascii="Wingdings" w:hAnsi="Wingdings"/>
                <w:lang w:eastAsia="zh-CN"/>
              </w:rPr>
              <w:t>□</w:t>
            </w:r>
            <w:r>
              <w:rPr>
                <w:rFonts w:hint="eastAsia"/>
              </w:rPr>
              <w:t>企业标准■其他</w:t>
            </w:r>
          </w:p>
          <w:p>
            <w:pPr>
              <w:shd w:val="clear" w:color="auto" w:fill="C7DAF1" w:themeFill="text2" w:themeFillTint="32"/>
            </w:pPr>
            <w:r>
              <w:rPr>
                <w:rFonts w:hint="eastAsia"/>
              </w:rPr>
              <w:t>外部知识: ■顾客提供资料</w:t>
            </w:r>
            <w:r>
              <w:rPr>
                <w:rFonts w:hint="eastAsia" w:ascii="Wingdings" w:hAnsi="Wingdings"/>
                <w:lang w:eastAsia="zh-CN"/>
              </w:rPr>
              <w:t>□</w:t>
            </w:r>
            <w:r>
              <w:rPr>
                <w:rFonts w:hint="eastAsia"/>
              </w:rPr>
              <w:t>产品标准■学术交流信息■专业会议信息■其他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通过■招聘</w:t>
            </w:r>
            <w:r>
              <w:rPr>
                <w:rFonts w:hint="eastAsia" w:ascii="Wingdings" w:hAnsi="Wingdings"/>
                <w:lang w:eastAsia="zh-CN"/>
              </w:rPr>
              <w:t>□</w:t>
            </w:r>
            <w:r>
              <w:rPr>
                <w:rFonts w:hint="eastAsia"/>
              </w:rPr>
              <w:t>换岗■培训■考核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通过■会议传达■标语■培训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内部沟通方式：■文件发放■会议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展板■其他</w:t>
            </w:r>
          </w:p>
          <w:p>
            <w:pPr>
              <w:shd w:val="clear" w:color="auto" w:fill="C7DAF1" w:themeFill="text2" w:themeFillTint="32"/>
            </w:pPr>
            <w:r>
              <w:rPr>
                <w:rFonts w:hint="eastAsia"/>
              </w:rPr>
              <w:t>外部沟通方式：■宣传材料</w:t>
            </w:r>
            <w:r>
              <w:rPr>
                <w:rFonts w:hint="eastAsia" w:ascii="Wingdings" w:hAnsi="Wingdings"/>
                <w:lang w:eastAsia="zh-CN"/>
              </w:rPr>
              <w:t>□</w:t>
            </w:r>
            <w:r>
              <w:rPr>
                <w:rFonts w:hint="eastAsia"/>
              </w:rPr>
              <w:t>网站■标语</w:t>
            </w:r>
            <w:r>
              <w:rPr>
                <w:rFonts w:hint="eastAsia" w:ascii="Wingdings" w:hAnsi="Wingdings"/>
                <w:lang w:eastAsia="zh-CN"/>
              </w:rPr>
              <w:t>□</w:t>
            </w:r>
            <w:r>
              <w:rPr>
                <w:rFonts w:hint="eastAsia"/>
              </w:rPr>
              <w:t>展板■其他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■工艺流程图■作业文件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产品和服务要求为：■外来标准</w:t>
            </w:r>
            <w:r>
              <w:rPr>
                <w:rFonts w:hint="eastAsia" w:ascii="Wingdings" w:hAnsi="Wingdings"/>
                <w:lang w:eastAsia="zh-CN"/>
              </w:rPr>
              <w:t>□</w:t>
            </w:r>
            <w:r>
              <w:rPr>
                <w:rFonts w:hint="eastAsia"/>
              </w:rPr>
              <w:t>企业标准■顾客要求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物业服务</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物业服务</w:t>
                  </w: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标签■标牌■区域</w:t>
            </w:r>
            <w:r>
              <w:rPr>
                <w:rFonts w:hint="eastAsia" w:ascii="Wingdings" w:hAnsi="Wingdings"/>
                <w:lang w:eastAsia="zh-CN"/>
              </w:rPr>
              <w:t>□</w:t>
            </w:r>
            <w:r>
              <w:rPr>
                <w:rFonts w:hint="eastAsia"/>
              </w:rPr>
              <w:t>容器编号■人员编号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配方■个人信息■其他</w:t>
            </w:r>
          </w:p>
          <w:p>
            <w:pPr>
              <w:shd w:val="clear" w:color="auto" w:fill="C7DAF1" w:themeFill="text2" w:themeFillTint="32"/>
              <w:jc w:val="left"/>
            </w:pPr>
            <w:r>
              <w:rPr>
                <w:rFonts w:hint="eastAsia"/>
              </w:rPr>
              <w:t>顾客或外部供方财产控制：■符合要求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最终处置■其他</w:t>
            </w:r>
          </w:p>
          <w:p>
            <w:pPr>
              <w:shd w:val="clear" w:color="auto" w:fill="C7DAF1" w:themeFill="text2" w:themeFillTint="32"/>
            </w:pPr>
            <w:r>
              <w:rPr>
                <w:rFonts w:hint="eastAsia"/>
              </w:rPr>
              <w:t>交付后活动：■符合要求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■顾客调查■顾客对交付产品或服务的反馈</w:t>
            </w:r>
            <w:r>
              <w:rPr>
                <w:rFonts w:hint="eastAsia" w:ascii="Wingdings" w:hAnsi="Wingdings"/>
                <w:lang w:eastAsia="zh-CN"/>
              </w:rPr>
              <w:t>□</w:t>
            </w:r>
            <w:r>
              <w:rPr>
                <w:rFonts w:hint="eastAsia"/>
              </w:rPr>
              <w:t>顾客座谈■市场占有率分析■顾客赞扬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highlight w:val="none"/>
                <w:lang w:val="en-US" w:eastAsia="zh-CN"/>
              </w:rPr>
              <w:t>2022</w:t>
            </w:r>
            <w:r>
              <w:rPr>
                <w:rFonts w:hint="eastAsia"/>
                <w:highlight w:val="none"/>
              </w:rPr>
              <w:t>年</w:t>
            </w:r>
            <w:r>
              <w:rPr>
                <w:rFonts w:hint="eastAsia"/>
                <w:highlight w:val="none"/>
                <w:lang w:val="en-US" w:eastAsia="zh-CN"/>
              </w:rPr>
              <w:t>10</w:t>
            </w:r>
            <w:r>
              <w:rPr>
                <w:rFonts w:hint="eastAsia"/>
                <w:highlight w:val="none"/>
              </w:rPr>
              <w:t>月</w:t>
            </w:r>
            <w:r>
              <w:rPr>
                <w:rFonts w:hint="eastAsia"/>
                <w:highlight w:val="none"/>
                <w:lang w:val="en-US" w:eastAsia="zh-CN"/>
              </w:rPr>
              <w:t>17-18</w:t>
            </w:r>
            <w:r>
              <w:rPr>
                <w:rFonts w:hint="eastAsia"/>
                <w:highlight w:val="none"/>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rPr>
                <w:highlight w:val="none"/>
              </w:rPr>
            </w:pPr>
          </w:p>
          <w:p>
            <w:pPr>
              <w:shd w:val="clear" w:color="auto" w:fill="C7DAF1" w:themeFill="text2" w:themeFillTint="32"/>
              <w:rPr>
                <w:highlight w:val="none"/>
              </w:rPr>
            </w:pPr>
            <w:r>
              <w:rPr>
                <w:rFonts w:hint="eastAsia"/>
                <w:highlight w:val="none"/>
              </w:rPr>
              <w:t>若是组织多场所/临时场所：（按照组织的实际情况选择）</w:t>
            </w:r>
          </w:p>
          <w:p>
            <w:pPr>
              <w:shd w:val="clear" w:color="auto" w:fill="C7DAF1" w:themeFill="text2" w:themeFillTint="32"/>
              <w:rPr>
                <w:highlight w:val="none"/>
              </w:rPr>
            </w:pPr>
            <w:r>
              <w:rPr>
                <w:rFonts w:hint="eastAsia"/>
                <w:highlight w:val="none"/>
              </w:rPr>
              <w:t>■内审贯穿了多场所/临时现场，内审的验证结论是正面的。管理者代表相应的职权覆盖了所有的场所。）</w:t>
            </w:r>
          </w:p>
          <w:p>
            <w:pPr>
              <w:shd w:val="clear" w:color="auto" w:fill="C7DAF1" w:themeFill="text2" w:themeFillTint="32"/>
              <w:rPr>
                <w:highlight w:val="none"/>
              </w:rPr>
            </w:pPr>
          </w:p>
          <w:p>
            <w:pPr>
              <w:shd w:val="clear" w:color="auto" w:fill="C7DAF1" w:themeFill="text2" w:themeFillTint="32"/>
              <w:rPr>
                <w:highlight w:val="none"/>
              </w:rPr>
            </w:pPr>
            <w:r>
              <w:rPr>
                <w:rFonts w:hint="eastAsia"/>
                <w:highlight w:val="none"/>
              </w:rPr>
              <w:t>若是多班次操作：（按照组织的实际情况选择）</w:t>
            </w:r>
          </w:p>
          <w:p>
            <w:pPr>
              <w:shd w:val="clear" w:color="auto" w:fill="C7DAF1" w:themeFill="text2" w:themeFillTint="32"/>
              <w:rPr>
                <w:highlight w:val="none"/>
              </w:rPr>
            </w:pPr>
            <w:r>
              <w:rPr>
                <w:rFonts w:hint="eastAsia"/>
                <w:highlight w:val="none"/>
              </w:rPr>
              <w:t>■对所有班次的现场操作已审核。</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最高管理者已按策划的时间间隔，在</w:t>
            </w:r>
            <w:r>
              <w:rPr>
                <w:rFonts w:hint="eastAsia"/>
                <w:highlight w:val="none"/>
                <w:lang w:val="en-US" w:eastAsia="zh-CN"/>
              </w:rPr>
              <w:t>2022</w:t>
            </w:r>
            <w:r>
              <w:rPr>
                <w:rFonts w:hint="eastAsia"/>
                <w:highlight w:val="none"/>
              </w:rPr>
              <w:t>年</w:t>
            </w:r>
            <w:r>
              <w:rPr>
                <w:rFonts w:hint="eastAsia"/>
                <w:highlight w:val="none"/>
                <w:lang w:val="en-US" w:eastAsia="zh-CN"/>
              </w:rPr>
              <w:t>10</w:t>
            </w:r>
            <w:r>
              <w:rPr>
                <w:rFonts w:hint="eastAsia"/>
                <w:highlight w:val="none"/>
              </w:rPr>
              <w:t>月</w:t>
            </w:r>
            <w:r>
              <w:rPr>
                <w:rFonts w:hint="eastAsia"/>
                <w:highlight w:val="none"/>
                <w:lang w:val="en-US" w:eastAsia="zh-CN"/>
              </w:rPr>
              <w:t>26</w:t>
            </w:r>
            <w:r>
              <w:rPr>
                <w:rFonts w:hint="eastAsia"/>
                <w:highlight w:val="none"/>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98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20"/>
        <w:gridCol w:w="620"/>
        <w:gridCol w:w="620"/>
        <w:gridCol w:w="620"/>
        <w:gridCol w:w="620"/>
        <w:gridCol w:w="620"/>
        <w:gridCol w:w="620"/>
        <w:gridCol w:w="620"/>
        <w:gridCol w:w="620"/>
        <w:gridCol w:w="620"/>
        <w:gridCol w:w="620"/>
        <w:gridCol w:w="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20" w:type="dxa"/>
            <w:vAlign w:val="center"/>
          </w:tcPr>
          <w:p>
            <w:pPr>
              <w:shd w:val="clear" w:color="auto" w:fill="C7DAF1" w:themeFill="text2" w:themeFillTint="32"/>
              <w:rPr>
                <w:lang w:eastAsia="ja-JP"/>
              </w:rPr>
            </w:pPr>
            <w:r>
              <w:rPr>
                <w:rFonts w:hint="eastAsia"/>
              </w:rPr>
              <w:t>4.1</w:t>
            </w:r>
          </w:p>
        </w:tc>
        <w:tc>
          <w:tcPr>
            <w:tcW w:w="620" w:type="dxa"/>
            <w:vAlign w:val="center"/>
          </w:tcPr>
          <w:p>
            <w:pPr>
              <w:shd w:val="clear" w:color="auto" w:fill="C7DAF1" w:themeFill="text2" w:themeFillTint="32"/>
              <w:rPr>
                <w:lang w:eastAsia="ja-JP"/>
              </w:rPr>
            </w:pPr>
            <w:r>
              <w:rPr>
                <w:rFonts w:hint="eastAsia"/>
              </w:rPr>
              <w:t>4.2</w:t>
            </w:r>
          </w:p>
        </w:tc>
        <w:tc>
          <w:tcPr>
            <w:tcW w:w="620" w:type="dxa"/>
            <w:vAlign w:val="center"/>
          </w:tcPr>
          <w:p>
            <w:pPr>
              <w:shd w:val="clear" w:color="auto" w:fill="C7DAF1" w:themeFill="text2" w:themeFillTint="32"/>
              <w:rPr>
                <w:lang w:eastAsia="ja-JP"/>
              </w:rPr>
            </w:pPr>
            <w:r>
              <w:rPr>
                <w:rFonts w:hint="eastAsia"/>
              </w:rPr>
              <w:t>4.3</w:t>
            </w:r>
          </w:p>
        </w:tc>
        <w:tc>
          <w:tcPr>
            <w:tcW w:w="620" w:type="dxa"/>
            <w:vAlign w:val="center"/>
          </w:tcPr>
          <w:p>
            <w:pPr>
              <w:shd w:val="clear" w:color="auto" w:fill="C7DAF1" w:themeFill="text2" w:themeFillTint="32"/>
              <w:rPr>
                <w:lang w:eastAsia="ja-JP"/>
              </w:rPr>
            </w:pPr>
            <w:r>
              <w:rPr>
                <w:rFonts w:hint="eastAsia"/>
              </w:rPr>
              <w:t>4.4</w:t>
            </w:r>
          </w:p>
        </w:tc>
        <w:tc>
          <w:tcPr>
            <w:tcW w:w="620" w:type="dxa"/>
            <w:vAlign w:val="center"/>
          </w:tcPr>
          <w:p>
            <w:pPr>
              <w:shd w:val="clear" w:color="auto" w:fill="C7DAF1" w:themeFill="text2" w:themeFillTint="32"/>
              <w:rPr>
                <w:lang w:eastAsia="ja-JP"/>
              </w:rPr>
            </w:pPr>
            <w:r>
              <w:rPr>
                <w:rFonts w:hint="eastAsia"/>
              </w:rPr>
              <w:t>5.1</w:t>
            </w:r>
          </w:p>
        </w:tc>
        <w:tc>
          <w:tcPr>
            <w:tcW w:w="620" w:type="dxa"/>
            <w:vAlign w:val="center"/>
          </w:tcPr>
          <w:p>
            <w:pPr>
              <w:shd w:val="clear" w:color="auto" w:fill="C7DAF1" w:themeFill="text2" w:themeFillTint="32"/>
              <w:rPr>
                <w:lang w:eastAsia="ja-JP"/>
              </w:rPr>
            </w:pPr>
            <w:r>
              <w:rPr>
                <w:rFonts w:hint="eastAsia"/>
              </w:rPr>
              <w:t>5.2</w:t>
            </w:r>
          </w:p>
        </w:tc>
        <w:tc>
          <w:tcPr>
            <w:tcW w:w="620" w:type="dxa"/>
            <w:vAlign w:val="center"/>
          </w:tcPr>
          <w:p>
            <w:pPr>
              <w:shd w:val="clear" w:color="auto" w:fill="C7DAF1" w:themeFill="text2" w:themeFillTint="32"/>
              <w:rPr>
                <w:lang w:eastAsia="ja-JP"/>
              </w:rPr>
            </w:pPr>
            <w:r>
              <w:rPr>
                <w:rFonts w:hint="eastAsia"/>
              </w:rPr>
              <w:t>5.3</w:t>
            </w:r>
          </w:p>
        </w:tc>
        <w:tc>
          <w:tcPr>
            <w:tcW w:w="620" w:type="dxa"/>
            <w:vAlign w:val="center"/>
          </w:tcPr>
          <w:p>
            <w:pPr>
              <w:shd w:val="clear" w:color="auto" w:fill="C7DAF1" w:themeFill="text2" w:themeFillTint="32"/>
              <w:rPr>
                <w:lang w:eastAsia="ja-JP"/>
              </w:rPr>
            </w:pPr>
            <w:r>
              <w:rPr>
                <w:rFonts w:hint="eastAsia"/>
              </w:rPr>
              <w:t>6.1</w:t>
            </w:r>
          </w:p>
        </w:tc>
        <w:tc>
          <w:tcPr>
            <w:tcW w:w="620" w:type="dxa"/>
            <w:vAlign w:val="center"/>
          </w:tcPr>
          <w:p>
            <w:pPr>
              <w:shd w:val="clear" w:color="auto" w:fill="C7DAF1" w:themeFill="text2" w:themeFillTint="32"/>
              <w:rPr>
                <w:lang w:eastAsia="ja-JP"/>
              </w:rPr>
            </w:pPr>
            <w:r>
              <w:rPr>
                <w:rFonts w:hint="eastAsia"/>
              </w:rPr>
              <w:t>6.2</w:t>
            </w:r>
          </w:p>
        </w:tc>
        <w:tc>
          <w:tcPr>
            <w:tcW w:w="620" w:type="dxa"/>
            <w:vAlign w:val="center"/>
          </w:tcPr>
          <w:p>
            <w:pPr>
              <w:shd w:val="clear" w:color="auto" w:fill="C7DAF1" w:themeFill="text2" w:themeFillTint="32"/>
              <w:rPr>
                <w:lang w:eastAsia="ja-JP"/>
              </w:rPr>
            </w:pPr>
            <w:r>
              <w:rPr>
                <w:rFonts w:hint="eastAsia"/>
              </w:rPr>
              <w:t>6.3</w:t>
            </w:r>
          </w:p>
        </w:tc>
        <w:tc>
          <w:tcPr>
            <w:tcW w:w="620" w:type="dxa"/>
            <w:shd w:val="clear" w:color="auto" w:fill="BFBFBF"/>
            <w:vAlign w:val="center"/>
          </w:tcPr>
          <w:p>
            <w:pPr>
              <w:shd w:val="clear" w:color="auto" w:fill="C7DAF1" w:themeFill="text2" w:themeFillTint="32"/>
              <w:rPr>
                <w:lang w:eastAsia="ja-JP"/>
              </w:rPr>
            </w:pPr>
          </w:p>
        </w:tc>
        <w:tc>
          <w:tcPr>
            <w:tcW w:w="62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2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2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2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2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2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2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2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2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2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2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20" w:type="dxa"/>
            <w:shd w:val="clear" w:color="auto" w:fill="BFBFBF"/>
            <w:vAlign w:val="center"/>
          </w:tcPr>
          <w:p>
            <w:pPr>
              <w:shd w:val="clear" w:color="auto" w:fill="C7DAF1" w:themeFill="text2" w:themeFillTint="32"/>
              <w:rPr>
                <w:lang w:eastAsia="ja-JP"/>
              </w:rPr>
            </w:pPr>
          </w:p>
        </w:tc>
        <w:tc>
          <w:tcPr>
            <w:tcW w:w="62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20" w:type="dxa"/>
            <w:vAlign w:val="center"/>
          </w:tcPr>
          <w:p>
            <w:pPr>
              <w:shd w:val="clear" w:color="auto" w:fill="C7DAF1" w:themeFill="text2" w:themeFillTint="32"/>
              <w:rPr>
                <w:lang w:eastAsia="ja-JP"/>
              </w:rPr>
            </w:pPr>
          </w:p>
        </w:tc>
        <w:tc>
          <w:tcPr>
            <w:tcW w:w="620" w:type="dxa"/>
            <w:vAlign w:val="center"/>
          </w:tcPr>
          <w:p>
            <w:pPr>
              <w:shd w:val="clear" w:color="auto" w:fill="C7DAF1" w:themeFill="text2" w:themeFillTint="32"/>
              <w:rPr>
                <w:lang w:eastAsia="ja-JP"/>
              </w:rPr>
            </w:pPr>
          </w:p>
        </w:tc>
        <w:tc>
          <w:tcPr>
            <w:tcW w:w="620" w:type="dxa"/>
            <w:vAlign w:val="center"/>
          </w:tcPr>
          <w:p>
            <w:pPr>
              <w:shd w:val="clear" w:color="auto" w:fill="C7DAF1" w:themeFill="text2" w:themeFillTint="32"/>
              <w:rPr>
                <w:lang w:eastAsia="ja-JP"/>
              </w:rPr>
            </w:pPr>
          </w:p>
        </w:tc>
        <w:tc>
          <w:tcPr>
            <w:tcW w:w="620" w:type="dxa"/>
            <w:vAlign w:val="center"/>
          </w:tcPr>
          <w:p>
            <w:pPr>
              <w:shd w:val="clear" w:color="auto" w:fill="C7DAF1" w:themeFill="text2" w:themeFillTint="32"/>
              <w:rPr>
                <w:lang w:eastAsia="ja-JP"/>
              </w:rPr>
            </w:pPr>
          </w:p>
        </w:tc>
        <w:tc>
          <w:tcPr>
            <w:tcW w:w="620" w:type="dxa"/>
            <w:vAlign w:val="center"/>
          </w:tcPr>
          <w:p>
            <w:pPr>
              <w:shd w:val="clear" w:color="auto" w:fill="C7DAF1" w:themeFill="text2" w:themeFillTint="32"/>
              <w:rPr>
                <w:lang w:eastAsia="ja-JP"/>
              </w:rPr>
            </w:pPr>
          </w:p>
        </w:tc>
        <w:tc>
          <w:tcPr>
            <w:tcW w:w="620" w:type="dxa"/>
            <w:vAlign w:val="center"/>
          </w:tcPr>
          <w:p>
            <w:pPr>
              <w:shd w:val="clear" w:color="auto" w:fill="C7DAF1" w:themeFill="text2" w:themeFillTint="32"/>
              <w:rPr>
                <w:lang w:eastAsia="ja-JP"/>
              </w:rPr>
            </w:pPr>
          </w:p>
        </w:tc>
        <w:tc>
          <w:tcPr>
            <w:tcW w:w="620" w:type="dxa"/>
            <w:vAlign w:val="center"/>
          </w:tcPr>
          <w:p>
            <w:pPr>
              <w:shd w:val="clear" w:color="auto" w:fill="C7DAF1" w:themeFill="text2" w:themeFillTint="32"/>
              <w:rPr>
                <w:lang w:eastAsia="ja-JP"/>
              </w:rPr>
            </w:pPr>
          </w:p>
        </w:tc>
        <w:tc>
          <w:tcPr>
            <w:tcW w:w="620" w:type="dxa"/>
            <w:vAlign w:val="center"/>
          </w:tcPr>
          <w:p>
            <w:pPr>
              <w:shd w:val="clear" w:color="auto" w:fill="C7DAF1" w:themeFill="text2" w:themeFillTint="32"/>
              <w:rPr>
                <w:lang w:eastAsia="ja-JP"/>
              </w:rPr>
            </w:pPr>
          </w:p>
        </w:tc>
        <w:tc>
          <w:tcPr>
            <w:tcW w:w="620" w:type="dxa"/>
            <w:vAlign w:val="center"/>
          </w:tcPr>
          <w:p>
            <w:pPr>
              <w:shd w:val="clear" w:color="auto" w:fill="C7DAF1" w:themeFill="text2" w:themeFillTint="32"/>
              <w:rPr>
                <w:lang w:eastAsia="ja-JP"/>
              </w:rPr>
            </w:pPr>
          </w:p>
        </w:tc>
        <w:tc>
          <w:tcPr>
            <w:tcW w:w="620" w:type="dxa"/>
            <w:vAlign w:val="center"/>
          </w:tcPr>
          <w:p>
            <w:pPr>
              <w:shd w:val="clear" w:color="auto" w:fill="C7DAF1" w:themeFill="text2" w:themeFillTint="32"/>
              <w:rPr>
                <w:lang w:eastAsia="ja-JP"/>
              </w:rPr>
            </w:pPr>
          </w:p>
        </w:tc>
        <w:tc>
          <w:tcPr>
            <w:tcW w:w="620" w:type="dxa"/>
            <w:shd w:val="clear" w:color="auto" w:fill="BFBFBF"/>
            <w:vAlign w:val="center"/>
          </w:tcPr>
          <w:p>
            <w:pPr>
              <w:shd w:val="clear" w:color="auto" w:fill="C7DAF1" w:themeFill="text2" w:themeFillTint="32"/>
              <w:rPr>
                <w:lang w:eastAsia="ja-JP"/>
              </w:rPr>
            </w:pPr>
          </w:p>
        </w:tc>
        <w:tc>
          <w:tcPr>
            <w:tcW w:w="62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20" w:type="dxa"/>
            <w:vAlign w:val="center"/>
          </w:tcPr>
          <w:p>
            <w:pPr>
              <w:shd w:val="clear" w:color="auto" w:fill="C7DAF1" w:themeFill="text2" w:themeFillTint="32"/>
              <w:rPr>
                <w:lang w:eastAsia="ja-JP"/>
              </w:rPr>
            </w:pPr>
            <w:r>
              <w:rPr>
                <w:rFonts w:hint="eastAsia"/>
              </w:rPr>
              <w:t>7.1</w:t>
            </w:r>
          </w:p>
        </w:tc>
        <w:tc>
          <w:tcPr>
            <w:tcW w:w="620" w:type="dxa"/>
            <w:vAlign w:val="center"/>
          </w:tcPr>
          <w:p>
            <w:pPr>
              <w:shd w:val="clear" w:color="auto" w:fill="C7DAF1" w:themeFill="text2" w:themeFillTint="32"/>
              <w:rPr>
                <w:lang w:eastAsia="ja-JP"/>
              </w:rPr>
            </w:pPr>
            <w:r>
              <w:rPr>
                <w:rFonts w:hint="eastAsia"/>
              </w:rPr>
              <w:t>7.2</w:t>
            </w:r>
          </w:p>
        </w:tc>
        <w:tc>
          <w:tcPr>
            <w:tcW w:w="620" w:type="dxa"/>
            <w:vAlign w:val="center"/>
          </w:tcPr>
          <w:p>
            <w:pPr>
              <w:shd w:val="clear" w:color="auto" w:fill="C7DAF1" w:themeFill="text2" w:themeFillTint="32"/>
              <w:rPr>
                <w:lang w:eastAsia="ja-JP"/>
              </w:rPr>
            </w:pPr>
            <w:r>
              <w:rPr>
                <w:rFonts w:hint="eastAsia"/>
              </w:rPr>
              <w:t>7.3</w:t>
            </w:r>
          </w:p>
        </w:tc>
        <w:tc>
          <w:tcPr>
            <w:tcW w:w="620" w:type="dxa"/>
            <w:vAlign w:val="center"/>
          </w:tcPr>
          <w:p>
            <w:pPr>
              <w:shd w:val="clear" w:color="auto" w:fill="C7DAF1" w:themeFill="text2" w:themeFillTint="32"/>
              <w:rPr>
                <w:lang w:eastAsia="ja-JP"/>
              </w:rPr>
            </w:pPr>
            <w:r>
              <w:rPr>
                <w:rFonts w:hint="eastAsia"/>
              </w:rPr>
              <w:t>7.4</w:t>
            </w:r>
          </w:p>
        </w:tc>
        <w:tc>
          <w:tcPr>
            <w:tcW w:w="620" w:type="dxa"/>
            <w:vAlign w:val="center"/>
          </w:tcPr>
          <w:p>
            <w:pPr>
              <w:shd w:val="clear" w:color="auto" w:fill="C7DAF1" w:themeFill="text2" w:themeFillTint="32"/>
              <w:rPr>
                <w:lang w:eastAsia="ja-JP"/>
              </w:rPr>
            </w:pPr>
            <w:r>
              <w:rPr>
                <w:rFonts w:hint="eastAsia"/>
              </w:rPr>
              <w:t>7.5</w:t>
            </w:r>
          </w:p>
        </w:tc>
        <w:tc>
          <w:tcPr>
            <w:tcW w:w="620" w:type="dxa"/>
            <w:vAlign w:val="center"/>
          </w:tcPr>
          <w:p>
            <w:pPr>
              <w:shd w:val="clear" w:color="auto" w:fill="C7DAF1" w:themeFill="text2" w:themeFillTint="32"/>
              <w:rPr>
                <w:lang w:eastAsia="ja-JP"/>
              </w:rPr>
            </w:pPr>
            <w:r>
              <w:rPr>
                <w:rFonts w:hint="eastAsia"/>
              </w:rPr>
              <w:t>8.1</w:t>
            </w:r>
          </w:p>
        </w:tc>
        <w:tc>
          <w:tcPr>
            <w:tcW w:w="620" w:type="dxa"/>
            <w:vAlign w:val="center"/>
          </w:tcPr>
          <w:p>
            <w:pPr>
              <w:shd w:val="clear" w:color="auto" w:fill="C7DAF1" w:themeFill="text2" w:themeFillTint="32"/>
              <w:rPr>
                <w:lang w:eastAsia="ja-JP"/>
              </w:rPr>
            </w:pPr>
            <w:r>
              <w:rPr>
                <w:rFonts w:hint="eastAsia"/>
              </w:rPr>
              <w:t>8.2</w:t>
            </w:r>
          </w:p>
        </w:tc>
        <w:tc>
          <w:tcPr>
            <w:tcW w:w="620" w:type="dxa"/>
            <w:vAlign w:val="center"/>
          </w:tcPr>
          <w:p>
            <w:pPr>
              <w:shd w:val="clear" w:color="auto" w:fill="C7DAF1" w:themeFill="text2" w:themeFillTint="32"/>
              <w:rPr>
                <w:lang w:eastAsia="ja-JP"/>
              </w:rPr>
            </w:pPr>
            <w:r>
              <w:rPr>
                <w:rFonts w:hint="eastAsia"/>
              </w:rPr>
              <w:t>8.3</w:t>
            </w:r>
          </w:p>
        </w:tc>
        <w:tc>
          <w:tcPr>
            <w:tcW w:w="620" w:type="dxa"/>
            <w:vAlign w:val="center"/>
          </w:tcPr>
          <w:p>
            <w:pPr>
              <w:shd w:val="clear" w:color="auto" w:fill="C7DAF1" w:themeFill="text2" w:themeFillTint="32"/>
              <w:rPr>
                <w:lang w:eastAsia="ja-JP"/>
              </w:rPr>
            </w:pPr>
            <w:r>
              <w:rPr>
                <w:rFonts w:hint="eastAsia"/>
              </w:rPr>
              <w:t>8.4</w:t>
            </w:r>
          </w:p>
        </w:tc>
        <w:tc>
          <w:tcPr>
            <w:tcW w:w="620" w:type="dxa"/>
            <w:vAlign w:val="center"/>
          </w:tcPr>
          <w:p>
            <w:pPr>
              <w:shd w:val="clear" w:color="auto" w:fill="C7DAF1" w:themeFill="text2" w:themeFillTint="32"/>
              <w:rPr>
                <w:lang w:eastAsia="ja-JP"/>
              </w:rPr>
            </w:pPr>
            <w:r>
              <w:rPr>
                <w:rFonts w:hint="eastAsia"/>
              </w:rPr>
              <w:t>8.5</w:t>
            </w:r>
          </w:p>
        </w:tc>
        <w:tc>
          <w:tcPr>
            <w:tcW w:w="620" w:type="dxa"/>
            <w:vAlign w:val="center"/>
          </w:tcPr>
          <w:p>
            <w:pPr>
              <w:shd w:val="clear" w:color="auto" w:fill="C7DAF1" w:themeFill="text2" w:themeFillTint="32"/>
              <w:rPr>
                <w:lang w:eastAsia="ja-JP"/>
              </w:rPr>
            </w:pPr>
            <w:r>
              <w:rPr>
                <w:rFonts w:hint="eastAsia"/>
              </w:rPr>
              <w:t>8.6</w:t>
            </w:r>
          </w:p>
        </w:tc>
        <w:tc>
          <w:tcPr>
            <w:tcW w:w="62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2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2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2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2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2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2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2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20" w:type="dxa"/>
            <w:vAlign w:val="center"/>
          </w:tcPr>
          <w:p>
            <w:pPr>
              <w:shd w:val="clear" w:color="auto" w:fill="C7DAF1" w:themeFill="text2" w:themeFillTint="32"/>
              <w:rPr>
                <w:rFonts w:hint="default" w:eastAsia="宋体"/>
                <w:lang w:val="en-US" w:eastAsia="zh-CN"/>
              </w:rPr>
            </w:pPr>
            <w:r>
              <w:rPr>
                <w:rFonts w:hint="eastAsia" w:eastAsia="宋体"/>
                <w:lang w:val="en-US" w:eastAsia="zh-CN"/>
              </w:rPr>
              <w:t>4</w:t>
            </w:r>
          </w:p>
        </w:tc>
        <w:tc>
          <w:tcPr>
            <w:tcW w:w="62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20"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2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2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20" w:type="dxa"/>
            <w:vAlign w:val="center"/>
          </w:tcPr>
          <w:p>
            <w:pPr>
              <w:shd w:val="clear" w:color="auto" w:fill="C7DAF1" w:themeFill="text2" w:themeFillTint="32"/>
              <w:rPr>
                <w:lang w:eastAsia="ja-JP"/>
              </w:rPr>
            </w:pPr>
          </w:p>
        </w:tc>
        <w:tc>
          <w:tcPr>
            <w:tcW w:w="620" w:type="dxa"/>
            <w:vAlign w:val="center"/>
          </w:tcPr>
          <w:p>
            <w:pPr>
              <w:shd w:val="clear" w:color="auto" w:fill="C7DAF1" w:themeFill="text2" w:themeFillTint="32"/>
              <w:rPr>
                <w:lang w:eastAsia="ja-JP"/>
              </w:rPr>
            </w:pPr>
          </w:p>
        </w:tc>
        <w:tc>
          <w:tcPr>
            <w:tcW w:w="620" w:type="dxa"/>
            <w:vAlign w:val="center"/>
          </w:tcPr>
          <w:p>
            <w:pPr>
              <w:shd w:val="clear" w:color="auto" w:fill="C7DAF1" w:themeFill="text2" w:themeFillTint="32"/>
              <w:rPr>
                <w:lang w:eastAsia="ja-JP"/>
              </w:rPr>
            </w:pPr>
          </w:p>
        </w:tc>
        <w:tc>
          <w:tcPr>
            <w:tcW w:w="620" w:type="dxa"/>
            <w:vAlign w:val="center"/>
          </w:tcPr>
          <w:p>
            <w:pPr>
              <w:shd w:val="clear" w:color="auto" w:fill="C7DAF1" w:themeFill="text2" w:themeFillTint="32"/>
              <w:rPr>
                <w:lang w:eastAsia="ja-JP"/>
              </w:rPr>
            </w:pPr>
          </w:p>
        </w:tc>
        <w:tc>
          <w:tcPr>
            <w:tcW w:w="620" w:type="dxa"/>
            <w:vAlign w:val="center"/>
          </w:tcPr>
          <w:p>
            <w:pPr>
              <w:shd w:val="clear" w:color="auto" w:fill="C7DAF1" w:themeFill="text2" w:themeFillTint="32"/>
              <w:rPr>
                <w:lang w:eastAsia="ja-JP"/>
              </w:rPr>
            </w:pPr>
          </w:p>
        </w:tc>
        <w:tc>
          <w:tcPr>
            <w:tcW w:w="620" w:type="dxa"/>
            <w:vAlign w:val="center"/>
          </w:tcPr>
          <w:p>
            <w:pPr>
              <w:shd w:val="clear" w:color="auto" w:fill="C7DAF1" w:themeFill="text2" w:themeFillTint="32"/>
              <w:rPr>
                <w:lang w:eastAsia="ja-JP"/>
              </w:rPr>
            </w:pPr>
          </w:p>
        </w:tc>
        <w:tc>
          <w:tcPr>
            <w:tcW w:w="620" w:type="dxa"/>
            <w:tcBorders>
              <w:bottom w:val="single" w:color="auto" w:sz="4" w:space="0"/>
            </w:tcBorders>
            <w:vAlign w:val="center"/>
          </w:tcPr>
          <w:p>
            <w:pPr>
              <w:shd w:val="clear" w:color="auto" w:fill="C7DAF1" w:themeFill="text2" w:themeFillTint="32"/>
              <w:rPr>
                <w:lang w:eastAsia="ja-JP"/>
              </w:rPr>
            </w:pPr>
          </w:p>
        </w:tc>
        <w:tc>
          <w:tcPr>
            <w:tcW w:w="620" w:type="dxa"/>
            <w:tcBorders>
              <w:bottom w:val="single" w:color="auto" w:sz="4" w:space="0"/>
            </w:tcBorders>
            <w:vAlign w:val="center"/>
          </w:tcPr>
          <w:p>
            <w:pPr>
              <w:shd w:val="clear" w:color="auto" w:fill="C7DAF1" w:themeFill="text2" w:themeFillTint="32"/>
              <w:rPr>
                <w:lang w:eastAsia="ja-JP"/>
              </w:rPr>
            </w:pPr>
          </w:p>
        </w:tc>
        <w:tc>
          <w:tcPr>
            <w:tcW w:w="620" w:type="dxa"/>
            <w:tcBorders>
              <w:bottom w:val="single" w:color="auto" w:sz="4" w:space="0"/>
            </w:tcBorders>
            <w:vAlign w:val="center"/>
          </w:tcPr>
          <w:p>
            <w:pPr>
              <w:shd w:val="clear" w:color="auto" w:fill="C7DAF1" w:themeFill="text2" w:themeFillTint="32"/>
              <w:rPr>
                <w:lang w:eastAsia="ja-JP"/>
              </w:rPr>
            </w:pPr>
          </w:p>
        </w:tc>
        <w:tc>
          <w:tcPr>
            <w:tcW w:w="62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20" w:type="dxa"/>
            <w:tcBorders>
              <w:bottom w:val="single" w:color="auto" w:sz="4" w:space="0"/>
            </w:tcBorders>
            <w:vAlign w:val="center"/>
          </w:tcPr>
          <w:p>
            <w:pPr>
              <w:shd w:val="clear" w:color="auto" w:fill="C7DAF1" w:themeFill="text2" w:themeFillTint="32"/>
              <w:rPr>
                <w:lang w:eastAsia="ja-JP"/>
              </w:rPr>
            </w:pPr>
          </w:p>
        </w:tc>
        <w:tc>
          <w:tcPr>
            <w:tcW w:w="62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20" w:type="dxa"/>
            <w:vAlign w:val="center"/>
          </w:tcPr>
          <w:p>
            <w:pPr>
              <w:shd w:val="clear" w:color="auto" w:fill="C7DAF1" w:themeFill="text2" w:themeFillTint="32"/>
              <w:rPr>
                <w:lang w:eastAsia="ja-JP"/>
              </w:rPr>
            </w:pPr>
            <w:r>
              <w:rPr>
                <w:rFonts w:hint="eastAsia"/>
              </w:rPr>
              <w:t>9.1</w:t>
            </w:r>
          </w:p>
        </w:tc>
        <w:tc>
          <w:tcPr>
            <w:tcW w:w="620" w:type="dxa"/>
            <w:vAlign w:val="center"/>
          </w:tcPr>
          <w:p>
            <w:pPr>
              <w:shd w:val="clear" w:color="auto" w:fill="C7DAF1" w:themeFill="text2" w:themeFillTint="32"/>
              <w:rPr>
                <w:lang w:eastAsia="ja-JP"/>
              </w:rPr>
            </w:pPr>
            <w:r>
              <w:rPr>
                <w:rFonts w:hint="eastAsia"/>
              </w:rPr>
              <w:t>9.2</w:t>
            </w:r>
          </w:p>
        </w:tc>
        <w:tc>
          <w:tcPr>
            <w:tcW w:w="620" w:type="dxa"/>
            <w:vAlign w:val="center"/>
          </w:tcPr>
          <w:p>
            <w:pPr>
              <w:shd w:val="clear" w:color="auto" w:fill="C7DAF1" w:themeFill="text2" w:themeFillTint="32"/>
              <w:rPr>
                <w:lang w:eastAsia="ja-JP"/>
              </w:rPr>
            </w:pPr>
            <w:r>
              <w:rPr>
                <w:rFonts w:hint="eastAsia"/>
              </w:rPr>
              <w:t>9.3</w:t>
            </w:r>
          </w:p>
        </w:tc>
        <w:tc>
          <w:tcPr>
            <w:tcW w:w="620" w:type="dxa"/>
            <w:vAlign w:val="center"/>
          </w:tcPr>
          <w:p>
            <w:pPr>
              <w:shd w:val="clear" w:color="auto" w:fill="C7DAF1" w:themeFill="text2" w:themeFillTint="32"/>
              <w:rPr>
                <w:lang w:eastAsia="ja-JP"/>
              </w:rPr>
            </w:pPr>
            <w:r>
              <w:rPr>
                <w:rFonts w:hint="eastAsia"/>
              </w:rPr>
              <w:t>10.1</w:t>
            </w:r>
          </w:p>
        </w:tc>
        <w:tc>
          <w:tcPr>
            <w:tcW w:w="620" w:type="dxa"/>
            <w:vAlign w:val="center"/>
          </w:tcPr>
          <w:p>
            <w:pPr>
              <w:shd w:val="clear" w:color="auto" w:fill="C7DAF1" w:themeFill="text2" w:themeFillTint="32"/>
              <w:rPr>
                <w:lang w:eastAsia="ja-JP"/>
              </w:rPr>
            </w:pPr>
            <w:r>
              <w:rPr>
                <w:rFonts w:hint="eastAsia"/>
              </w:rPr>
              <w:t>10.2</w:t>
            </w:r>
          </w:p>
        </w:tc>
        <w:tc>
          <w:tcPr>
            <w:tcW w:w="620" w:type="dxa"/>
            <w:vAlign w:val="center"/>
          </w:tcPr>
          <w:p>
            <w:pPr>
              <w:shd w:val="clear" w:color="auto" w:fill="C7DAF1" w:themeFill="text2" w:themeFillTint="32"/>
              <w:rPr>
                <w:lang w:eastAsia="ja-JP"/>
              </w:rPr>
            </w:pPr>
            <w:r>
              <w:rPr>
                <w:rFonts w:hint="eastAsia"/>
              </w:rPr>
              <w:t>10.3</w:t>
            </w:r>
          </w:p>
        </w:tc>
        <w:tc>
          <w:tcPr>
            <w:tcW w:w="620" w:type="dxa"/>
            <w:shd w:val="pct25" w:color="auto" w:fill="auto"/>
            <w:vAlign w:val="center"/>
          </w:tcPr>
          <w:p>
            <w:pPr>
              <w:shd w:val="clear" w:color="auto" w:fill="C7DAF1" w:themeFill="text2" w:themeFillTint="32"/>
              <w:rPr>
                <w:lang w:eastAsia="ja-JP"/>
              </w:rPr>
            </w:pPr>
          </w:p>
        </w:tc>
        <w:tc>
          <w:tcPr>
            <w:tcW w:w="620" w:type="dxa"/>
            <w:shd w:val="pct25" w:color="auto" w:fill="auto"/>
            <w:vAlign w:val="center"/>
          </w:tcPr>
          <w:p>
            <w:pPr>
              <w:shd w:val="clear" w:color="auto" w:fill="C7DAF1" w:themeFill="text2" w:themeFillTint="32"/>
              <w:rPr>
                <w:lang w:eastAsia="ja-JP"/>
              </w:rPr>
            </w:pPr>
          </w:p>
        </w:tc>
        <w:tc>
          <w:tcPr>
            <w:tcW w:w="620" w:type="dxa"/>
            <w:shd w:val="pct25" w:color="auto" w:fill="auto"/>
            <w:vAlign w:val="center"/>
          </w:tcPr>
          <w:p>
            <w:pPr>
              <w:shd w:val="clear" w:color="auto" w:fill="C7DAF1" w:themeFill="text2" w:themeFillTint="32"/>
              <w:rPr>
                <w:lang w:eastAsia="ja-JP"/>
              </w:rPr>
            </w:pPr>
          </w:p>
        </w:tc>
        <w:tc>
          <w:tcPr>
            <w:tcW w:w="620" w:type="dxa"/>
            <w:shd w:val="pct25" w:color="auto" w:fill="auto"/>
            <w:vAlign w:val="center"/>
          </w:tcPr>
          <w:p>
            <w:pPr>
              <w:shd w:val="clear" w:color="auto" w:fill="C7DAF1" w:themeFill="text2" w:themeFillTint="32"/>
              <w:rPr>
                <w:lang w:eastAsia="ja-JP"/>
              </w:rPr>
            </w:pPr>
          </w:p>
        </w:tc>
        <w:tc>
          <w:tcPr>
            <w:tcW w:w="620" w:type="dxa"/>
            <w:shd w:val="pct25" w:color="auto" w:fill="auto"/>
            <w:vAlign w:val="center"/>
          </w:tcPr>
          <w:p>
            <w:pPr>
              <w:shd w:val="clear" w:color="auto" w:fill="C7DAF1" w:themeFill="text2" w:themeFillTint="32"/>
              <w:rPr>
                <w:lang w:eastAsia="ja-JP"/>
              </w:rPr>
            </w:pPr>
          </w:p>
        </w:tc>
        <w:tc>
          <w:tcPr>
            <w:tcW w:w="62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2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2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2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2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2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2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20" w:type="dxa"/>
            <w:shd w:val="pct25" w:color="auto" w:fill="auto"/>
            <w:vAlign w:val="center"/>
          </w:tcPr>
          <w:p>
            <w:pPr>
              <w:shd w:val="clear" w:color="auto" w:fill="C7DAF1" w:themeFill="text2" w:themeFillTint="32"/>
              <w:rPr>
                <w:lang w:eastAsia="ja-JP"/>
              </w:rPr>
            </w:pPr>
          </w:p>
        </w:tc>
        <w:tc>
          <w:tcPr>
            <w:tcW w:w="620" w:type="dxa"/>
            <w:shd w:val="pct25" w:color="auto" w:fill="auto"/>
            <w:vAlign w:val="center"/>
          </w:tcPr>
          <w:p>
            <w:pPr>
              <w:shd w:val="clear" w:color="auto" w:fill="C7DAF1" w:themeFill="text2" w:themeFillTint="32"/>
              <w:rPr>
                <w:lang w:eastAsia="ja-JP"/>
              </w:rPr>
            </w:pPr>
          </w:p>
        </w:tc>
        <w:tc>
          <w:tcPr>
            <w:tcW w:w="620" w:type="dxa"/>
            <w:shd w:val="pct25" w:color="auto" w:fill="auto"/>
            <w:vAlign w:val="center"/>
          </w:tcPr>
          <w:p>
            <w:pPr>
              <w:shd w:val="clear" w:color="auto" w:fill="C7DAF1" w:themeFill="text2" w:themeFillTint="32"/>
              <w:rPr>
                <w:lang w:eastAsia="ja-JP"/>
              </w:rPr>
            </w:pPr>
          </w:p>
        </w:tc>
        <w:tc>
          <w:tcPr>
            <w:tcW w:w="620" w:type="dxa"/>
            <w:shd w:val="pct25" w:color="auto" w:fill="auto"/>
            <w:vAlign w:val="center"/>
          </w:tcPr>
          <w:p>
            <w:pPr>
              <w:shd w:val="clear" w:color="auto" w:fill="C7DAF1" w:themeFill="text2" w:themeFillTint="32"/>
              <w:rPr>
                <w:lang w:eastAsia="ja-JP"/>
              </w:rPr>
            </w:pPr>
          </w:p>
        </w:tc>
        <w:tc>
          <w:tcPr>
            <w:tcW w:w="620" w:type="dxa"/>
            <w:shd w:val="pct25" w:color="auto" w:fill="auto"/>
            <w:vAlign w:val="center"/>
          </w:tcPr>
          <w:p>
            <w:pPr>
              <w:shd w:val="clear" w:color="auto" w:fill="C7DAF1" w:themeFill="text2" w:themeFillTint="32"/>
              <w:rPr>
                <w:lang w:eastAsia="ja-JP"/>
              </w:rPr>
            </w:pPr>
          </w:p>
        </w:tc>
        <w:tc>
          <w:tcPr>
            <w:tcW w:w="62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20" w:type="dxa"/>
            <w:vAlign w:val="center"/>
          </w:tcPr>
          <w:p>
            <w:pPr>
              <w:shd w:val="clear" w:color="auto" w:fill="C7DAF1" w:themeFill="text2" w:themeFillTint="32"/>
              <w:rPr>
                <w:lang w:eastAsia="ja-JP"/>
              </w:rPr>
            </w:pPr>
          </w:p>
        </w:tc>
        <w:tc>
          <w:tcPr>
            <w:tcW w:w="620" w:type="dxa"/>
            <w:vAlign w:val="center"/>
          </w:tcPr>
          <w:p>
            <w:pPr>
              <w:shd w:val="clear" w:color="auto" w:fill="C7DAF1" w:themeFill="text2" w:themeFillTint="32"/>
              <w:rPr>
                <w:lang w:eastAsia="ja-JP"/>
              </w:rPr>
            </w:pPr>
          </w:p>
        </w:tc>
        <w:tc>
          <w:tcPr>
            <w:tcW w:w="620" w:type="dxa"/>
            <w:vAlign w:val="center"/>
          </w:tcPr>
          <w:p>
            <w:pPr>
              <w:shd w:val="clear" w:color="auto" w:fill="C7DAF1" w:themeFill="text2" w:themeFillTint="32"/>
              <w:rPr>
                <w:lang w:eastAsia="ja-JP"/>
              </w:rPr>
            </w:pPr>
          </w:p>
        </w:tc>
        <w:tc>
          <w:tcPr>
            <w:tcW w:w="620" w:type="dxa"/>
            <w:vAlign w:val="center"/>
          </w:tcPr>
          <w:p>
            <w:pPr>
              <w:shd w:val="clear" w:color="auto" w:fill="C7DAF1" w:themeFill="text2" w:themeFillTint="32"/>
              <w:rPr>
                <w:lang w:eastAsia="ja-JP"/>
              </w:rPr>
            </w:pPr>
          </w:p>
        </w:tc>
        <w:tc>
          <w:tcPr>
            <w:tcW w:w="620" w:type="dxa"/>
            <w:vAlign w:val="center"/>
          </w:tcPr>
          <w:p>
            <w:pPr>
              <w:shd w:val="clear" w:color="auto" w:fill="C7DAF1" w:themeFill="text2" w:themeFillTint="32"/>
              <w:rPr>
                <w:lang w:eastAsia="ja-JP"/>
              </w:rPr>
            </w:pPr>
          </w:p>
        </w:tc>
        <w:tc>
          <w:tcPr>
            <w:tcW w:w="620" w:type="dxa"/>
            <w:vAlign w:val="center"/>
          </w:tcPr>
          <w:p>
            <w:pPr>
              <w:shd w:val="clear" w:color="auto" w:fill="C7DAF1" w:themeFill="text2" w:themeFillTint="32"/>
              <w:rPr>
                <w:lang w:eastAsia="ja-JP"/>
              </w:rPr>
            </w:pPr>
          </w:p>
        </w:tc>
        <w:tc>
          <w:tcPr>
            <w:tcW w:w="620" w:type="dxa"/>
            <w:shd w:val="pct25" w:color="auto" w:fill="auto"/>
            <w:vAlign w:val="center"/>
          </w:tcPr>
          <w:p>
            <w:pPr>
              <w:shd w:val="clear" w:color="auto" w:fill="C7DAF1" w:themeFill="text2" w:themeFillTint="32"/>
              <w:rPr>
                <w:lang w:eastAsia="ja-JP"/>
              </w:rPr>
            </w:pPr>
          </w:p>
        </w:tc>
        <w:tc>
          <w:tcPr>
            <w:tcW w:w="620" w:type="dxa"/>
            <w:shd w:val="pct25" w:color="auto" w:fill="auto"/>
            <w:vAlign w:val="center"/>
          </w:tcPr>
          <w:p>
            <w:pPr>
              <w:shd w:val="clear" w:color="auto" w:fill="C7DAF1" w:themeFill="text2" w:themeFillTint="32"/>
              <w:rPr>
                <w:lang w:eastAsia="ja-JP"/>
              </w:rPr>
            </w:pPr>
          </w:p>
        </w:tc>
        <w:tc>
          <w:tcPr>
            <w:tcW w:w="620" w:type="dxa"/>
            <w:shd w:val="pct25" w:color="auto" w:fill="auto"/>
            <w:vAlign w:val="center"/>
          </w:tcPr>
          <w:p>
            <w:pPr>
              <w:shd w:val="clear" w:color="auto" w:fill="C7DAF1" w:themeFill="text2" w:themeFillTint="32"/>
              <w:rPr>
                <w:lang w:eastAsia="ja-JP"/>
              </w:rPr>
            </w:pPr>
          </w:p>
        </w:tc>
        <w:tc>
          <w:tcPr>
            <w:tcW w:w="620" w:type="dxa"/>
            <w:shd w:val="pct25" w:color="auto" w:fill="auto"/>
            <w:vAlign w:val="center"/>
          </w:tcPr>
          <w:p>
            <w:pPr>
              <w:shd w:val="clear" w:color="auto" w:fill="C7DAF1" w:themeFill="text2" w:themeFillTint="32"/>
              <w:rPr>
                <w:lang w:eastAsia="ja-JP"/>
              </w:rPr>
            </w:pPr>
          </w:p>
        </w:tc>
        <w:tc>
          <w:tcPr>
            <w:tcW w:w="620" w:type="dxa"/>
            <w:shd w:val="pct25" w:color="auto" w:fill="auto"/>
            <w:vAlign w:val="center"/>
          </w:tcPr>
          <w:p>
            <w:pPr>
              <w:shd w:val="clear" w:color="auto" w:fill="C7DAF1" w:themeFill="text2" w:themeFillTint="32"/>
              <w:rPr>
                <w:lang w:eastAsia="ja-JP"/>
              </w:rPr>
            </w:pPr>
          </w:p>
        </w:tc>
        <w:tc>
          <w:tcPr>
            <w:tcW w:w="62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■法律法规□技术■竞争■市场■文化■社会■经济环境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■价值观■文化■知识</w:t>
                  </w:r>
                  <w:r>
                    <w:rPr>
                      <w:rFonts w:hint="eastAsia"/>
                    </w:rPr>
                    <w:sym w:font="Wingdings 2" w:char="0052"/>
                  </w:r>
                  <w:r>
                    <w:rPr>
                      <w:rFonts w:hint="eastAsia"/>
                    </w:rPr>
                    <w:t>绩效□工艺□设备■人员能力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sym w:font="Wingdings 2" w:char="0052"/>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■设计和开发■采购■人力资源■营销和市场□生产□检验□仓库管理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w:t>
            </w:r>
            <w:r>
              <w:rPr>
                <w:rFonts w:hint="eastAsia"/>
              </w:rPr>
              <w:sym w:font="Wingdings 2" w:char="0052"/>
            </w:r>
            <w:r>
              <w:rPr>
                <w:rFonts w:hint="eastAsia"/>
              </w:rPr>
              <w:t>节约资源□达标排放□消防控制□危化品管理□特种设备管理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ascii="Times New Roman" w:hAnsi="Times New Roman" w:eastAsia="宋体" w:cs="Times New Roman"/>
                <w:b w:val="0"/>
                <w:bCs w:val="0"/>
                <w:kern w:val="2"/>
                <w:sz w:val="21"/>
                <w:szCs w:val="24"/>
                <w:lang w:val="en-US" w:eastAsia="zh-CN" w:bidi="ar-SA"/>
              </w:rPr>
              <w:t>最高管理者制定了文件化的管理体系方针：</w:t>
            </w:r>
            <w:r>
              <w:rPr>
                <w:rFonts w:hint="eastAsia" w:ascii="Times New Roman" w:hAnsi="Times New Roman" w:eastAsia="宋体" w:cs="Times New Roman"/>
                <w:b w:val="0"/>
                <w:bCs w:val="0"/>
                <w:kern w:val="2"/>
                <w:sz w:val="21"/>
                <w:szCs w:val="24"/>
                <w:u w:val="single"/>
                <w:lang w:val="en-US" w:eastAsia="zh-CN" w:bidi="ar-SA"/>
              </w:rPr>
              <w:t>科学管理，诚信服务，业主满意；环保领先，节能降耗，预防污染；以人为本，减少风险，保障健康；遵守法纪，全员参与，持续改进。</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行政人事部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eastAsia"/>
                    </w:rPr>
                  </w:pPr>
                  <w:r>
                    <w:rPr>
                      <w:rFonts w:hint="eastAsia"/>
                    </w:rPr>
                    <w:t>组织环境及相关方管理过程</w:t>
                  </w:r>
                </w:p>
              </w:tc>
              <w:tc>
                <w:tcPr>
                  <w:tcW w:w="3965" w:type="dxa"/>
                </w:tcPr>
                <w:p>
                  <w:pPr>
                    <w:shd w:val="clear" w:color="auto" w:fill="EBF1DE" w:themeFill="accent3" w:themeFillTint="32"/>
                    <w:rPr>
                      <w:rFonts w:hint="eastAsia"/>
                    </w:rPr>
                  </w:pPr>
                  <w:r>
                    <w:rPr>
                      <w:rFonts w:hint="eastAsia"/>
                    </w:rPr>
                    <w:t>1定期进行监视和评审；</w:t>
                  </w:r>
                </w:p>
                <w:p>
                  <w:pPr>
                    <w:shd w:val="clear" w:color="auto" w:fill="EBF1DE" w:themeFill="accent3" w:themeFillTint="32"/>
                    <w:rPr>
                      <w:rFonts w:hint="eastAsia"/>
                    </w:rPr>
                  </w:pPr>
                  <w:r>
                    <w:rPr>
                      <w:rFonts w:hint="eastAsia"/>
                    </w:rPr>
                    <w:t>2采取对策</w:t>
                  </w:r>
                </w:p>
              </w:tc>
              <w:tc>
                <w:tcPr>
                  <w:tcW w:w="1717" w:type="dxa"/>
                </w:tcPr>
                <w:p>
                  <w:pPr>
                    <w:shd w:val="clear" w:color="auto" w:fill="EBF1DE" w:themeFill="accent3"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eastAsia"/>
                    </w:rPr>
                  </w:pPr>
                  <w:r>
                    <w:rPr>
                      <w:rFonts w:hint="eastAsia"/>
                    </w:rPr>
                    <w:t>工作环境管理</w:t>
                  </w:r>
                </w:p>
              </w:tc>
              <w:tc>
                <w:tcPr>
                  <w:tcW w:w="3965" w:type="dxa"/>
                </w:tcPr>
                <w:p>
                  <w:pPr>
                    <w:shd w:val="clear" w:color="auto" w:fill="EBF1DE" w:themeFill="accent3" w:themeFillTint="32"/>
                    <w:rPr>
                      <w:rFonts w:hint="eastAsia"/>
                    </w:rPr>
                  </w:pPr>
                  <w:r>
                    <w:rPr>
                      <w:rFonts w:hint="eastAsia"/>
                    </w:rPr>
                    <w:t>1建立维护保养计划，确保工作环境得到维护、保养和检查。</w:t>
                  </w:r>
                </w:p>
                <w:p>
                  <w:pPr>
                    <w:shd w:val="clear" w:color="auto" w:fill="EBF1DE" w:themeFill="accent3" w:themeFillTint="32"/>
                    <w:rPr>
                      <w:rFonts w:hint="eastAsia"/>
                    </w:rPr>
                  </w:pPr>
                  <w:r>
                    <w:rPr>
                      <w:rFonts w:hint="eastAsia"/>
                    </w:rPr>
                    <w:t>基础设施和运行环境控制程序</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szCs w:val="21"/>
                    </w:rPr>
                    <w:t>固体废弃物分类收集、处置率100%</w:t>
                  </w:r>
                </w:p>
              </w:tc>
              <w:tc>
                <w:tcPr>
                  <w:tcW w:w="3136" w:type="dxa"/>
                  <w:shd w:val="clear" w:color="auto" w:fill="auto"/>
                  <w:vAlign w:val="center"/>
                </w:tcPr>
                <w:p>
                  <w:pPr>
                    <w:shd w:val="clear" w:color="auto" w:fill="EBF1DE" w:themeFill="accent3" w:themeFillTint="32"/>
                    <w:rPr>
                      <w:lang w:val="en-GB"/>
                    </w:rPr>
                  </w:pPr>
                  <w:r>
                    <w:rPr>
                      <w:rFonts w:hint="eastAsia" w:ascii="宋体" w:hAnsi="宋体"/>
                      <w:szCs w:val="21"/>
                    </w:rPr>
                    <w:t>处理次数/收集次数*100%</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各部门</w:t>
                  </w:r>
                </w:p>
              </w:tc>
              <w:tc>
                <w:tcPr>
                  <w:tcW w:w="1774" w:type="dxa"/>
                  <w:shd w:val="clear" w:color="auto" w:fill="auto"/>
                  <w:vAlign w:val="center"/>
                </w:tcPr>
                <w:p>
                  <w:pPr>
                    <w:shd w:val="clear" w:color="auto" w:fill="EBF1DE" w:themeFill="accent3" w:themeFillTint="32"/>
                    <w:jc w:val="center"/>
                    <w:rPr>
                      <w:rFonts w:ascii="宋体" w:hAnsi="宋体"/>
                      <w:lang w:val="en-GB"/>
                    </w:rPr>
                  </w:pPr>
                  <w:r>
                    <w:rPr>
                      <w:rFonts w:hint="eastAsia" w:ascii="宋体" w:hAnsi="宋体"/>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组织的资源状况：■人力资源</w:t>
            </w:r>
            <w:r>
              <w:rPr>
                <w:rFonts w:hint="eastAsia" w:ascii="Wingdings" w:hAnsi="Wingdings"/>
                <w:lang w:eastAsia="zh-CN"/>
              </w:rPr>
              <w:t>□</w:t>
            </w:r>
            <w:r>
              <w:rPr>
                <w:rFonts w:hint="eastAsia"/>
              </w:rPr>
              <w:t>自然资源■基础设施</w:t>
            </w:r>
            <w:r>
              <w:rPr>
                <w:rFonts w:hint="eastAsia" w:ascii="Wingdings" w:hAnsi="Wingdings"/>
                <w:lang w:eastAsia="zh-CN"/>
              </w:rPr>
              <w:t>□</w:t>
            </w:r>
            <w:r>
              <w:rPr>
                <w:rFonts w:hint="eastAsia"/>
              </w:rPr>
              <w:t>技术■财务资源。</w:t>
            </w:r>
          </w:p>
          <w:p>
            <w:pPr>
              <w:shd w:val="clear" w:color="auto" w:fill="EBF1DE" w:themeFill="accent3" w:themeFillTint="32"/>
            </w:pP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default" w:eastAsia="宋体"/>
                <w:lang w:val="en-US" w:eastAsia="zh-CN"/>
              </w:rPr>
            </w:pPr>
            <w:r>
              <w:rPr>
                <w:rFonts w:hint="eastAsia"/>
              </w:rPr>
              <w:t>建</w:t>
            </w:r>
            <w:r>
              <w:rPr>
                <w:rFonts w:hint="eastAsia"/>
                <w:highlight w:val="none"/>
              </w:rPr>
              <w:t>筑面积平方米；</w:t>
            </w:r>
            <w:r>
              <w:rPr>
                <w:rFonts w:hint="eastAsia"/>
                <w:highlight w:val="none"/>
                <w:lang w:val="en-US" w:eastAsia="zh-CN"/>
              </w:rPr>
              <w:t>150平方米</w:t>
            </w:r>
          </w:p>
          <w:p>
            <w:pPr>
              <w:shd w:val="clear" w:color="auto" w:fill="EBF1DE" w:themeFill="accent3" w:themeFillTint="32"/>
              <w:rPr>
                <w:u w:val="single"/>
              </w:rPr>
            </w:pPr>
            <w:r>
              <w:rPr>
                <w:rFonts w:hint="eastAsia"/>
              </w:rPr>
              <w:t>主要生产设备有：</w:t>
            </w:r>
            <w:r>
              <w:rPr>
                <w:rFonts w:hint="eastAsia"/>
                <w:u w:val="single"/>
              </w:rPr>
              <w:t>（</w:t>
            </w:r>
            <w:r>
              <w:rPr>
                <w:rFonts w:hint="eastAsia"/>
                <w:szCs w:val="21"/>
              </w:rPr>
              <w:t>对讲机，</w:t>
            </w:r>
            <w:r>
              <w:rPr>
                <w:rFonts w:hint="eastAsia"/>
                <w:szCs w:val="21"/>
                <w:lang w:val="en-US" w:eastAsia="zh-CN"/>
              </w:rPr>
              <w:t>清扫车</w:t>
            </w:r>
            <w:r>
              <w:rPr>
                <w:rFonts w:hint="eastAsia"/>
                <w:szCs w:val="21"/>
              </w:rPr>
              <w:t>，吸尘器，扫地机，办公及维修工具手电钻，疏通机</w:t>
            </w:r>
            <w:r>
              <w:rPr>
                <w:rFonts w:hint="eastAsia"/>
                <w:szCs w:val="21"/>
                <w:lang w:eastAsia="zh-CN"/>
              </w:rPr>
              <w:t>，</w:t>
            </w:r>
            <w:r>
              <w:rPr>
                <w:rFonts w:hint="eastAsia"/>
                <w:szCs w:val="21"/>
              </w:rPr>
              <w:t>手钳</w:t>
            </w:r>
            <w:r>
              <w:rPr>
                <w:rFonts w:hint="eastAsia"/>
                <w:u w:val="single"/>
              </w:rPr>
              <w:t>）</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通过■招聘</w:t>
            </w:r>
            <w:r>
              <w:rPr>
                <w:rFonts w:hint="eastAsia" w:ascii="Wingdings" w:hAnsi="Wingdings"/>
                <w:lang w:eastAsia="zh-CN"/>
              </w:rPr>
              <w:t>□</w:t>
            </w:r>
            <w:r>
              <w:rPr>
                <w:rFonts w:hint="eastAsia"/>
              </w:rPr>
              <w:t>换岗■培训■考核</w:t>
            </w:r>
            <w:r>
              <w:rPr>
                <w:rFonts w:hint="eastAsia" w:ascii="Wingdings" w:hAnsi="Wingdings"/>
                <w:lang w:eastAsia="zh-CN"/>
              </w:rPr>
              <w:t>□</w:t>
            </w:r>
            <w:r>
              <w:rPr>
                <w:rFonts w:hint="eastAsia"/>
              </w:rPr>
              <w:t>辅导■其他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通过■会议传达■标语■培训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内部沟通方式：■文件发放■会议■标语■展板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外部沟通方式：■宣传材料</w:t>
            </w:r>
            <w:r>
              <w:rPr>
                <w:rFonts w:hint="eastAsia" w:ascii="Wingdings" w:hAnsi="Wingdings"/>
                <w:lang w:eastAsia="zh-CN"/>
              </w:rPr>
              <w:t>□</w:t>
            </w:r>
            <w:r>
              <w:rPr>
                <w:rFonts w:hint="eastAsia"/>
              </w:rPr>
              <w:t>网站■标语■展板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■工艺流程图■作业文件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接收准则■外包控制要求■其他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施工■设备维保</w:t>
            </w:r>
            <w:r>
              <w:rPr>
                <w:rFonts w:hint="eastAsia" w:ascii="Wingdings" w:hAnsi="Wingdings"/>
                <w:lang w:eastAsia="zh-CN"/>
              </w:rPr>
              <w:t>□</w:t>
            </w:r>
            <w:r>
              <w:rPr>
                <w:rFonts w:hint="eastAsia"/>
              </w:rPr>
              <w:t>运输■其他</w:t>
            </w:r>
          </w:p>
          <w:p>
            <w:pPr>
              <w:shd w:val="clear" w:color="auto" w:fill="EBF1DE" w:themeFill="accent3" w:themeFillTint="32"/>
              <w:jc w:val="left"/>
            </w:pPr>
            <w:r>
              <w:rPr>
                <w:rFonts w:hint="eastAsia"/>
              </w:rPr>
              <w:t>控制方式：■合同约定</w:t>
            </w:r>
            <w:r>
              <w:rPr>
                <w:rFonts w:hint="eastAsia" w:ascii="Wingdings" w:hAnsi="Wingdings"/>
                <w:lang w:eastAsia="zh-CN"/>
              </w:rPr>
              <w:t>□</w:t>
            </w:r>
            <w:r>
              <w:rPr>
                <w:rFonts w:hint="eastAsia"/>
              </w:rPr>
              <w:t>危害告知■现场检查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分类收集、处置</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应急预案</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每年进行演练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rPr>
                <w:highlight w:val="red"/>
              </w:rPr>
            </w:pPr>
            <w:r>
              <w:rPr>
                <w:rFonts w:hint="eastAsia"/>
                <w:highlight w:val="red"/>
              </w:rPr>
              <w:t>组织对生产设备、环保设备、特种设备制订了计划进行了定期的检查、保养和维修；运行完好</w:t>
            </w:r>
          </w:p>
          <w:p>
            <w:pPr>
              <w:shd w:val="clear" w:color="auto" w:fill="EBF1DE" w:themeFill="accent3" w:themeFillTint="32"/>
              <w:rPr>
                <w:highlight w:val="red"/>
                <w:u w:val="single"/>
              </w:rPr>
            </w:pPr>
            <w:r>
              <w:rPr>
                <w:rFonts w:hint="eastAsia"/>
                <w:highlight w:val="red"/>
              </w:rPr>
              <w:t>特种设备管理：</w:t>
            </w:r>
            <w:r>
              <w:rPr>
                <w:rFonts w:hint="eastAsia" w:ascii="Wingdings" w:hAnsi="Wingdings"/>
                <w:highlight w:val="red"/>
                <w:lang w:eastAsia="zh-CN"/>
              </w:rPr>
              <w:t>□</w:t>
            </w:r>
            <w:r>
              <w:rPr>
                <w:rFonts w:hint="eastAsia"/>
                <w:highlight w:val="red"/>
              </w:rPr>
              <w:t>进行了定期检验</w:t>
            </w:r>
            <w:r>
              <w:rPr>
                <w:rFonts w:hint="eastAsia" w:ascii="Wingdings" w:hAnsi="Wingdings"/>
                <w:highlight w:val="red"/>
                <w:lang w:eastAsia="zh-CN"/>
              </w:rPr>
              <w:t>□</w:t>
            </w:r>
            <w:r>
              <w:rPr>
                <w:rFonts w:hint="eastAsia"/>
                <w:highlight w:val="red"/>
              </w:rPr>
              <w:t>未进行定期检验的有：</w:t>
            </w:r>
          </w:p>
          <w:p>
            <w:pPr>
              <w:shd w:val="clear" w:color="auto" w:fill="EBF1DE" w:themeFill="accent3" w:themeFillTint="32"/>
            </w:pPr>
            <w:r>
              <w:rPr>
                <w:rFonts w:hint="eastAsia"/>
                <w:highlight w:val="red"/>
              </w:rPr>
              <w:t>特种设备检测报告，如：</w:t>
            </w:r>
            <w:r>
              <w:rPr>
                <w:rFonts w:hint="eastAsia"/>
                <w:highlight w:val="red"/>
                <w:u w:val="single"/>
              </w:rPr>
              <w:t>（</w:t>
            </w:r>
            <w:r>
              <w:rPr>
                <w:rFonts w:hint="eastAsia"/>
                <w:highlight w:val="red"/>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rPr>
                <w:rFonts w:hint="default" w:eastAsia="宋体"/>
                <w:lang w:val="en-US" w:eastAsia="zh-CN"/>
              </w:rPr>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w:t>
            </w:r>
            <w:r>
              <w:rPr>
                <w:rFonts w:hint="eastAsia"/>
                <w:u w:val="single"/>
              </w:rPr>
              <w:t>说明</w:t>
            </w:r>
            <w:r>
              <w:rPr>
                <w:rFonts w:hint="eastAsia"/>
                <w:u w:val="single"/>
                <w:lang w:eastAsia="zh-CN"/>
              </w:rPr>
              <w:t>：</w:t>
            </w:r>
            <w:r>
              <w:rPr>
                <w:rFonts w:hint="eastAsia"/>
                <w:u w:val="single"/>
                <w:lang w:val="en-US" w:eastAsia="zh-CN"/>
              </w:rPr>
              <w:t>没有危化品；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停水停电■其他</w:t>
            </w:r>
          </w:p>
          <w:p>
            <w:pPr>
              <w:shd w:val="clear" w:color="auto" w:fill="EBF1DE" w:themeFill="accent3" w:themeFillTint="32"/>
            </w:pPr>
            <w:r>
              <w:rPr>
                <w:rFonts w:hint="eastAsia"/>
              </w:rPr>
              <w:t>审核周期内发生过紧急情况：■未发生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highlight w:val="none"/>
              </w:rPr>
              <w:t>于</w:t>
            </w:r>
            <w:r>
              <w:rPr>
                <w:rFonts w:hint="eastAsia"/>
                <w:highlight w:val="none"/>
                <w:lang w:val="en-US" w:eastAsia="zh-CN"/>
              </w:rPr>
              <w:t>2022</w:t>
            </w:r>
            <w:r>
              <w:rPr>
                <w:rFonts w:hint="eastAsia"/>
                <w:highlight w:val="none"/>
              </w:rPr>
              <w:t>年</w:t>
            </w:r>
            <w:r>
              <w:rPr>
                <w:rFonts w:hint="eastAsia"/>
                <w:highlight w:val="none"/>
                <w:lang w:val="en-US" w:eastAsia="zh-CN"/>
              </w:rPr>
              <w:t>7</w:t>
            </w:r>
            <w:r>
              <w:rPr>
                <w:rFonts w:hint="eastAsia"/>
                <w:highlight w:val="none"/>
              </w:rPr>
              <w:t>月</w:t>
            </w:r>
            <w:r>
              <w:rPr>
                <w:rFonts w:hint="eastAsia"/>
                <w:highlight w:val="none"/>
                <w:lang w:val="en-US" w:eastAsia="zh-CN"/>
              </w:rPr>
              <w:t>15</w:t>
            </w:r>
            <w:r>
              <w:rPr>
                <w:rFonts w:hint="eastAsia"/>
                <w:highlight w:val="none"/>
              </w:rPr>
              <w:t>日进行</w:t>
            </w:r>
            <w:r>
              <w:rPr>
                <w:rFonts w:hint="eastAsia"/>
              </w:rPr>
              <w:t>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rPr>
                <w:highlight w:val="none"/>
              </w:rPr>
            </w:pPr>
            <w:r>
              <w:rPr>
                <w:rFonts w:hint="eastAsia"/>
              </w:rPr>
              <w:t>组织已分析和</w:t>
            </w:r>
            <w:r>
              <w:rPr>
                <w:rFonts w:hint="eastAsia"/>
                <w:highlight w:val="none"/>
              </w:rPr>
              <w:t>评价通过监视和测量获得的适当的数据和信息。</w:t>
            </w:r>
          </w:p>
          <w:p>
            <w:pPr>
              <w:shd w:val="clear" w:color="auto" w:fill="EBF1DE" w:themeFill="accent3" w:themeFillTint="32"/>
              <w:rPr>
                <w:highlight w:val="none"/>
              </w:rPr>
            </w:pPr>
            <w:r>
              <w:rPr>
                <w:rFonts w:hint="eastAsia"/>
                <w:highlight w:val="none"/>
              </w:rPr>
              <w:t>组织已建立、实施并保持评价其合规义务履行情况所需的过程。</w:t>
            </w:r>
          </w:p>
          <w:p>
            <w:pPr>
              <w:shd w:val="clear" w:color="auto" w:fill="EBF1DE" w:themeFill="accent3" w:themeFillTint="32"/>
              <w:rPr>
                <w:highlight w:val="none"/>
              </w:rPr>
            </w:pPr>
            <w:r>
              <w:rPr>
                <w:rFonts w:hint="eastAsia"/>
                <w:highlight w:val="none"/>
              </w:rPr>
              <w:t>实施合规性评价的时间：</w:t>
            </w:r>
          </w:p>
          <w:p>
            <w:pPr>
              <w:shd w:val="clear" w:color="auto" w:fill="EBF1DE" w:themeFill="accent3" w:themeFillTint="32"/>
              <w:rPr>
                <w:highlight w:val="none"/>
              </w:rPr>
            </w:pPr>
            <w:r>
              <w:rPr>
                <w:rFonts w:hint="eastAsia"/>
                <w:highlight w:val="none"/>
              </w:rPr>
              <w:t>■定期（每年）：</w:t>
            </w:r>
            <w:r>
              <w:rPr>
                <w:rFonts w:hint="eastAsia"/>
                <w:highlight w:val="none"/>
                <w:lang w:val="en-US" w:eastAsia="zh-CN"/>
              </w:rPr>
              <w:t>2022</w:t>
            </w:r>
            <w:r>
              <w:rPr>
                <w:rFonts w:hint="eastAsia"/>
                <w:highlight w:val="none"/>
              </w:rPr>
              <w:t>年</w:t>
            </w:r>
            <w:r>
              <w:rPr>
                <w:rFonts w:hint="eastAsia"/>
                <w:highlight w:val="none"/>
                <w:lang w:val="en-US" w:eastAsia="zh-CN"/>
              </w:rPr>
              <w:t>9</w:t>
            </w:r>
            <w:r>
              <w:rPr>
                <w:rFonts w:hint="eastAsia"/>
                <w:highlight w:val="none"/>
              </w:rPr>
              <w:t>月</w:t>
            </w:r>
            <w:r>
              <w:rPr>
                <w:rFonts w:hint="eastAsia"/>
                <w:highlight w:val="none"/>
                <w:lang w:val="en-US" w:eastAsia="zh-CN"/>
              </w:rPr>
              <w:t>14</w:t>
            </w:r>
            <w:r>
              <w:rPr>
                <w:rFonts w:hint="eastAsia"/>
                <w:highlight w:val="none"/>
              </w:rPr>
              <w:t>日</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特殊情况（法规变化）：年月日</w:t>
            </w:r>
          </w:p>
          <w:p>
            <w:pPr>
              <w:shd w:val="clear" w:color="auto" w:fill="EBF1DE" w:themeFill="accent3" w:themeFillTint="32"/>
            </w:pPr>
            <w:r>
              <w:rPr>
                <w:rFonts w:hint="eastAsia"/>
                <w:highlight w:val="none"/>
              </w:rPr>
              <w:t>对评价合规性发现的问题，采取必要</w:t>
            </w:r>
            <w:r>
              <w:rPr>
                <w:rFonts w:hint="eastAsia"/>
              </w:rPr>
              <w:t>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1"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w:t>
            </w:r>
            <w:r>
              <w:rPr>
                <w:rFonts w:hint="eastAsia"/>
                <w:highlight w:val="none"/>
              </w:rPr>
              <w:t>度策划于</w:t>
            </w:r>
            <w:r>
              <w:rPr>
                <w:rFonts w:hint="eastAsia"/>
                <w:highlight w:val="none"/>
                <w:lang w:val="en-US" w:eastAsia="zh-CN"/>
              </w:rPr>
              <w:t>2022</w:t>
            </w:r>
            <w:r>
              <w:rPr>
                <w:rFonts w:hint="eastAsia"/>
                <w:highlight w:val="none"/>
              </w:rPr>
              <w:t>年</w:t>
            </w:r>
            <w:r>
              <w:rPr>
                <w:rFonts w:hint="eastAsia"/>
                <w:highlight w:val="none"/>
                <w:lang w:val="en-US" w:eastAsia="zh-CN"/>
              </w:rPr>
              <w:t>10</w:t>
            </w:r>
            <w:r>
              <w:rPr>
                <w:rFonts w:hint="eastAsia"/>
                <w:highlight w:val="none"/>
              </w:rPr>
              <w:t>月</w:t>
            </w:r>
            <w:r>
              <w:rPr>
                <w:rFonts w:hint="eastAsia"/>
                <w:highlight w:val="none"/>
                <w:lang w:val="en-US" w:eastAsia="zh-CN"/>
              </w:rPr>
              <w:t>1</w:t>
            </w:r>
            <w:r>
              <w:rPr>
                <w:rFonts w:hint="eastAsia"/>
                <w:lang w:val="en-US" w:eastAsia="zh-CN"/>
              </w:rPr>
              <w:t>7-18</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w:t>
            </w:r>
            <w:r>
              <w:rPr>
                <w:rFonts w:hint="eastAsia"/>
                <w:highlight w:val="none"/>
              </w:rPr>
              <w:t>在</w:t>
            </w:r>
            <w:r>
              <w:rPr>
                <w:rFonts w:hint="eastAsia"/>
                <w:highlight w:val="none"/>
                <w:lang w:val="en-US" w:eastAsia="zh-CN"/>
              </w:rPr>
              <w:t>2022</w:t>
            </w:r>
            <w:r>
              <w:rPr>
                <w:rFonts w:hint="eastAsia"/>
                <w:highlight w:val="none"/>
              </w:rPr>
              <w:t>年</w:t>
            </w:r>
            <w:r>
              <w:rPr>
                <w:rFonts w:hint="eastAsia"/>
                <w:highlight w:val="none"/>
                <w:lang w:val="en-US" w:eastAsia="zh-CN"/>
              </w:rPr>
              <w:t>10</w:t>
            </w:r>
            <w:r>
              <w:rPr>
                <w:rFonts w:hint="eastAsia"/>
                <w:highlight w:val="none"/>
              </w:rPr>
              <w:t>月</w:t>
            </w:r>
            <w:r>
              <w:rPr>
                <w:rFonts w:hint="eastAsia"/>
                <w:highlight w:val="none"/>
                <w:lang w:val="en-US" w:eastAsia="zh-CN"/>
              </w:rPr>
              <w:t>26</w:t>
            </w:r>
            <w:r>
              <w:rPr>
                <w:rFonts w:hint="eastAsia"/>
                <w:highlight w:val="none"/>
              </w:rPr>
              <w:t>日对组</w:t>
            </w:r>
            <w:r>
              <w:rPr>
                <w:rFonts w:hint="eastAsia"/>
              </w:rPr>
              <w:t>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■认知■价值观■文化■知识■绩效□工艺■设备■人员能力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ascii="Times New Roman" w:hAnsi="Times New Roman" w:eastAsia="宋体" w:cs="Times New Roman"/>
                <w:b w:val="0"/>
                <w:bCs w:val="0"/>
                <w:kern w:val="2"/>
                <w:sz w:val="21"/>
                <w:szCs w:val="24"/>
                <w:u w:val="single"/>
                <w:lang w:val="en-US" w:eastAsia="zh-CN" w:bidi="ar-SA"/>
              </w:rPr>
            </w:pPr>
            <w:r>
              <w:rPr>
                <w:rFonts w:hint="eastAsia"/>
              </w:rPr>
              <w:t>最高管理者制定了文件化的职业健康安全管理体系方针：</w:t>
            </w:r>
            <w:r>
              <w:rPr>
                <w:rFonts w:hint="eastAsia" w:ascii="Times New Roman" w:hAnsi="Times New Roman" w:eastAsia="宋体" w:cs="Times New Roman"/>
                <w:b w:val="0"/>
                <w:bCs w:val="0"/>
                <w:kern w:val="2"/>
                <w:sz w:val="21"/>
                <w:szCs w:val="24"/>
                <w:u w:val="single"/>
                <w:lang w:val="en-US" w:eastAsia="zh-CN" w:bidi="ar-SA"/>
              </w:rPr>
              <w:t>科学管理，诚信服务，业主满意；环保领先，节能降耗，预防污染；以人为本，减少风险，保障健康；遵守法纪，全员参与，持续改进。</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行政人事部</w:t>
            </w:r>
          </w:p>
          <w:p>
            <w:r>
              <w:rPr>
                <w:rFonts w:hint="eastAsia"/>
              </w:rPr>
              <w:t>安全的主管部门是——</w:t>
            </w:r>
            <w:r>
              <w:rPr>
                <w:rFonts w:hint="eastAsia"/>
                <w:lang w:val="en-US" w:eastAsia="zh-CN"/>
              </w:rPr>
              <w:t>行政人事部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6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Pr>
              <w:rPr>
                <w:rFonts w:hint="default" w:eastAsia="宋体"/>
                <w:lang w:val="en-US" w:eastAsia="zh-CN"/>
              </w:rPr>
            </w:pPr>
            <w:r>
              <w:rPr>
                <w:rFonts w:hint="eastAsia"/>
              </w:rPr>
              <w:t>员工代表是——</w:t>
            </w:r>
            <w:r>
              <w:rPr>
                <w:rFonts w:hint="eastAsia"/>
                <w:lang w:val="en-US" w:eastAsia="zh-CN"/>
              </w:rPr>
              <w:t>白亚青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val="en-US" w:eastAsia="zh-CN"/>
                    </w:rPr>
                  </w:pPr>
                  <w:r>
                    <w:rPr>
                      <w:rFonts w:hint="eastAsia" w:eastAsia="宋体"/>
                      <w:lang w:val="en-US" w:eastAsia="zh-CN"/>
                    </w:rPr>
                    <w:t>组织环境及相关方管理过程</w:t>
                  </w:r>
                </w:p>
              </w:tc>
              <w:tc>
                <w:tcPr>
                  <w:tcW w:w="3965" w:type="dxa"/>
                </w:tcPr>
                <w:p>
                  <w:pPr>
                    <w:rPr>
                      <w:rFonts w:hint="eastAsia" w:eastAsia="宋体"/>
                      <w:lang w:val="en-US" w:eastAsia="zh-CN"/>
                    </w:rPr>
                  </w:pPr>
                  <w:r>
                    <w:rPr>
                      <w:rFonts w:hint="eastAsia" w:eastAsia="宋体"/>
                      <w:lang w:val="en-US" w:eastAsia="zh-CN"/>
                    </w:rPr>
                    <w:t>1定期进行监视和评审；</w:t>
                  </w:r>
                </w:p>
                <w:p>
                  <w:pPr>
                    <w:rPr>
                      <w:rFonts w:hint="eastAsia" w:eastAsia="宋体"/>
                      <w:lang w:val="en-US" w:eastAsia="zh-CN"/>
                    </w:rPr>
                  </w:pPr>
                  <w:r>
                    <w:rPr>
                      <w:rFonts w:hint="eastAsia" w:eastAsia="宋体"/>
                      <w:lang w:val="en-US" w:eastAsia="zh-CN"/>
                    </w:rPr>
                    <w:t>2采取对策</w:t>
                  </w:r>
                </w:p>
              </w:tc>
              <w:tc>
                <w:tcPr>
                  <w:tcW w:w="1717" w:type="dxa"/>
                </w:tcPr>
                <w:p>
                  <w:pPr>
                    <w:rPr>
                      <w:rFonts w:hint="eastAsia" w:eastAsia="宋体"/>
                      <w:lang w:val="en-US" w:eastAsia="zh-CN"/>
                    </w:rPr>
                  </w:pPr>
                  <w:r>
                    <w:rPr>
                      <w:rFonts w:hint="eastAsia" w:eastAsia="宋体"/>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rPr>
              <w:sym w:font="Wingdings 2" w:char="0052"/>
            </w:r>
            <w:r>
              <w:rPr>
                <w:rFonts w:hint="eastAsia"/>
              </w:rPr>
              <w:t>触电□化学伤害□噪声□粉尘□危险作业□高低温□危化品泄露□压力容器爆炸■火灾□其他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rPr>
                  </w:pPr>
                  <w:r>
                    <w:rPr>
                      <w:rFonts w:hint="eastAsia"/>
                    </w:rPr>
                    <w:t>无火灾事故发生、无重大（触电、中暑、交通伤害）安全事故发生</w:t>
                  </w:r>
                </w:p>
              </w:tc>
              <w:tc>
                <w:tcPr>
                  <w:tcW w:w="3136" w:type="dxa"/>
                  <w:shd w:val="clear" w:color="auto" w:fill="auto"/>
                  <w:vAlign w:val="center"/>
                </w:tcPr>
                <w:p>
                  <w:pPr>
                    <w:rPr>
                      <w:rFonts w:hint="eastAsia"/>
                      <w:lang w:val="en-GB"/>
                    </w:rPr>
                  </w:pPr>
                  <w:r>
                    <w:rPr>
                      <w:rFonts w:hint="eastAsia"/>
                    </w:rPr>
                    <w:t>查看有无火灾、安全事故报告</w:t>
                  </w:r>
                </w:p>
              </w:tc>
              <w:tc>
                <w:tcPr>
                  <w:tcW w:w="1350" w:type="dxa"/>
                  <w:shd w:val="clear" w:color="auto" w:fill="auto"/>
                  <w:vAlign w:val="center"/>
                </w:tcPr>
                <w:p>
                  <w:pPr>
                    <w:rPr>
                      <w:rFonts w:hint="eastAsia"/>
                      <w:lang w:val="en-US" w:eastAsia="zh-CN"/>
                    </w:rPr>
                  </w:pPr>
                  <w:r>
                    <w:rPr>
                      <w:rFonts w:hint="eastAsia"/>
                      <w:lang w:val="en-US" w:eastAsia="zh-CN"/>
                    </w:rPr>
                    <w:t>各部门</w:t>
                  </w:r>
                </w:p>
              </w:tc>
              <w:tc>
                <w:tcPr>
                  <w:tcW w:w="1774" w:type="dxa"/>
                  <w:shd w:val="clear" w:color="auto" w:fill="auto"/>
                  <w:vAlign w:val="center"/>
                </w:tcPr>
                <w:p>
                  <w:pPr>
                    <w:rPr>
                      <w:rFonts w:hint="eastAsia"/>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组织的资源状况：■人力资源■自然资源■基础设施■技术■财务资源。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default" w:eastAsia="宋体"/>
                <w:highlight w:val="none"/>
                <w:lang w:val="en-US" w:eastAsia="zh-CN"/>
              </w:rPr>
            </w:pPr>
            <w:r>
              <w:rPr>
                <w:rFonts w:hint="eastAsia"/>
                <w:highlight w:val="none"/>
              </w:rPr>
              <w:t>建筑面积平方米；</w:t>
            </w:r>
            <w:r>
              <w:rPr>
                <w:rFonts w:hint="eastAsia"/>
                <w:highlight w:val="none"/>
                <w:lang w:val="en-US" w:eastAsia="zh-CN"/>
              </w:rPr>
              <w:t>150平方米</w:t>
            </w:r>
          </w:p>
          <w:p>
            <w:pPr>
              <w:rPr>
                <w:u w:val="single"/>
              </w:rPr>
            </w:pPr>
            <w:r>
              <w:rPr>
                <w:rFonts w:hint="eastAsia"/>
              </w:rPr>
              <w:t>主要生产设备有：</w:t>
            </w:r>
            <w:r>
              <w:rPr>
                <w:rFonts w:hint="eastAsia"/>
                <w:u w:val="single"/>
              </w:rPr>
              <w:t>（</w:t>
            </w:r>
            <w:r>
              <w:rPr>
                <w:rFonts w:hint="eastAsia"/>
                <w:szCs w:val="21"/>
              </w:rPr>
              <w:t>对讲机，</w:t>
            </w:r>
            <w:r>
              <w:rPr>
                <w:rFonts w:hint="eastAsia"/>
                <w:szCs w:val="21"/>
                <w:lang w:val="en-US" w:eastAsia="zh-CN"/>
              </w:rPr>
              <w:t>清扫车</w:t>
            </w:r>
            <w:r>
              <w:rPr>
                <w:rFonts w:hint="eastAsia"/>
                <w:szCs w:val="21"/>
              </w:rPr>
              <w:t>，吸尘器，扫地机，办公及维修工具手电钻，疏通机</w:t>
            </w:r>
            <w:r>
              <w:rPr>
                <w:rFonts w:hint="eastAsia"/>
                <w:szCs w:val="21"/>
                <w:lang w:eastAsia="zh-CN"/>
              </w:rPr>
              <w:t>，</w:t>
            </w:r>
            <w:r>
              <w:rPr>
                <w:rFonts w:hint="eastAsia"/>
                <w:szCs w:val="21"/>
              </w:rPr>
              <w:t>手钳</w:t>
            </w:r>
            <w:r>
              <w:rPr>
                <w:rFonts w:hint="eastAsia"/>
                <w:u w:val="single"/>
              </w:rPr>
              <w:t>））</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通过■招聘</w:t>
            </w:r>
            <w:r>
              <w:rPr>
                <w:rFonts w:hint="eastAsia" w:ascii="Wingdings" w:hAnsi="Wingdings"/>
                <w:lang w:eastAsia="zh-CN"/>
              </w:rPr>
              <w:t>□</w:t>
            </w:r>
            <w:r>
              <w:rPr>
                <w:rFonts w:hint="eastAsia"/>
              </w:rPr>
              <w:t>换岗■培训■考核</w:t>
            </w:r>
            <w:r>
              <w:rPr>
                <w:rFonts w:hint="eastAsia" w:ascii="Wingdings" w:hAnsi="Wingdings"/>
                <w:lang w:eastAsia="zh-CN"/>
              </w:rPr>
              <w:t>□</w:t>
            </w:r>
            <w:r>
              <w:rPr>
                <w:rFonts w:hint="eastAsia"/>
              </w:rPr>
              <w:t>辅导■其他</w:t>
            </w:r>
          </w:p>
          <w:p/>
          <w:p>
            <w:r>
              <w:rPr>
                <w:rFonts w:hint="eastAsia"/>
              </w:rPr>
              <w:t>对国家规定持证上岗的人员资质进行了有效的管理。</w:t>
            </w:r>
          </w:p>
          <w:p>
            <w:r>
              <w:rPr>
                <w:rFonts w:hint="eastAsia"/>
              </w:rPr>
              <w:t>特种作业人员：■电工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通过：■会议传达■标语■培训■看板</w:t>
            </w:r>
            <w:r>
              <w:rPr>
                <w:rFonts w:hint="eastAsia" w:ascii="Wingdings" w:hAnsi="Wingdings"/>
                <w:lang w:eastAsia="zh-CN"/>
              </w:rPr>
              <w:t>□</w:t>
            </w:r>
            <w:r>
              <w:rPr>
                <w:rFonts w:hint="eastAsia"/>
              </w:rPr>
              <w:t>局域网■其他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内部沟通方式：■文件发放■会议■标语■展板■其他</w:t>
            </w:r>
          </w:p>
          <w:p>
            <w:r>
              <w:rPr>
                <w:rFonts w:hint="eastAsia"/>
              </w:rPr>
              <w:t>外部沟通方式：■宣传材料</w:t>
            </w:r>
            <w:r>
              <w:rPr>
                <w:rFonts w:hint="eastAsia" w:ascii="Wingdings" w:hAnsi="Wingdings"/>
                <w:lang w:eastAsia="zh-CN"/>
              </w:rPr>
              <w:t>□</w:t>
            </w:r>
            <w:r>
              <w:rPr>
                <w:rFonts w:hint="eastAsia"/>
              </w:rPr>
              <w:t>网站■标语■展板■其他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rPr>
              <w:t>■使用管理措施，包括培训；</w:t>
            </w:r>
          </w:p>
          <w:p>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顾客的职业健康安全要求为：■应急预案</w:t>
            </w:r>
            <w:r>
              <w:rPr>
                <w:rFonts w:hint="eastAsia" w:ascii="Wingdings" w:hAnsi="Wingdings"/>
                <w:lang w:eastAsia="zh-CN"/>
              </w:rPr>
              <w:t>□</w:t>
            </w:r>
            <w:r>
              <w:rPr>
                <w:rFonts w:hint="eastAsia"/>
              </w:rPr>
              <w:t>MSDS■OHSMS认证证书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控制方式：■合同约定</w:t>
            </w:r>
            <w:r>
              <w:rPr>
                <w:rFonts w:hint="eastAsia" w:ascii="Wingdings" w:hAnsi="Wingdings"/>
                <w:lang w:eastAsia="zh-CN"/>
              </w:rPr>
              <w:t>□</w:t>
            </w:r>
            <w:r>
              <w:rPr>
                <w:rFonts w:hint="eastAsia"/>
              </w:rPr>
              <w:t>危害告知■现场检查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w:t>
                  </w:r>
                  <w:r>
                    <w:rPr>
                      <w:rFonts w:hint="eastAsia"/>
                    </w:rPr>
                    <w:sym w:font="Wingdings 2" w:char="00A3"/>
                  </w:r>
                  <w:r>
                    <w:rPr>
                      <w:rFonts w:hint="eastAsia"/>
                    </w:rPr>
                    <w:t>绝缘用具检测</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制定应急预案</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highlight w:val="red"/>
                <w:u w:val="single"/>
              </w:rPr>
            </w:pPr>
            <w:r>
              <w:rPr>
                <w:rFonts w:hint="eastAsia"/>
                <w:highlight w:val="red"/>
              </w:rPr>
              <w:t>特种设备管理：</w:t>
            </w:r>
            <w:r>
              <w:rPr>
                <w:rFonts w:hint="eastAsia" w:ascii="Wingdings" w:hAnsi="Wingdings"/>
                <w:highlight w:val="red"/>
                <w:lang w:eastAsia="zh-CN"/>
              </w:rPr>
              <w:t>□</w:t>
            </w:r>
            <w:r>
              <w:rPr>
                <w:rFonts w:hint="eastAsia"/>
                <w:highlight w:val="red"/>
              </w:rPr>
              <w:t>进行了定期检验</w:t>
            </w:r>
            <w:r>
              <w:rPr>
                <w:rFonts w:hint="eastAsia" w:ascii="Wingdings" w:hAnsi="Wingdings"/>
                <w:highlight w:val="red"/>
                <w:lang w:eastAsia="zh-CN"/>
              </w:rPr>
              <w:t>□</w:t>
            </w:r>
            <w:r>
              <w:rPr>
                <w:rFonts w:hint="eastAsia"/>
                <w:highlight w:val="red"/>
              </w:rPr>
              <w:t>未进行定期检验的有：</w:t>
            </w:r>
          </w:p>
          <w:p>
            <w:r>
              <w:rPr>
                <w:rFonts w:hint="eastAsia"/>
                <w:highlight w:val="red"/>
              </w:rPr>
              <w:t>特种设备检测报告，</w:t>
            </w:r>
            <w:r>
              <w:rPr>
                <w:rFonts w:hint="eastAsia"/>
              </w:rPr>
              <w:t>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危害告知标牌■其他</w:t>
            </w:r>
          </w:p>
          <w:p>
            <w:pPr>
              <w:jc w:val="left"/>
            </w:pPr>
            <w:r>
              <w:rPr>
                <w:rFonts w:hint="eastAsia"/>
              </w:rPr>
              <w:t>可追溯性实现：■符合要求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停水停电■其他</w:t>
            </w:r>
          </w:p>
          <w:p>
            <w:r>
              <w:rPr>
                <w:rFonts w:hint="eastAsia"/>
              </w:rPr>
              <w:t>审核周期内发生过紧急情况：■未发生</w:t>
            </w:r>
            <w:r>
              <w:rPr>
                <w:rFonts w:hint="eastAsia" w:ascii="Wingdings" w:hAnsi="Wingdings"/>
                <w:lang w:eastAsia="zh-CN"/>
              </w:rPr>
              <w:t>□</w:t>
            </w:r>
            <w:r>
              <w:rPr>
                <w:rFonts w:hint="eastAsia"/>
              </w:rPr>
              <w:t>已发生：。</w:t>
            </w:r>
          </w:p>
          <w:p/>
          <w:p>
            <w:r>
              <w:rPr>
                <w:rFonts w:hint="eastAsia"/>
              </w:rPr>
              <w:t>于年月日进行了的演练；并总结了预案的可行性和有效性。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pPr>
              <w:rPr>
                <w:highlight w:val="none"/>
              </w:rPr>
            </w:pPr>
            <w:r>
              <w:rPr>
                <w:rFonts w:hint="eastAsia"/>
              </w:rPr>
              <w:t>实施合规性</w:t>
            </w:r>
            <w:r>
              <w:rPr>
                <w:rFonts w:hint="eastAsia"/>
                <w:highlight w:val="none"/>
              </w:rPr>
              <w:t>评价的时间：</w:t>
            </w:r>
          </w:p>
          <w:p>
            <w:pPr>
              <w:rPr>
                <w:highlight w:val="none"/>
              </w:rPr>
            </w:pPr>
            <w:r>
              <w:rPr>
                <w:rFonts w:hint="eastAsia"/>
                <w:highlight w:val="none"/>
              </w:rPr>
              <w:t>■定期（每年）：</w:t>
            </w:r>
            <w:r>
              <w:rPr>
                <w:rFonts w:hint="eastAsia"/>
                <w:highlight w:val="none"/>
                <w:lang w:val="en-US" w:eastAsia="zh-CN"/>
              </w:rPr>
              <w:t>2022</w:t>
            </w:r>
            <w:r>
              <w:rPr>
                <w:rFonts w:hint="eastAsia"/>
                <w:highlight w:val="none"/>
              </w:rPr>
              <w:t>年</w:t>
            </w:r>
            <w:r>
              <w:rPr>
                <w:rFonts w:hint="eastAsia"/>
                <w:highlight w:val="none"/>
                <w:lang w:val="en-US" w:eastAsia="zh-CN"/>
              </w:rPr>
              <w:t>9</w:t>
            </w:r>
            <w:r>
              <w:rPr>
                <w:rFonts w:hint="eastAsia"/>
                <w:highlight w:val="none"/>
              </w:rPr>
              <w:t>月</w:t>
            </w:r>
            <w:r>
              <w:rPr>
                <w:rFonts w:hint="eastAsia"/>
                <w:highlight w:val="none"/>
                <w:lang w:val="en-US" w:eastAsia="zh-CN"/>
              </w:rPr>
              <w:t>14</w:t>
            </w:r>
            <w:r>
              <w:rPr>
                <w:rFonts w:hint="eastAsia"/>
                <w:highlight w:val="none"/>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离职■在职（定期）</w:t>
            </w:r>
          </w:p>
          <w:p>
            <w:r>
              <w:rPr>
                <w:rFonts w:hint="eastAsia"/>
              </w:rPr>
              <w:t>《职业病体检》编号：</w:t>
            </w:r>
            <w:r>
              <w:rPr>
                <w:rFonts w:hint="eastAsia"/>
                <w:lang w:val="en-US" w:eastAsia="zh-CN"/>
              </w:rPr>
              <w:t>见附件</w:t>
            </w:r>
            <w:r>
              <w:rPr>
                <w:rFonts w:hint="eastAsia"/>
              </w:rPr>
              <w:t>。</w:t>
            </w:r>
          </w:p>
          <w:p>
            <w:r>
              <w:rPr>
                <w:rFonts w:hint="eastAsia"/>
              </w:rPr>
              <w:t>《建筑消防检测报告》编号：。</w:t>
            </w:r>
          </w:p>
          <w:p>
            <w:r>
              <w:rPr>
                <w:rFonts w:hint="eastAsia"/>
              </w:rPr>
              <w:t>《防雷检测报告》编号：。</w:t>
            </w:r>
          </w:p>
          <w:p>
            <w:r>
              <w:rPr>
                <w:rFonts w:hint="eastAsia"/>
              </w:rPr>
              <w:t>达标评价：■符合要求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highlight w:val="none"/>
                <w:lang w:val="en-US" w:eastAsia="zh-CN"/>
              </w:rPr>
              <w:t>2022</w:t>
            </w:r>
            <w:r>
              <w:rPr>
                <w:rFonts w:hint="eastAsia"/>
                <w:highlight w:val="none"/>
              </w:rPr>
              <w:t>年</w:t>
            </w:r>
            <w:r>
              <w:rPr>
                <w:rFonts w:hint="eastAsia"/>
                <w:highlight w:val="none"/>
                <w:lang w:val="en-US" w:eastAsia="zh-CN"/>
              </w:rPr>
              <w:t>10</w:t>
            </w:r>
            <w:r>
              <w:rPr>
                <w:rFonts w:hint="eastAsia"/>
                <w:highlight w:val="none"/>
              </w:rPr>
              <w:t>月</w:t>
            </w:r>
            <w:r>
              <w:rPr>
                <w:rFonts w:hint="eastAsia"/>
                <w:highlight w:val="none"/>
                <w:lang w:val="en-US" w:eastAsia="zh-CN"/>
              </w:rPr>
              <w:t>17-18</w:t>
            </w:r>
            <w:r>
              <w:rPr>
                <w:rFonts w:hint="eastAsia"/>
                <w:highlight w:val="none"/>
              </w:rPr>
              <w:t>日实施了职业健康安全管理体系内部审核，对职业健康安全管理体系的符合性和有效性进行了审核。内审发现的项不符合在本次审核前已完成整改。在公司内完成的这些审核是可信的。</w:t>
            </w:r>
          </w:p>
          <w:p>
            <w:pPr>
              <w:rPr>
                <w:highlight w:val="none"/>
              </w:rPr>
            </w:pPr>
          </w:p>
          <w:p>
            <w:pPr>
              <w:rPr>
                <w:highlight w:val="none"/>
              </w:rPr>
            </w:pPr>
            <w:r>
              <w:rPr>
                <w:rFonts w:hint="eastAsia"/>
                <w:highlight w:val="none"/>
              </w:rPr>
              <w:t>若是组织多场所/临时场所：（按照组织的实际情况选择）</w:t>
            </w:r>
          </w:p>
          <w:p>
            <w:pPr>
              <w:rPr>
                <w:highlight w:val="none"/>
              </w:rPr>
            </w:pPr>
            <w:r>
              <w:rPr>
                <w:rFonts w:hint="eastAsia" w:ascii="Wingdings" w:hAnsi="Wingdings"/>
                <w:highlight w:val="none"/>
                <w:lang w:eastAsia="zh-CN"/>
              </w:rPr>
              <w:t>□</w:t>
            </w:r>
            <w:r>
              <w:rPr>
                <w:rFonts w:hint="eastAsia"/>
                <w:highlight w:val="none"/>
              </w:rPr>
              <w:t>内审贯穿了多场所/临时现场，内审的验证结论是正面的。管理者代表相应的职权覆盖了所有的场所。）</w:t>
            </w:r>
          </w:p>
          <w:p>
            <w:pPr>
              <w:rPr>
                <w:highlight w:val="none"/>
              </w:rPr>
            </w:pPr>
          </w:p>
          <w:p>
            <w:pPr>
              <w:rPr>
                <w:highlight w:val="none"/>
              </w:rPr>
            </w:pPr>
            <w:r>
              <w:rPr>
                <w:rFonts w:hint="eastAsia"/>
                <w:highlight w:val="none"/>
              </w:rPr>
              <w:t>若是多班次操作：（按照组织的实际情况选择）</w:t>
            </w:r>
          </w:p>
          <w:p>
            <w:pPr>
              <w:rPr>
                <w:highlight w:val="none"/>
              </w:rPr>
            </w:pPr>
            <w:r>
              <w:rPr>
                <w:rFonts w:hint="eastAsia" w:ascii="Wingdings" w:hAnsi="Wingdings"/>
                <w:highlight w:val="none"/>
                <w:lang w:eastAsia="zh-CN"/>
              </w:rPr>
              <w:t>□</w:t>
            </w:r>
            <w:r>
              <w:rPr>
                <w:rFonts w:hint="eastAsia"/>
                <w:highlight w:val="none"/>
              </w:rPr>
              <w:t>对所有班次的现场操作已审核。</w:t>
            </w:r>
          </w:p>
          <w:p>
            <w:pPr>
              <w:rPr>
                <w:highlight w:val="none"/>
              </w:rPr>
            </w:pPr>
            <w:r>
              <w:rPr>
                <w:rFonts w:hint="eastAsia"/>
                <w:highlight w:val="none"/>
              </w:rPr>
              <w:t>■未对所有班次的现场都进行审核，只审核了日班的现场操作，并且有代表性地审核了所有班次的运行记录。</w:t>
            </w:r>
          </w:p>
          <w:p>
            <w:pPr>
              <w:rPr>
                <w:highlight w:val="none"/>
              </w:rPr>
            </w:pPr>
            <w:r>
              <w:rPr>
                <w:rFonts w:hint="eastAsia"/>
                <w:highlight w:val="none"/>
              </w:rPr>
              <w:t>组织将内部审核的结果的信息沟通给：■相关的工作人员■员工代表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最高管理者已按策划的时间间隔，在</w:t>
            </w:r>
            <w:r>
              <w:rPr>
                <w:rFonts w:hint="eastAsia"/>
                <w:highlight w:val="none"/>
                <w:lang w:val="en-US" w:eastAsia="zh-CN"/>
              </w:rPr>
              <w:t>2022</w:t>
            </w:r>
            <w:r>
              <w:rPr>
                <w:rFonts w:hint="eastAsia"/>
                <w:highlight w:val="none"/>
              </w:rPr>
              <w:t>年</w:t>
            </w:r>
            <w:r>
              <w:rPr>
                <w:rFonts w:hint="eastAsia"/>
                <w:highlight w:val="none"/>
                <w:lang w:val="en-US" w:eastAsia="zh-CN"/>
              </w:rPr>
              <w:t>10</w:t>
            </w:r>
            <w:r>
              <w:rPr>
                <w:rFonts w:hint="eastAsia"/>
                <w:highlight w:val="none"/>
              </w:rPr>
              <w:t>月</w:t>
            </w:r>
            <w:r>
              <w:rPr>
                <w:rFonts w:hint="eastAsia"/>
                <w:highlight w:val="none"/>
                <w:lang w:val="en-US" w:eastAsia="zh-CN"/>
              </w:rPr>
              <w:t>26</w:t>
            </w:r>
            <w:r>
              <w:rPr>
                <w:rFonts w:hint="eastAsia"/>
                <w:highlight w:val="none"/>
              </w:rPr>
              <w:t>日对组织的职业健康安全管理体系进行了评审，以确保其持续的适宜性、充分性和有效性；管理评审输入、输出均按要求提供。并对提出的改进措施进行了落实。</w:t>
            </w:r>
          </w:p>
          <w:p>
            <w:pPr>
              <w:rPr>
                <w:highlight w:val="none"/>
              </w:rPr>
            </w:pPr>
          </w:p>
          <w:p>
            <w:pPr>
              <w:rPr>
                <w:highlight w:val="none"/>
              </w:rPr>
            </w:pPr>
            <w:r>
              <w:rPr>
                <w:rFonts w:hint="eastAsia"/>
                <w:highlight w:val="none"/>
              </w:rPr>
              <w:t>组织将管理评审的改进措施的信息沟通给：■相关的工作人员■员工代表■其他相关方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746" w:hRule="atLeast"/>
        </w:trPr>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工伤事件■职业病体检</w:t>
            </w:r>
            <w:r>
              <w:rPr>
                <w:rFonts w:hint="eastAsia" w:ascii="Wingdings" w:hAnsi="Wingdings"/>
                <w:lang w:eastAsia="zh-CN"/>
              </w:rPr>
              <w:t>□</w:t>
            </w:r>
            <w:r>
              <w:rPr>
                <w:rFonts w:hint="eastAsia"/>
              </w:rPr>
              <w:t>危化品泄露■火灾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10"/>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pStyle w:val="2"/>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7"/>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67D643"/>
    <w:multiLevelType w:val="singleLevel"/>
    <w:tmpl w:val="E267D643"/>
    <w:lvl w:ilvl="0" w:tentative="0">
      <w:start w:val="1"/>
      <w:numFmt w:val="decimal"/>
      <w:suff w:val="nothing"/>
      <w:lvlText w:val="%1、"/>
      <w:lvlJc w:val="left"/>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JhN2U4Y2Q5MGE2Mzc1MDlkNDVmNzZkYmRlMTYyYjcifQ=="/>
  </w:docVars>
  <w:rsids>
    <w:rsidRoot w:val="00000000"/>
    <w:rsid w:val="02D14865"/>
    <w:rsid w:val="0BDC0CB8"/>
    <w:rsid w:val="1D602654"/>
    <w:rsid w:val="2E0C2534"/>
    <w:rsid w:val="3F0A267C"/>
    <w:rsid w:val="43781824"/>
    <w:rsid w:val="625B04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next w:val="4"/>
    <w:qFormat/>
    <w:uiPriority w:val="0"/>
    <w:rPr>
      <w:b/>
      <w:bCs/>
      <w:sz w:val="30"/>
    </w:rPr>
  </w:style>
  <w:style w:type="paragraph" w:customStyle="1" w:styleId="4">
    <w:name w:val="Default"/>
    <w:qFormat/>
    <w:uiPriority w:val="0"/>
    <w:pPr>
      <w:widowControl w:val="0"/>
      <w:autoSpaceDE w:val="0"/>
      <w:autoSpaceDN w:val="0"/>
      <w:adjustRightInd w:val="0"/>
    </w:pPr>
    <w:rPr>
      <w:rFonts w:ascii="Calibri" w:hAnsi="Calibri" w:eastAsia="Calibri" w:cs="Times New Roman"/>
      <w:color w:val="000000"/>
      <w:sz w:val="24"/>
      <w:szCs w:val="24"/>
      <w:lang w:val="en-US" w:eastAsia="zh-CN" w:bidi="ar-SA"/>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LIL</cp:lastModifiedBy>
  <cp:lastPrinted>2019-05-13T03:19:00Z</cp:lastPrinted>
  <dcterms:modified xsi:type="dcterms:W3CDTF">2022-12-22T13:10:15Z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2052-11.1.0.12980</vt:lpwstr>
  </property>
</Properties>
</file>