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6DBC4" w14:textId="77777777" w:rsidR="00BD7F17" w:rsidRDefault="00000000">
      <w:pPr>
        <w:wordWrap w:val="0"/>
        <w:jc w:val="center"/>
        <w:rPr>
          <w:b/>
          <w:sz w:val="30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</w:t>
      </w: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rFonts w:hint="eastAsia"/>
          <w:szCs w:val="21"/>
          <w:u w:val="single"/>
        </w:rPr>
        <w:t>0225-2019-2022</w:t>
      </w:r>
      <w:bookmarkEnd w:id="0"/>
    </w:p>
    <w:p w14:paraId="2CA999D0" w14:textId="77777777" w:rsidR="00BD7F17" w:rsidRDefault="00BD7F17">
      <w:pPr>
        <w:ind w:rightChars="191" w:right="401"/>
        <w:jc w:val="right"/>
        <w:rPr>
          <w:rFonts w:ascii="宋体" w:hAnsi="宋体"/>
          <w:sz w:val="18"/>
          <w:u w:val="single"/>
        </w:rPr>
      </w:pPr>
    </w:p>
    <w:p w14:paraId="017E8F77" w14:textId="77777777" w:rsidR="00BD7F17" w:rsidRDefault="0000000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审核员</w:t>
      </w:r>
      <w:r>
        <w:rPr>
          <w:rFonts w:ascii="宋体" w:hAnsi="宋体" w:hint="eastAsia"/>
          <w:b/>
          <w:sz w:val="30"/>
          <w:szCs w:val="30"/>
        </w:rPr>
        <w:t>现场监督审核记录(二)</w:t>
      </w:r>
    </w:p>
    <w:p w14:paraId="6F5285F8" w14:textId="77777777" w:rsidR="00BD7F17" w:rsidRDefault="00000000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企业名称：</w:t>
      </w:r>
      <w:r>
        <w:rPr>
          <w:rFonts w:hint="eastAsia"/>
          <w:sz w:val="24"/>
          <w:szCs w:val="24"/>
          <w:u w:val="single"/>
        </w:rPr>
        <w:t>南通海</w:t>
      </w:r>
      <w:proofErr w:type="gramStart"/>
      <w:r>
        <w:rPr>
          <w:rFonts w:hint="eastAsia"/>
          <w:sz w:val="24"/>
          <w:szCs w:val="24"/>
          <w:u w:val="single"/>
        </w:rPr>
        <w:t>鑫</w:t>
      </w:r>
      <w:proofErr w:type="gramEnd"/>
      <w:r>
        <w:rPr>
          <w:rFonts w:hint="eastAsia"/>
          <w:sz w:val="24"/>
          <w:szCs w:val="24"/>
          <w:u w:val="single"/>
        </w:rPr>
        <w:t>建材有限公司</w:t>
      </w:r>
    </w:p>
    <w:p w14:paraId="4BEA6EB5" w14:textId="77777777" w:rsidR="00BD7F17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审核员：周庆明</w:t>
      </w:r>
      <w:r>
        <w:rPr>
          <w:rFonts w:hint="eastAsia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93"/>
        <w:gridCol w:w="1311"/>
        <w:gridCol w:w="3659"/>
        <w:gridCol w:w="1163"/>
        <w:gridCol w:w="1256"/>
      </w:tblGrid>
      <w:tr w:rsidR="00BD7F17" w14:paraId="05580FFD" w14:textId="77777777">
        <w:trPr>
          <w:trHeight w:val="649"/>
          <w:jc w:val="center"/>
        </w:trPr>
        <w:tc>
          <w:tcPr>
            <w:tcW w:w="656" w:type="dxa"/>
            <w:vAlign w:val="center"/>
          </w:tcPr>
          <w:p w14:paraId="7BA6059E" w14:textId="77777777" w:rsidR="00BD7F17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93" w:type="dxa"/>
            <w:vAlign w:val="center"/>
          </w:tcPr>
          <w:p w14:paraId="2B3285DF" w14:textId="77777777" w:rsidR="00BD7F17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4C467F12" w14:textId="77777777" w:rsidR="00BD7F17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11" w:type="dxa"/>
            <w:vAlign w:val="center"/>
          </w:tcPr>
          <w:p w14:paraId="4785C52F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71EA6846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59" w:type="dxa"/>
            <w:vAlign w:val="center"/>
          </w:tcPr>
          <w:p w14:paraId="48AF3B37" w14:textId="77777777" w:rsidR="00BD7F17" w:rsidRDefault="00000000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63" w:type="dxa"/>
            <w:vAlign w:val="center"/>
          </w:tcPr>
          <w:p w14:paraId="057F9B81" w14:textId="77777777" w:rsidR="00BD7F1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0B7D5445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56" w:type="dxa"/>
            <w:vAlign w:val="center"/>
          </w:tcPr>
          <w:p w14:paraId="62169B94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185B65AB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BD7F17" w14:paraId="1A67BB4C" w14:textId="77777777">
        <w:trPr>
          <w:trHeight w:val="90"/>
          <w:jc w:val="center"/>
        </w:trPr>
        <w:tc>
          <w:tcPr>
            <w:tcW w:w="656" w:type="dxa"/>
            <w:vAlign w:val="center"/>
          </w:tcPr>
          <w:p w14:paraId="1E6A1F99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14:paraId="684AFD62" w14:textId="77777777" w:rsidR="00BD7F1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1FE77969" w14:textId="77777777" w:rsidR="00BD7F1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是否有计量确认状态标识？</w:t>
            </w:r>
          </w:p>
          <w:p w14:paraId="0E297EB3" w14:textId="77777777" w:rsidR="00BD7F1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68EE4C6D" w14:textId="77777777" w:rsidR="00BD7F1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一致。 </w:t>
            </w:r>
          </w:p>
          <w:p w14:paraId="18F6E2AB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2627144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25A031EB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0DA7D3A6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6.3.1测量设备</w:t>
            </w:r>
          </w:p>
          <w:p w14:paraId="7A6F4185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193190B1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659" w:type="dxa"/>
            <w:vAlign w:val="center"/>
          </w:tcPr>
          <w:p w14:paraId="1D889611" w14:textId="77777777" w:rsidR="00BD7F1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现场审核中公司</w:t>
            </w:r>
            <w:r>
              <w:rPr>
                <w:rFonts w:ascii="宋体" w:hAnsi="宋体"/>
                <w:szCs w:val="21"/>
              </w:rPr>
              <w:t>生产</w:t>
            </w:r>
            <w:r>
              <w:rPr>
                <w:rFonts w:ascii="宋体" w:hAnsi="宋体" w:hint="eastAsia"/>
                <w:szCs w:val="21"/>
              </w:rPr>
              <w:t>部提供了测量设备溯源证书。</w:t>
            </w:r>
          </w:p>
          <w:p w14:paraId="1BF1D3C2" w14:textId="77777777" w:rsidR="00BD7F1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压力表</w:t>
            </w:r>
            <w:r>
              <w:rPr>
                <w:rFonts w:ascii="宋体" w:hAnsi="宋体" w:hint="eastAsia"/>
                <w:szCs w:val="21"/>
              </w:rPr>
              <w:t>，测量设备编号：</w:t>
            </w:r>
            <w:r>
              <w:rPr>
                <w:rFonts w:ascii="宋体" w:hAnsi="宋体" w:cs="宋体" w:hint="eastAsia"/>
                <w:w w:val="80"/>
                <w:szCs w:val="21"/>
              </w:rPr>
              <w:t>1083397</w:t>
            </w:r>
            <w:r>
              <w:rPr>
                <w:rFonts w:ascii="宋体" w:hAnsi="宋体" w:hint="eastAsia"/>
                <w:szCs w:val="21"/>
              </w:rPr>
              <w:t>，规格型号：</w:t>
            </w:r>
            <w:r>
              <w:rPr>
                <w:rFonts w:ascii="宋体" w:hAnsi="宋体" w:cs="宋体" w:hint="eastAsia"/>
                <w:w w:val="80"/>
                <w:szCs w:val="21"/>
              </w:rPr>
              <w:t>Y-100</w:t>
            </w:r>
            <w:r>
              <w:rPr>
                <w:rFonts w:ascii="宋体" w:hAnsi="宋体" w:hint="eastAsia"/>
                <w:szCs w:val="21"/>
              </w:rPr>
              <w:t>，校准日期：2022年11月09日，证书编号：Y22080578，校准单位：如东县综合检验检测中心。</w:t>
            </w:r>
          </w:p>
          <w:p w14:paraId="27557B31" w14:textId="77777777" w:rsidR="00BD7F1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电子天平</w:t>
            </w:r>
            <w:r>
              <w:rPr>
                <w:rFonts w:ascii="宋体" w:hAnsi="宋体" w:hint="eastAsia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w w:val="80"/>
                <w:szCs w:val="21"/>
              </w:rPr>
              <w:t>450164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器具编号为</w:t>
            </w:r>
            <w:r>
              <w:rPr>
                <w:rFonts w:ascii="宋体" w:hAnsi="宋体" w:cs="宋体" w:hint="eastAsia"/>
                <w:w w:val="80"/>
                <w:szCs w:val="21"/>
              </w:rPr>
              <w:t>JE203</w:t>
            </w:r>
            <w:r>
              <w:rPr>
                <w:rFonts w:ascii="宋体" w:hAnsi="宋体" w:hint="eastAsia"/>
                <w:szCs w:val="21"/>
              </w:rPr>
              <w:t>， 校准日期2022年04月9日，证书编号：T22035116，校准单位：如东县综合检验检测中心。</w:t>
            </w:r>
          </w:p>
          <w:p w14:paraId="1563C5BE" w14:textId="77777777" w:rsidR="00BD7F1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温湿度表</w:t>
            </w:r>
            <w:r>
              <w:rPr>
                <w:rFonts w:ascii="宋体" w:hAnsi="宋体" w:hint="eastAsia"/>
                <w:szCs w:val="21"/>
              </w:rPr>
              <w:t>，规格型号</w:t>
            </w:r>
            <w:r>
              <w:rPr>
                <w:rFonts w:ascii="宋体" w:hAnsi="宋体" w:cs="宋体" w:hint="eastAsia"/>
                <w:w w:val="80"/>
                <w:szCs w:val="21"/>
              </w:rPr>
              <w:t>91001</w:t>
            </w:r>
            <w:r>
              <w:rPr>
                <w:rFonts w:ascii="宋体" w:hAnsi="宋体" w:hint="eastAsia"/>
                <w:szCs w:val="21"/>
              </w:rPr>
              <w:t xml:space="preserve"> 设备编号：</w:t>
            </w:r>
            <w:r>
              <w:rPr>
                <w:rFonts w:ascii="宋体" w:hAnsi="宋体" w:cs="宋体" w:hint="eastAsia"/>
                <w:w w:val="80"/>
                <w:szCs w:val="21"/>
              </w:rPr>
              <w:t>WSB-A1</w:t>
            </w:r>
            <w:r>
              <w:rPr>
                <w:rFonts w:ascii="宋体" w:hAnsi="宋体" w:hint="eastAsia"/>
                <w:szCs w:val="21"/>
              </w:rPr>
              <w:t>，证书编号：第R22035125，校准日期2022年04月9日，校准单位：如东县综合检验检测中心。</w:t>
            </w:r>
          </w:p>
          <w:p w14:paraId="2FA5D3AE" w14:textId="77777777" w:rsidR="00BD7F1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电热鼓风干燥箱</w:t>
            </w:r>
            <w:r>
              <w:rPr>
                <w:rFonts w:ascii="宋体" w:hAnsi="宋体" w:hint="eastAsia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w w:val="80"/>
                <w:szCs w:val="21"/>
              </w:rPr>
              <w:t>8870</w:t>
            </w:r>
            <w:r>
              <w:rPr>
                <w:rFonts w:ascii="宋体" w:hAnsi="宋体" w:hint="eastAsia"/>
                <w:szCs w:val="21"/>
              </w:rPr>
              <w:t>，器具编号</w:t>
            </w:r>
            <w:r>
              <w:rPr>
                <w:rFonts w:ascii="宋体" w:hAnsi="宋体" w:cs="宋体" w:hint="eastAsia"/>
                <w:w w:val="80"/>
                <w:szCs w:val="21"/>
              </w:rPr>
              <w:t>101-2</w:t>
            </w:r>
            <w:r>
              <w:rPr>
                <w:rFonts w:ascii="宋体" w:hAnsi="宋体" w:hint="eastAsia"/>
                <w:szCs w:val="21"/>
              </w:rPr>
              <w:t>，校准日期2022年04月9日，证书编号：第T22035127，校准单位：如东县综合检验检测中心。</w:t>
            </w:r>
          </w:p>
          <w:p w14:paraId="07B682E5" w14:textId="2EE3C31C" w:rsidR="00BD7F1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压力试验机</w:t>
            </w:r>
            <w:r>
              <w:rPr>
                <w:rFonts w:ascii="宋体" w:hAnsi="宋体" w:hint="eastAsia"/>
                <w:szCs w:val="21"/>
              </w:rPr>
              <w:t>；规格型号：</w:t>
            </w:r>
            <w:r>
              <w:rPr>
                <w:rFonts w:ascii="宋体" w:hAnsi="宋体" w:cs="宋体" w:hint="eastAsia"/>
                <w:w w:val="80"/>
                <w:szCs w:val="21"/>
              </w:rPr>
              <w:t>YE-300B</w:t>
            </w:r>
            <w:r>
              <w:rPr>
                <w:rFonts w:ascii="宋体" w:hAnsi="宋体" w:hint="eastAsia"/>
                <w:szCs w:val="21"/>
              </w:rPr>
              <w:t>，器具编号：</w:t>
            </w:r>
            <w:r>
              <w:rPr>
                <w:rFonts w:ascii="宋体" w:hAnsi="宋体" w:cs="宋体" w:hint="eastAsia"/>
                <w:w w:val="80"/>
                <w:szCs w:val="21"/>
              </w:rPr>
              <w:t>116T</w:t>
            </w:r>
            <w:r>
              <w:rPr>
                <w:rFonts w:ascii="宋体" w:hAnsi="宋体" w:hint="eastAsia"/>
                <w:szCs w:val="21"/>
              </w:rPr>
              <w:t>，校准日期：2022年04月9日，证书编号：第T22035127号校准单位：如东县综合检验检测中心</w:t>
            </w:r>
            <w:r w:rsidR="007F2E7F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现场审核中均已确认了生产现场及</w:t>
            </w:r>
            <w:r w:rsidR="007F2E7F">
              <w:rPr>
                <w:rFonts w:ascii="宋体" w:hAnsi="宋体" w:hint="eastAsia"/>
                <w:szCs w:val="21"/>
              </w:rPr>
              <w:t>化验</w:t>
            </w:r>
            <w:r>
              <w:rPr>
                <w:rFonts w:ascii="宋体" w:hAnsi="宋体" w:hint="eastAsia"/>
                <w:szCs w:val="21"/>
              </w:rPr>
              <w:t>室计量器具溯源、计量确认合格标识相关信息与台账一致。</w:t>
            </w:r>
          </w:p>
          <w:p w14:paraId="7FC84602" w14:textId="7841AD4D" w:rsidR="00BD7F1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生产现场与产品</w:t>
            </w:r>
            <w:r w:rsidR="007F2E7F">
              <w:rPr>
                <w:rFonts w:ascii="宋体" w:hAnsi="宋体" w:hint="eastAsia"/>
                <w:szCs w:val="21"/>
              </w:rPr>
              <w:t>化验</w:t>
            </w:r>
            <w:r>
              <w:rPr>
                <w:rFonts w:ascii="宋体" w:hAnsi="宋体" w:hint="eastAsia"/>
                <w:szCs w:val="21"/>
              </w:rPr>
              <w:t>室有环境条件的监控设备，满足检测要求。</w:t>
            </w:r>
          </w:p>
          <w:p w14:paraId="4132AB1F" w14:textId="77777777" w:rsidR="00BD7F1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详见《测量设备溯源抽查表》。</w:t>
            </w:r>
          </w:p>
        </w:tc>
        <w:tc>
          <w:tcPr>
            <w:tcW w:w="1163" w:type="dxa"/>
            <w:vAlign w:val="center"/>
          </w:tcPr>
          <w:p w14:paraId="4FDB896B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化验室</w:t>
            </w:r>
          </w:p>
          <w:p w14:paraId="3433C0D0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生产部</w:t>
            </w:r>
          </w:p>
          <w:p w14:paraId="4078B777" w14:textId="77777777" w:rsidR="00BD7F17" w:rsidRDefault="00000000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（生产车间）</w:t>
            </w:r>
          </w:p>
          <w:p w14:paraId="72232A24" w14:textId="77777777" w:rsidR="00BD7F17" w:rsidRDefault="00BD7F17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4A14A615" w14:textId="77777777" w:rsidR="00BD7F17" w:rsidRDefault="00BD7F17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153448FA" w14:textId="77777777" w:rsidR="00BD7F1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11E04E07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51E26A7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0BDB2C7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8805B88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F441EB7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35B0FB2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77608DE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263EE106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54B7BBE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BD71CB0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6745EA9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9604141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CB41582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3A9ED3A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8FE8B1C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82B7E1F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7925A02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493C430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33DA2786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32B2176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8AF8748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40E59FB6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442CD8B1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0781D466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ABDF538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0475269C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D56EA2B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A622FA4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3CA6D04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7C4DC0A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63A3E34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371312C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8784E7B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</w:tr>
      <w:tr w:rsidR="00BD7F17" w14:paraId="7363A311" w14:textId="77777777">
        <w:trPr>
          <w:trHeight w:val="2810"/>
          <w:jc w:val="center"/>
        </w:trPr>
        <w:tc>
          <w:tcPr>
            <w:tcW w:w="656" w:type="dxa"/>
            <w:vAlign w:val="center"/>
          </w:tcPr>
          <w:p w14:paraId="18891AB1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793" w:type="dxa"/>
            <w:vAlign w:val="center"/>
          </w:tcPr>
          <w:p w14:paraId="5ED1C819" w14:textId="77777777" w:rsidR="00BD7F17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企业对提供测量设备和辅助材料、消耗性材料和提供服务的外部供方如何识别、选择、评价和监视？</w:t>
            </w:r>
          </w:p>
        </w:tc>
        <w:tc>
          <w:tcPr>
            <w:tcW w:w="1311" w:type="dxa"/>
            <w:vAlign w:val="center"/>
          </w:tcPr>
          <w:p w14:paraId="30F65215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6.4</w:t>
            </w:r>
          </w:p>
          <w:p w14:paraId="74B7B1CA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外部供方</w:t>
            </w:r>
          </w:p>
        </w:tc>
        <w:tc>
          <w:tcPr>
            <w:tcW w:w="3659" w:type="dxa"/>
            <w:vAlign w:val="center"/>
          </w:tcPr>
          <w:p w14:paraId="462C7B22" w14:textId="77777777" w:rsidR="00BD7F17" w:rsidRDefault="00000000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企业编制了HXJC/MP-11-2019《外部供方管理程序》规定了经营部统一负责外部供方管理工作。</w:t>
            </w:r>
          </w:p>
          <w:p w14:paraId="337C9ECB" w14:textId="77777777" w:rsidR="00BD7F17" w:rsidRDefault="00000000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</w:t>
            </w:r>
            <w:r>
              <w:rPr>
                <w:rFonts w:ascii="宋体" w:hAnsi="宋体"/>
                <w:szCs w:val="21"/>
              </w:rPr>
              <w:t>供方</w:t>
            </w:r>
            <w:r>
              <w:rPr>
                <w:rFonts w:ascii="宋体" w:hAnsi="宋体" w:hint="eastAsia"/>
                <w:szCs w:val="21"/>
              </w:rPr>
              <w:t>评价记录》及合格供方清单,对如东县综合检验检测中心进行了评价并且有合格供方资质，</w:t>
            </w:r>
            <w:r>
              <w:rPr>
                <w:rFonts w:ascii="宋体" w:hAnsi="宋体" w:cs="宋体" w:hint="eastAsia"/>
                <w:szCs w:val="21"/>
              </w:rPr>
              <w:t>服务资质均在有效期内，</w:t>
            </w:r>
            <w:r>
              <w:rPr>
                <w:rFonts w:ascii="宋体" w:hAnsi="宋体" w:hint="eastAsia"/>
                <w:szCs w:val="21"/>
              </w:rPr>
              <w:t>符合要求。</w:t>
            </w:r>
          </w:p>
        </w:tc>
        <w:tc>
          <w:tcPr>
            <w:tcW w:w="1163" w:type="dxa"/>
            <w:vAlign w:val="center"/>
          </w:tcPr>
          <w:p w14:paraId="4EE4AA9C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256" w:type="dxa"/>
            <w:vAlign w:val="center"/>
          </w:tcPr>
          <w:p w14:paraId="35720CD9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BD7F17" w14:paraId="6981978C" w14:textId="77777777">
        <w:trPr>
          <w:trHeight w:val="5937"/>
          <w:jc w:val="center"/>
        </w:trPr>
        <w:tc>
          <w:tcPr>
            <w:tcW w:w="656" w:type="dxa"/>
            <w:vAlign w:val="center"/>
          </w:tcPr>
          <w:p w14:paraId="5073B2E5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93" w:type="dxa"/>
            <w:vAlign w:val="center"/>
          </w:tcPr>
          <w:p w14:paraId="01A2CE71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1311" w:type="dxa"/>
            <w:vAlign w:val="center"/>
          </w:tcPr>
          <w:p w14:paraId="5DD670F5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7.1计量确认</w:t>
            </w:r>
          </w:p>
          <w:p w14:paraId="06B851C8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</w:tcPr>
          <w:p w14:paraId="68261E60" w14:textId="77777777" w:rsidR="00BD7F17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抽查：原料称重测量</w:t>
            </w:r>
            <w:r>
              <w:rPr>
                <w:rFonts w:ascii="宋体" w:hint="eastAsia"/>
                <w:kern w:val="0"/>
                <w:szCs w:val="21"/>
              </w:rPr>
              <w:t>要求识别，所配备的电子汽车衡（0-100）t,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Ⅲ级</w:t>
            </w:r>
            <w:r>
              <w:rPr>
                <w:rFonts w:ascii="宋体" w:hAnsi="宋体" w:cs="宋体" w:hint="eastAsia"/>
                <w:szCs w:val="21"/>
              </w:rPr>
              <w:t>进行了有效的溯源，</w:t>
            </w:r>
            <w:r>
              <w:rPr>
                <w:rFonts w:ascii="宋体" w:hAnsi="宋体" w:hint="eastAsia"/>
                <w:szCs w:val="21"/>
              </w:rPr>
              <w:t>并进行了计量验证，计量验证满足要求，验证方法正确。</w:t>
            </w:r>
          </w:p>
          <w:p w14:paraId="196835F9" w14:textId="77777777" w:rsidR="00BD7F17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抽查：配料试验称重检验要求识别，配备电子天平，(0-200)g，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Ⅰ级，</w:t>
            </w:r>
            <w:r>
              <w:rPr>
                <w:rFonts w:ascii="宋体" w:hAnsi="宋体" w:hint="eastAsia"/>
                <w:szCs w:val="21"/>
              </w:rPr>
              <w:t>经如东县综合检验检测中心，并进行了计量验证满足要求，方法正确。</w:t>
            </w:r>
          </w:p>
          <w:p w14:paraId="4DEB56EA" w14:textId="77777777" w:rsidR="00BD7F17" w:rsidRDefault="00000000">
            <w:pPr>
              <w:widowControl/>
              <w:spacing w:line="264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企业编制了HXJC/MP-09-2019</w:t>
            </w:r>
          </w:p>
          <w:p w14:paraId="58723775" w14:textId="77777777" w:rsidR="00BD7F17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 测量设备管理程序》，规定测量设备从申购到报废整个生命周期的管理，针对验证不合格的测量设备视不同情况进行维修、降级或报废、追溯处理。</w:t>
            </w:r>
          </w:p>
        </w:tc>
        <w:tc>
          <w:tcPr>
            <w:tcW w:w="1163" w:type="dxa"/>
            <w:vAlign w:val="center"/>
          </w:tcPr>
          <w:p w14:paraId="30C66549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6287CEF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化验室</w:t>
            </w:r>
          </w:p>
          <w:p w14:paraId="1A4DA761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生产部</w:t>
            </w:r>
          </w:p>
          <w:p w14:paraId="301B03D0" w14:textId="77777777" w:rsidR="00BD7F17" w:rsidRDefault="00000000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（生产车间）</w:t>
            </w:r>
          </w:p>
          <w:p w14:paraId="176E18A8" w14:textId="77777777" w:rsidR="00BD7F17" w:rsidRDefault="00BD7F17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75B4B38E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30593637" w14:textId="77777777" w:rsidR="00BD7F17" w:rsidRDefault="00BD7F1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D7F17" w14:paraId="7CB9BEBA" w14:textId="77777777">
        <w:trPr>
          <w:trHeight w:val="4097"/>
          <w:jc w:val="center"/>
        </w:trPr>
        <w:tc>
          <w:tcPr>
            <w:tcW w:w="656" w:type="dxa"/>
            <w:vAlign w:val="center"/>
          </w:tcPr>
          <w:p w14:paraId="2B9FBF36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93" w:type="dxa"/>
          </w:tcPr>
          <w:p w14:paraId="2A773CEE" w14:textId="77777777" w:rsidR="00BD7F17" w:rsidRDefault="00BD7F17">
            <w:pPr>
              <w:jc w:val="center"/>
              <w:rPr>
                <w:rFonts w:ascii="宋体" w:hAnsi="宋体"/>
                <w:szCs w:val="21"/>
              </w:rPr>
            </w:pPr>
          </w:p>
          <w:p w14:paraId="3B6946C9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</w:t>
            </w:r>
          </w:p>
        </w:tc>
        <w:tc>
          <w:tcPr>
            <w:tcW w:w="1311" w:type="dxa"/>
            <w:vAlign w:val="center"/>
          </w:tcPr>
          <w:p w14:paraId="50CD5C11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</w:t>
            </w:r>
          </w:p>
          <w:p w14:paraId="7151EA37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测量过程</w:t>
            </w:r>
          </w:p>
          <w:p w14:paraId="6E932B5A" w14:textId="77777777" w:rsidR="00BD7F17" w:rsidRDefault="00BD7F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</w:tcPr>
          <w:p w14:paraId="1EF300C7" w14:textId="77777777" w:rsidR="00BD7F17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企业未新增关键测量过程。</w:t>
            </w:r>
          </w:p>
          <w:p w14:paraId="6B71871D" w14:textId="77777777" w:rsidR="00BD7F17" w:rsidRDefault="00000000">
            <w:pPr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抽查高度控制测量过程：拉力试验</w:t>
            </w:r>
            <w:r>
              <w:rPr>
                <w:rFonts w:ascii="宋体" w:hint="eastAsia"/>
                <w:kern w:val="0"/>
                <w:szCs w:val="21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编制了测量过程控制规范，规定了对测量人员、环境条件、测量设备和监视方法等的控制要求，监视频次为每月一次，满足测量过程管理要求。</w:t>
            </w:r>
          </w:p>
          <w:p w14:paraId="7D5965E8" w14:textId="77777777" w:rsidR="00BD7F17" w:rsidRDefault="00000000">
            <w:pPr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抽查重要测量过程：</w:t>
            </w:r>
            <w:r>
              <w:rPr>
                <w:rFonts w:ascii="宋体" w:hAnsi="宋体" w:hint="eastAsia"/>
                <w:szCs w:val="21"/>
              </w:rPr>
              <w:t>样品试验称重测量过程</w:t>
            </w:r>
            <w:r>
              <w:rPr>
                <w:rFonts w:ascii="宋体" w:cs="宋体" w:hint="eastAsia"/>
                <w:kern w:val="0"/>
                <w:szCs w:val="21"/>
              </w:rPr>
              <w:t>，编制了测量过程控制规范，规定了对测量人员、环境条件、测量设备和监视方法等的控制要求，监视频次为每月一次，满足测量过程管理要求。</w:t>
            </w:r>
          </w:p>
        </w:tc>
        <w:tc>
          <w:tcPr>
            <w:tcW w:w="1163" w:type="dxa"/>
            <w:vAlign w:val="center"/>
          </w:tcPr>
          <w:p w14:paraId="69A77794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化验室</w:t>
            </w:r>
          </w:p>
          <w:p w14:paraId="58A3642C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生产部</w:t>
            </w:r>
          </w:p>
          <w:p w14:paraId="0F46CC0C" w14:textId="77777777" w:rsidR="00BD7F17" w:rsidRDefault="00000000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（生产车间）</w:t>
            </w:r>
          </w:p>
          <w:p w14:paraId="2A0E9698" w14:textId="77777777" w:rsidR="00BD7F17" w:rsidRDefault="00BD7F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0CB3FB78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6FC2F18C" w14:textId="77777777" w:rsidR="00BD7F17" w:rsidRDefault="00BD7F17">
            <w:pPr>
              <w:jc w:val="center"/>
              <w:rPr>
                <w:rFonts w:ascii="宋体" w:hAnsi="宋体"/>
                <w:szCs w:val="21"/>
              </w:rPr>
            </w:pPr>
          </w:p>
          <w:p w14:paraId="24B98897" w14:textId="77777777" w:rsidR="00BD7F17" w:rsidRDefault="00BD7F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7F17" w14:paraId="020DCC75" w14:textId="77777777">
        <w:trPr>
          <w:trHeight w:val="1037"/>
          <w:jc w:val="center"/>
        </w:trPr>
        <w:tc>
          <w:tcPr>
            <w:tcW w:w="656" w:type="dxa"/>
            <w:vAlign w:val="center"/>
          </w:tcPr>
          <w:p w14:paraId="7CD6D669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93" w:type="dxa"/>
          </w:tcPr>
          <w:p w14:paraId="58EC6943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是否对关键过程进行了测量不确定度评定？</w:t>
            </w:r>
          </w:p>
        </w:tc>
        <w:tc>
          <w:tcPr>
            <w:tcW w:w="1311" w:type="dxa"/>
            <w:vAlign w:val="center"/>
          </w:tcPr>
          <w:p w14:paraId="008F1792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7.3测量不确定度</w:t>
            </w:r>
          </w:p>
        </w:tc>
        <w:tc>
          <w:tcPr>
            <w:tcW w:w="3659" w:type="dxa"/>
          </w:tcPr>
          <w:p w14:paraId="0C87E28E" w14:textId="77777777" w:rsidR="00BD7F17" w:rsidRDefault="00000000">
            <w:pPr>
              <w:spacing w:line="264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抽查了</w:t>
            </w:r>
            <w:r>
              <w:rPr>
                <w:rFonts w:ascii="宋体" w:hAnsi="宋体" w:hint="eastAsia"/>
                <w:szCs w:val="21"/>
              </w:rPr>
              <w:t>样品试验称重测量过程</w:t>
            </w:r>
            <w:r>
              <w:rPr>
                <w:rFonts w:hint="eastAsia"/>
                <w:szCs w:val="21"/>
              </w:rPr>
              <w:t>不确定度评定报告，不确定度评定方法正确。</w:t>
            </w:r>
          </w:p>
          <w:p w14:paraId="540B2300" w14:textId="77777777" w:rsidR="00BD7F17" w:rsidRDefault="00000000">
            <w:pPr>
              <w:spacing w:line="264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详见</w:t>
            </w:r>
            <w:r>
              <w:rPr>
                <w:rFonts w:hint="eastAsia"/>
                <w:szCs w:val="21"/>
              </w:rPr>
              <w:t>《测量不确定度评定报告》</w:t>
            </w:r>
          </w:p>
        </w:tc>
        <w:tc>
          <w:tcPr>
            <w:tcW w:w="1163" w:type="dxa"/>
            <w:vAlign w:val="center"/>
          </w:tcPr>
          <w:p w14:paraId="4A4A8BEE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化验室</w:t>
            </w:r>
          </w:p>
          <w:p w14:paraId="28E71236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生产部</w:t>
            </w:r>
          </w:p>
          <w:p w14:paraId="43B278E9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（生产车间）</w:t>
            </w:r>
          </w:p>
        </w:tc>
        <w:tc>
          <w:tcPr>
            <w:tcW w:w="1256" w:type="dxa"/>
            <w:vAlign w:val="center"/>
          </w:tcPr>
          <w:p w14:paraId="30D54D93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D7F17" w14:paraId="20F13E44" w14:textId="77777777">
        <w:trPr>
          <w:trHeight w:val="2748"/>
          <w:jc w:val="center"/>
        </w:trPr>
        <w:tc>
          <w:tcPr>
            <w:tcW w:w="656" w:type="dxa"/>
            <w:vAlign w:val="center"/>
          </w:tcPr>
          <w:p w14:paraId="666965FD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793" w:type="dxa"/>
            <w:vAlign w:val="center"/>
          </w:tcPr>
          <w:p w14:paraId="747A91AC" w14:textId="77777777" w:rsidR="00BD7F1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企业能源主要品种？年消耗标煤？是否是重点用能单位？ </w:t>
            </w:r>
          </w:p>
        </w:tc>
        <w:tc>
          <w:tcPr>
            <w:tcW w:w="1311" w:type="dxa"/>
            <w:vAlign w:val="center"/>
          </w:tcPr>
          <w:p w14:paraId="1D336082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GB17167－2006</w:t>
            </w:r>
          </w:p>
        </w:tc>
        <w:tc>
          <w:tcPr>
            <w:tcW w:w="3659" w:type="dxa"/>
            <w:vAlign w:val="center"/>
          </w:tcPr>
          <w:p w14:paraId="570A19CA" w14:textId="77777777" w:rsidR="00BD7F17" w:rsidRDefault="00000000">
            <w:pPr>
              <w:spacing w:line="264" w:lineRule="auto"/>
              <w:ind w:firstLineChars="100" w:firstLine="210"/>
              <w:rPr>
                <w:rFonts w:ascii="宋体" w:hAnsi="宋体"/>
                <w:szCs w:val="21"/>
              </w:rPr>
            </w:pPr>
            <w:bookmarkStart w:id="1" w:name="_Hlk71816406"/>
            <w:bookmarkStart w:id="2" w:name="_Hlk121232041"/>
            <w:r>
              <w:rPr>
                <w:rFonts w:ascii="宋体" w:hAnsi="宋体" w:hint="eastAsia"/>
                <w:szCs w:val="21"/>
              </w:rPr>
              <w:t>企业主要耗能为电、水；能源计量器具由</w:t>
            </w:r>
            <w:r>
              <w:rPr>
                <w:rFonts w:ascii="宋体" w:hAnsi="宋体"/>
                <w:szCs w:val="21"/>
              </w:rPr>
              <w:t>生产</w:t>
            </w:r>
            <w:r>
              <w:rPr>
                <w:rFonts w:ascii="宋体" w:hAnsi="宋体" w:hint="eastAsia"/>
                <w:szCs w:val="21"/>
              </w:rPr>
              <w:t>部管控； 202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年1月至11月，年消耗电</w:t>
            </w:r>
            <w:r>
              <w:rPr>
                <w:rFonts w:ascii="宋体" w:hAnsi="宋体"/>
                <w:szCs w:val="21"/>
              </w:rPr>
              <w:t>10738589</w:t>
            </w:r>
            <w:r>
              <w:rPr>
                <w:rFonts w:ascii="宋体" w:hAnsi="宋体" w:hint="eastAsia"/>
                <w:szCs w:val="21"/>
              </w:rPr>
              <w:t>千瓦时，年用水</w:t>
            </w:r>
            <w:r>
              <w:rPr>
                <w:rFonts w:ascii="宋体" w:hAnsi="宋体"/>
                <w:szCs w:val="21"/>
              </w:rPr>
              <w:t>7350</w:t>
            </w:r>
            <w:r>
              <w:rPr>
                <w:rFonts w:ascii="宋体" w:hAnsi="宋体" w:hint="eastAsia"/>
                <w:szCs w:val="21"/>
              </w:rPr>
              <w:t>吨，总计折合</w:t>
            </w:r>
            <w:r>
              <w:rPr>
                <w:rFonts w:ascii="宋体" w:hAnsi="宋体"/>
                <w:szCs w:val="21"/>
              </w:rPr>
              <w:t>1322</w:t>
            </w:r>
            <w:r>
              <w:rPr>
                <w:rFonts w:ascii="宋体" w:hAnsi="宋体" w:hint="eastAsia"/>
                <w:szCs w:val="21"/>
              </w:rPr>
              <w:t>吨标准煤</w:t>
            </w:r>
            <w:bookmarkEnd w:id="1"/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属于重点用能单位。</w:t>
            </w:r>
            <w:bookmarkEnd w:id="2"/>
          </w:p>
        </w:tc>
        <w:tc>
          <w:tcPr>
            <w:tcW w:w="1163" w:type="dxa"/>
            <w:vAlign w:val="center"/>
          </w:tcPr>
          <w:p w14:paraId="398C4DEC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生产部</w:t>
            </w:r>
          </w:p>
          <w:p w14:paraId="56963405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（生产车间）</w:t>
            </w:r>
          </w:p>
        </w:tc>
        <w:tc>
          <w:tcPr>
            <w:tcW w:w="1256" w:type="dxa"/>
            <w:vAlign w:val="center"/>
          </w:tcPr>
          <w:p w14:paraId="5B568320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D7F17" w14:paraId="3F91952A" w14:textId="77777777">
        <w:trPr>
          <w:trHeight w:val="2810"/>
          <w:jc w:val="center"/>
        </w:trPr>
        <w:tc>
          <w:tcPr>
            <w:tcW w:w="656" w:type="dxa"/>
            <w:vAlign w:val="center"/>
          </w:tcPr>
          <w:p w14:paraId="61EE6FCC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93" w:type="dxa"/>
            <w:vAlign w:val="center"/>
          </w:tcPr>
          <w:p w14:paraId="1343CEB0" w14:textId="77777777" w:rsidR="00BD7F17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311" w:type="dxa"/>
            <w:vAlign w:val="center"/>
          </w:tcPr>
          <w:p w14:paraId="2B5CE6CB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</w:t>
            </w:r>
          </w:p>
          <w:p w14:paraId="260EBDB5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顾客满意</w:t>
            </w:r>
          </w:p>
        </w:tc>
        <w:tc>
          <w:tcPr>
            <w:tcW w:w="3659" w:type="dxa"/>
            <w:vAlign w:val="center"/>
          </w:tcPr>
          <w:p w14:paraId="1E9098EE" w14:textId="77777777" w:rsidR="00BD7F17" w:rsidRDefault="00000000">
            <w:pPr>
              <w:widowControl/>
              <w:spacing w:line="264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企业编制的HXJC/MP-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-2019</w:t>
            </w:r>
          </w:p>
          <w:p w14:paraId="2C47A393" w14:textId="025EB7F9" w:rsidR="00BD7F17" w:rsidRDefault="00000000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《测量满意度管理程序》</w:t>
            </w:r>
            <w:r>
              <w:rPr>
                <w:rFonts w:hint="eastAsia"/>
                <w:szCs w:val="21"/>
              </w:rPr>
              <w:t>，规定</w:t>
            </w:r>
            <w:r>
              <w:rPr>
                <w:szCs w:val="21"/>
              </w:rPr>
              <w:t>经营</w:t>
            </w:r>
            <w:r>
              <w:rPr>
                <w:rFonts w:hint="eastAsia"/>
                <w:szCs w:val="21"/>
              </w:rPr>
              <w:t>部负责外部顾客满意度的调查和分析，</w:t>
            </w:r>
            <w:r w:rsidR="007F2E7F">
              <w:rPr>
                <w:rFonts w:hint="eastAsia"/>
                <w:szCs w:val="21"/>
              </w:rPr>
              <w:t>化验室</w:t>
            </w:r>
            <w:r>
              <w:rPr>
                <w:rFonts w:hint="eastAsia"/>
                <w:szCs w:val="21"/>
              </w:rPr>
              <w:t>负责内部顾客满意度调查和分析。</w:t>
            </w:r>
          </w:p>
          <w:p w14:paraId="535B1252" w14:textId="77777777" w:rsidR="00BD7F17" w:rsidRDefault="0000000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月共调查内外部顾客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家，其中内部顾客满意度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，外部顾客满意度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，满足满意</w:t>
            </w:r>
            <w:proofErr w:type="gramStart"/>
            <w:r>
              <w:rPr>
                <w:rFonts w:hint="eastAsia"/>
                <w:szCs w:val="21"/>
              </w:rPr>
              <w:t>度目标</w:t>
            </w:r>
            <w:proofErr w:type="gramEnd"/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的要求。</w:t>
            </w:r>
          </w:p>
        </w:tc>
        <w:tc>
          <w:tcPr>
            <w:tcW w:w="1163" w:type="dxa"/>
            <w:vAlign w:val="center"/>
          </w:tcPr>
          <w:p w14:paraId="67DABE69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  <w:p w14:paraId="4DC7AE31" w14:textId="77777777" w:rsidR="00BD7F1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化验室</w:t>
            </w:r>
          </w:p>
        </w:tc>
        <w:tc>
          <w:tcPr>
            <w:tcW w:w="1256" w:type="dxa"/>
            <w:vAlign w:val="center"/>
          </w:tcPr>
          <w:p w14:paraId="007264CC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D7F17" w14:paraId="4356CD52" w14:textId="77777777">
        <w:trPr>
          <w:trHeight w:val="1887"/>
          <w:jc w:val="center"/>
        </w:trPr>
        <w:tc>
          <w:tcPr>
            <w:tcW w:w="656" w:type="dxa"/>
            <w:vAlign w:val="center"/>
          </w:tcPr>
          <w:p w14:paraId="4F1448CB" w14:textId="77777777" w:rsidR="00BD7F1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93" w:type="dxa"/>
            <w:vAlign w:val="center"/>
          </w:tcPr>
          <w:p w14:paraId="58398590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对企业的销售合同抽样，抽样范围需涵盖企业申请的产品的范围</w:t>
            </w:r>
          </w:p>
        </w:tc>
        <w:tc>
          <w:tcPr>
            <w:tcW w:w="1311" w:type="dxa"/>
            <w:vAlign w:val="center"/>
          </w:tcPr>
          <w:p w14:paraId="31C5BBC8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产品销售</w:t>
            </w:r>
          </w:p>
        </w:tc>
        <w:tc>
          <w:tcPr>
            <w:tcW w:w="3659" w:type="dxa"/>
            <w:vAlign w:val="center"/>
          </w:tcPr>
          <w:p w14:paraId="09C1B2AA" w14:textId="77777777" w:rsidR="00BD7F17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抽查水泥的购销合同，南通五建控股集团有限公司，签订时间2022年7月5日。</w:t>
            </w:r>
          </w:p>
          <w:p w14:paraId="66EFD06A" w14:textId="77777777" w:rsidR="00BD7F17" w:rsidRDefault="0000000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确认企业对应的产品生产过程涉及有对应的测量过程和测量设备，测量设备的配备可满足该合同产品的生产和检验要求。</w:t>
            </w:r>
          </w:p>
        </w:tc>
        <w:tc>
          <w:tcPr>
            <w:tcW w:w="1163" w:type="dxa"/>
            <w:vAlign w:val="center"/>
          </w:tcPr>
          <w:p w14:paraId="191B563D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经营部</w:t>
            </w:r>
          </w:p>
        </w:tc>
        <w:tc>
          <w:tcPr>
            <w:tcW w:w="1256" w:type="dxa"/>
            <w:vAlign w:val="center"/>
          </w:tcPr>
          <w:p w14:paraId="48C832EF" w14:textId="77777777" w:rsidR="00BD7F1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740F9C1A" w14:textId="77777777" w:rsidR="00BD7F17" w:rsidRDefault="00BD7F17">
      <w:pPr>
        <w:rPr>
          <w:rFonts w:ascii="宋体" w:hAnsi="宋体"/>
          <w:szCs w:val="21"/>
        </w:rPr>
      </w:pPr>
    </w:p>
    <w:sectPr w:rsidR="00BD7F17">
      <w:headerReference w:type="default" r:id="rId8"/>
      <w:footerReference w:type="default" r:id="rId9"/>
      <w:pgSz w:w="11906" w:h="16838"/>
      <w:pgMar w:top="1276" w:right="926" w:bottom="777" w:left="1080" w:header="39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859C" w14:textId="77777777" w:rsidR="00A3095E" w:rsidRDefault="00A3095E">
      <w:r>
        <w:separator/>
      </w:r>
    </w:p>
  </w:endnote>
  <w:endnote w:type="continuationSeparator" w:id="0">
    <w:p w14:paraId="18C00C13" w14:textId="77777777" w:rsidR="00A3095E" w:rsidRDefault="00A3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5801" w14:textId="77777777" w:rsidR="00BD7F17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6879D3C9" w14:textId="77777777" w:rsidR="00BD7F17" w:rsidRDefault="00BD7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890E" w14:textId="77777777" w:rsidR="00A3095E" w:rsidRDefault="00A3095E">
      <w:r>
        <w:separator/>
      </w:r>
    </w:p>
  </w:footnote>
  <w:footnote w:type="continuationSeparator" w:id="0">
    <w:p w14:paraId="690685FE" w14:textId="77777777" w:rsidR="00A3095E" w:rsidRDefault="00A3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02B3" w14:textId="77777777" w:rsidR="00BD7F17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A737212" wp14:editId="69EBFFD1">
          <wp:simplePos x="0" y="0"/>
          <wp:positionH relativeFrom="column">
            <wp:posOffset>-144145</wp:posOffset>
          </wp:positionH>
          <wp:positionV relativeFrom="paragraph">
            <wp:posOffset>69215</wp:posOffset>
          </wp:positionV>
          <wp:extent cx="481965" cy="485140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5B6E52EF" w14:textId="77777777" w:rsidR="00BD7F17" w:rsidRDefault="00000000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C1E89E" wp14:editId="3305BA42">
              <wp:simplePos x="0" y="0"/>
              <wp:positionH relativeFrom="column">
                <wp:posOffset>3619500</wp:posOffset>
              </wp:positionH>
              <wp:positionV relativeFrom="paragraph">
                <wp:posOffset>131445</wp:posOffset>
              </wp:positionV>
              <wp:extent cx="2715895" cy="26162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F013717" w14:textId="77777777" w:rsidR="00BD7F17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ISC-A-II-10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审核员监督审核记录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版本）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1E89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5pt;margin-top:10.35pt;width:213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" stroked="f">
              <v:textbox>
                <w:txbxContent>
                  <w:p w14:paraId="6F013717" w14:textId="77777777" w:rsidR="00BD7F17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ISC-A-II-10</w:t>
                    </w:r>
                    <w:r>
                      <w:rPr>
                        <w:rFonts w:hint="eastAsia"/>
                        <w:szCs w:val="21"/>
                      </w:rPr>
                      <w:t>审核员监督审核记录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版本）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27086B9" w14:textId="77777777" w:rsidR="00BD7F17" w:rsidRDefault="00000000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74D0A" wp14:editId="61E37B62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13335" t="10160" r="6350" b="9525"/>
              <wp:wrapNone/>
              <wp:docPr id="1" name="直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8BB0D9" id="直线 4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 w16cid:durableId="1500193707">
    <w:abstractNumId w:val="1"/>
  </w:num>
  <w:num w:numId="2" w16cid:durableId="188995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zYjMxZWIxZGViYTM4MzcyZTI5NTQ4MDkyM2UzNWYifQ=="/>
  </w:docVars>
  <w:rsids>
    <w:rsidRoot w:val="006669BF"/>
    <w:rsid w:val="001F445D"/>
    <w:rsid w:val="00213C70"/>
    <w:rsid w:val="004544D5"/>
    <w:rsid w:val="00464F05"/>
    <w:rsid w:val="00501A93"/>
    <w:rsid w:val="005E347B"/>
    <w:rsid w:val="00613ECA"/>
    <w:rsid w:val="006669BF"/>
    <w:rsid w:val="007F2E7F"/>
    <w:rsid w:val="00844184"/>
    <w:rsid w:val="00A3095E"/>
    <w:rsid w:val="00A90593"/>
    <w:rsid w:val="00BD7F17"/>
    <w:rsid w:val="00D3630A"/>
    <w:rsid w:val="03DD13BE"/>
    <w:rsid w:val="05BD1938"/>
    <w:rsid w:val="071A7AD5"/>
    <w:rsid w:val="08CE3329"/>
    <w:rsid w:val="0A3B1F81"/>
    <w:rsid w:val="0B4B369A"/>
    <w:rsid w:val="0C5B729E"/>
    <w:rsid w:val="0DD54AE8"/>
    <w:rsid w:val="0EC50E7D"/>
    <w:rsid w:val="11DE1704"/>
    <w:rsid w:val="120E4A8E"/>
    <w:rsid w:val="125D6381"/>
    <w:rsid w:val="13DA4967"/>
    <w:rsid w:val="14800DC8"/>
    <w:rsid w:val="16490821"/>
    <w:rsid w:val="19E25C5F"/>
    <w:rsid w:val="1B3F1A63"/>
    <w:rsid w:val="1DE579A5"/>
    <w:rsid w:val="1ECF1B50"/>
    <w:rsid w:val="21C24483"/>
    <w:rsid w:val="21EC75ED"/>
    <w:rsid w:val="220326EB"/>
    <w:rsid w:val="277B17FF"/>
    <w:rsid w:val="281A23D4"/>
    <w:rsid w:val="2A375D41"/>
    <w:rsid w:val="2FF36517"/>
    <w:rsid w:val="31B428A7"/>
    <w:rsid w:val="36DA57DC"/>
    <w:rsid w:val="375F1B1D"/>
    <w:rsid w:val="3BC82016"/>
    <w:rsid w:val="3C827314"/>
    <w:rsid w:val="3F860CD1"/>
    <w:rsid w:val="40CB3599"/>
    <w:rsid w:val="432F1D33"/>
    <w:rsid w:val="458F21BD"/>
    <w:rsid w:val="504B22A2"/>
    <w:rsid w:val="52325905"/>
    <w:rsid w:val="547471D3"/>
    <w:rsid w:val="55205E20"/>
    <w:rsid w:val="566023A4"/>
    <w:rsid w:val="57BB1DDB"/>
    <w:rsid w:val="58AD2ADA"/>
    <w:rsid w:val="59F60C5B"/>
    <w:rsid w:val="5A710D99"/>
    <w:rsid w:val="5A715492"/>
    <w:rsid w:val="5B793571"/>
    <w:rsid w:val="5D92523B"/>
    <w:rsid w:val="5E066A75"/>
    <w:rsid w:val="5E253083"/>
    <w:rsid w:val="61D86E23"/>
    <w:rsid w:val="62B71ECB"/>
    <w:rsid w:val="647B134C"/>
    <w:rsid w:val="67957AB5"/>
    <w:rsid w:val="68B844D3"/>
    <w:rsid w:val="69B8100F"/>
    <w:rsid w:val="6E3A1CC7"/>
    <w:rsid w:val="6E560D6E"/>
    <w:rsid w:val="6EB57865"/>
    <w:rsid w:val="6F7D2254"/>
    <w:rsid w:val="70255841"/>
    <w:rsid w:val="72DD00D4"/>
    <w:rsid w:val="771E49B8"/>
    <w:rsid w:val="77F03223"/>
    <w:rsid w:val="78783F00"/>
    <w:rsid w:val="78CF072B"/>
    <w:rsid w:val="79CD5220"/>
    <w:rsid w:val="7AF93FBC"/>
    <w:rsid w:val="7B6B188B"/>
    <w:rsid w:val="7D8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9B576"/>
  <w15:docId w15:val="{D100C9B4-6BD6-42ED-A9A7-A89298D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吴 素平</cp:lastModifiedBy>
  <cp:revision>5</cp:revision>
  <cp:lastPrinted>2010-12-27T06:36:00Z</cp:lastPrinted>
  <dcterms:created xsi:type="dcterms:W3CDTF">2017-06-30T11:47:00Z</dcterms:created>
  <dcterms:modified xsi:type="dcterms:W3CDTF">2022-12-06T07:27:00Z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78508B71BCCA4045957555BBB2F55FED</vt:lpwstr>
  </property>
</Properties>
</file>