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-881380</wp:posOffset>
            </wp:positionV>
            <wp:extent cx="7129780" cy="10000615"/>
            <wp:effectExtent l="0" t="0" r="7620" b="6985"/>
            <wp:wrapNone/>
            <wp:docPr id="1" name="图片 1" descr="扫描全能王 2022-11-30 09.3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30 09.33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1000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0194-2019-2022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陕西华骏机械制造有限责任公司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卫烈让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查编号80824102千分表未能提供有效的溯源证据。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u w:val="single"/>
                <w:lang w:val="en-US" w:eastAsia="zh-CN"/>
              </w:rPr>
              <w:t>GB/T 19022-2003   7.3.2溯源性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692" w:firstLineChars="31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立即对该计量器具进行溯源，已确定该设备的计量性能状况。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3844CA3"/>
    <w:rsid w:val="637F2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2022-11-30T02:51:07Z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774313DD320949978C7FD2C34E3C1D40</vt:lpwstr>
  </property>
</Properties>
</file>