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-679450</wp:posOffset>
            </wp:positionV>
            <wp:extent cx="7220585" cy="10314305"/>
            <wp:effectExtent l="0" t="0" r="5715" b="10795"/>
            <wp:wrapNone/>
            <wp:docPr id="1" name="图片 1" descr="扫描全能王 2022-11-30 09.3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30 09.33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0585" cy="1031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0194-2019-2022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82"/>
        <w:gridCol w:w="1352"/>
        <w:gridCol w:w="1042"/>
        <w:gridCol w:w="1028"/>
        <w:gridCol w:w="1662"/>
        <w:gridCol w:w="1352"/>
        <w:gridCol w:w="119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陕西华骏机械制造有限责任公司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B525073430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CP114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5mg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级砝码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2022.7.13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高度测量仪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602761908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LH-600E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7μm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2等量块</w:t>
            </w: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2022.7.13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红外高频碳硫分析仪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8008001484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CS-8820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C: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0.010%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二级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碳钢、低合金钢成分分析标准物质</w:t>
            </w: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2022.7.13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覆层测厚仪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17058000004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TT270</w:t>
            </w:r>
          </w:p>
        </w:tc>
        <w:tc>
          <w:tcPr>
            <w:tcW w:w="1028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4μm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标准膜厚片</w:t>
            </w: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2022.7.13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表面洛氏硬度计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211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HRM-45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2.0</w:t>
            </w:r>
            <w:r>
              <w:rPr>
                <w:rFonts w:hint="eastAsia"/>
                <w:szCs w:val="21"/>
                <w:lang w:val="en-US" w:eastAsia="zh-CN"/>
              </w:rPr>
              <w:t>%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表面洛氏硬度块</w:t>
            </w: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2022.7.13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元素分析仪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190910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TY-BSY2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0.5mg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二级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生铸铁硅锰磷</w:t>
            </w: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2022.7.13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数显千分尺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(25-50)mm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607090172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2μm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等量块</w:t>
            </w: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2022.7.13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微米千分尺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(0-25)mm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59179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2μm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等量块</w:t>
            </w: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2022.7.13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公司未建最高计量标准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，公司测量设备除自检外全部委托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东莞市帝恩检测有限公司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负责溯源。校准/检定证书由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95052F5"/>
    <w:rsid w:val="44B6341F"/>
    <w:rsid w:val="5B57071B"/>
    <w:rsid w:val="69464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2022-11-30T07:05:09Z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375E13CAFBE64B2C9D4CFBDC5DDD6641</vt:lpwstr>
  </property>
</Properties>
</file>