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093"/>
        <w:gridCol w:w="11093"/>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4"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093"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1093" w:type="dxa"/>
            <w:vAlign w:val="center"/>
          </w:tcPr>
          <w:p>
            <w:pPr>
              <w:rPr>
                <w:rFonts w:hint="eastAsia" w:eastAsia="宋体"/>
                <w:sz w:val="21"/>
                <w:szCs w:val="21"/>
                <w:lang w:val="en-US" w:eastAsia="zh-CN"/>
              </w:rPr>
            </w:pPr>
            <w:r>
              <w:rPr>
                <w:rFonts w:hint="eastAsia"/>
                <w:sz w:val="21"/>
                <w:szCs w:val="21"/>
              </w:rPr>
              <w:t>受审核部门：</w:t>
            </w:r>
            <w:r>
              <w:rPr>
                <w:rFonts w:hint="eastAsia"/>
                <w:sz w:val="21"/>
                <w:szCs w:val="21"/>
                <w:lang w:val="en-US" w:eastAsia="zh-CN"/>
              </w:rPr>
              <w:t xml:space="preserve">市场部        </w:t>
            </w:r>
            <w:r>
              <w:rPr>
                <w:rFonts w:hint="eastAsia"/>
                <w:sz w:val="21"/>
                <w:szCs w:val="21"/>
              </w:rPr>
              <w:t>主管领导：</w:t>
            </w:r>
            <w:r>
              <w:rPr>
                <w:rFonts w:hint="eastAsia"/>
                <w:sz w:val="21"/>
                <w:szCs w:val="21"/>
                <w:lang w:val="en-US" w:eastAsia="zh-CN"/>
              </w:rPr>
              <w:t xml:space="preserve">罗辉   陪同人员：郭莉         </w:t>
            </w:r>
          </w:p>
        </w:tc>
        <w:tc>
          <w:tcPr>
            <w:tcW w:w="1009"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14" w:type="dxa"/>
            <w:vMerge w:val="continue"/>
            <w:vAlign w:val="center"/>
          </w:tcPr>
          <w:p>
            <w:pPr>
              <w:rPr>
                <w:sz w:val="21"/>
                <w:szCs w:val="21"/>
              </w:rPr>
            </w:pPr>
          </w:p>
        </w:tc>
        <w:tc>
          <w:tcPr>
            <w:tcW w:w="1093" w:type="dxa"/>
            <w:vMerge w:val="continue"/>
            <w:vAlign w:val="center"/>
          </w:tcPr>
          <w:p>
            <w:pPr>
              <w:rPr>
                <w:sz w:val="21"/>
                <w:szCs w:val="21"/>
              </w:rPr>
            </w:pPr>
          </w:p>
        </w:tc>
        <w:tc>
          <w:tcPr>
            <w:tcW w:w="11093" w:type="dxa"/>
            <w:vAlign w:val="center"/>
          </w:tcPr>
          <w:p>
            <w:pPr>
              <w:spacing w:before="120"/>
              <w:jc w:val="left"/>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明利红（远程审核，微信、语音、文件传输） </w:t>
            </w:r>
            <w:r>
              <w:rPr>
                <w:rFonts w:hint="eastAsia"/>
                <w:sz w:val="21"/>
                <w:szCs w:val="21"/>
              </w:rPr>
              <w:t>审核时间：</w:t>
            </w:r>
            <w:r>
              <w:rPr>
                <w:sz w:val="21"/>
                <w:szCs w:val="21"/>
              </w:rPr>
              <w:t>2022年</w:t>
            </w:r>
            <w:r>
              <w:rPr>
                <w:rFonts w:hint="eastAsia"/>
                <w:sz w:val="21"/>
                <w:szCs w:val="21"/>
                <w:lang w:val="en-US" w:eastAsia="zh-CN"/>
              </w:rPr>
              <w:t>11</w:t>
            </w:r>
            <w:r>
              <w:rPr>
                <w:sz w:val="21"/>
                <w:szCs w:val="21"/>
              </w:rPr>
              <w:t>月</w:t>
            </w:r>
            <w:r>
              <w:rPr>
                <w:rFonts w:hint="eastAsia"/>
                <w:sz w:val="21"/>
                <w:szCs w:val="21"/>
                <w:lang w:val="en-US" w:eastAsia="zh-CN"/>
              </w:rPr>
              <w:t>22-23日</w:t>
            </w:r>
          </w:p>
        </w:tc>
        <w:tc>
          <w:tcPr>
            <w:tcW w:w="100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14" w:type="dxa"/>
            <w:vMerge w:val="continue"/>
            <w:vAlign w:val="center"/>
          </w:tcPr>
          <w:p>
            <w:pPr>
              <w:rPr>
                <w:sz w:val="21"/>
                <w:szCs w:val="21"/>
              </w:rPr>
            </w:pPr>
          </w:p>
        </w:tc>
        <w:tc>
          <w:tcPr>
            <w:tcW w:w="1093" w:type="dxa"/>
            <w:vMerge w:val="continue"/>
            <w:vAlign w:val="center"/>
          </w:tcPr>
          <w:p>
            <w:pPr>
              <w:rPr>
                <w:sz w:val="21"/>
                <w:szCs w:val="21"/>
              </w:rPr>
            </w:pPr>
          </w:p>
        </w:tc>
        <w:tc>
          <w:tcPr>
            <w:tcW w:w="11093" w:type="dxa"/>
            <w:vAlign w:val="center"/>
          </w:tcPr>
          <w:p>
            <w:pPr>
              <w:rPr>
                <w:rFonts w:hint="eastAsia" w:ascii="Times New Roman" w:hAnsi="Times New Roman" w:cs="Times New Roman"/>
                <w:sz w:val="21"/>
                <w:szCs w:val="21"/>
                <w:lang w:eastAsia="zh-CN"/>
              </w:rPr>
            </w:pPr>
            <w:r>
              <w:rPr>
                <w:rFonts w:hint="eastAsia"/>
                <w:lang w:eastAsia="zh-CN"/>
              </w:rPr>
              <w:t>审核条款：</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6.2/8.2/9.1.1/9.1.2</w:t>
            </w:r>
          </w:p>
          <w:p>
            <w:pPr>
              <w:pStyle w:val="2"/>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6.2/6.1.2/6.1.3</w:t>
            </w:r>
            <w:r>
              <w:rPr>
                <w:rFonts w:hint="default" w:ascii="Times New Roman" w:hAnsi="Times New Roman" w:eastAsia="宋体" w:cs="Times New Roman"/>
                <w:sz w:val="21"/>
                <w:szCs w:val="21"/>
              </w:rPr>
              <w:t>/8.1/8.2</w:t>
            </w:r>
            <w:r>
              <w:rPr>
                <w:rFonts w:hint="eastAsia" w:ascii="Times New Roman" w:hAnsi="Times New Roman" w:eastAsia="宋体" w:cs="Times New Roman"/>
                <w:sz w:val="21"/>
                <w:szCs w:val="21"/>
                <w:lang w:val="en-US" w:eastAsia="zh-CN"/>
              </w:rPr>
              <w:t>/9.1.1</w:t>
            </w:r>
          </w:p>
        </w:tc>
        <w:tc>
          <w:tcPr>
            <w:tcW w:w="100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607" w:type="dxa"/>
            <w:gridSpan w:val="2"/>
            <w:vAlign w:val="top"/>
          </w:tcPr>
          <w:p>
            <w:pPr>
              <w:rPr>
                <w:rFonts w:hint="eastAsia"/>
                <w:color w:val="auto"/>
                <w:highlight w:val="none"/>
                <w:lang w:val="en-US" w:eastAsia="zh-CN"/>
              </w:rPr>
            </w:pPr>
            <w:r>
              <w:rPr>
                <w:rFonts w:hint="eastAsia"/>
                <w:color w:val="auto"/>
                <w:highlight w:val="none"/>
                <w:lang w:val="en-US" w:eastAsia="zh-CN"/>
              </w:rPr>
              <w:t>远程审核采用的方式</w:t>
            </w:r>
          </w:p>
        </w:tc>
        <w:tc>
          <w:tcPr>
            <w:tcW w:w="11093" w:type="dxa"/>
            <w:vAlign w:val="top"/>
          </w:tcPr>
          <w:p>
            <w:pPr>
              <w:pStyle w:val="2"/>
              <w:ind w:firstLine="1610" w:firstLineChars="700"/>
              <w:jc w:val="left"/>
              <w:rPr>
                <w:rFonts w:hint="eastAsia"/>
                <w:color w:val="auto"/>
                <w:highlight w:val="none"/>
                <w:lang w:val="en-US" w:eastAsia="zh-CN"/>
              </w:rPr>
            </w:pPr>
            <w:r>
              <w:rPr>
                <w:rFonts w:hint="eastAsia"/>
                <w:color w:val="auto"/>
                <w:highlight w:val="none"/>
                <w:lang w:val="en-US" w:eastAsia="zh-CN"/>
              </w:rPr>
              <w:t>网络微信群、微信视频、电话等方式。</w:t>
            </w:r>
          </w:p>
          <w:p>
            <w:pPr>
              <w:pStyle w:val="2"/>
              <w:ind w:firstLine="1610" w:firstLineChars="700"/>
              <w:jc w:val="left"/>
              <w:rPr>
                <w:rFonts w:hint="eastAsia"/>
                <w:color w:val="auto"/>
                <w:highlight w:val="none"/>
                <w:lang w:val="en-US" w:eastAsia="zh-CN"/>
              </w:rPr>
            </w:pPr>
            <w:r>
              <w:rPr>
                <w:rFonts w:hint="eastAsia"/>
                <w:color w:val="auto"/>
                <w:highlight w:val="none"/>
                <w:lang w:val="en-US" w:eastAsia="zh-CN"/>
              </w:rPr>
              <w:t>微信群：2022四川量和科技公司QEO认证</w:t>
            </w:r>
          </w:p>
          <w:p>
            <w:pPr>
              <w:pStyle w:val="2"/>
              <w:ind w:firstLine="1610" w:firstLineChars="700"/>
              <w:jc w:val="left"/>
              <w:rPr>
                <w:rFonts w:hint="eastAsia"/>
                <w:color w:val="auto"/>
                <w:highlight w:val="none"/>
                <w:lang w:val="en-US" w:eastAsia="zh-CN"/>
              </w:rPr>
            </w:pPr>
            <w:r>
              <w:rPr>
                <w:rFonts w:hint="eastAsia"/>
                <w:color w:val="auto"/>
                <w:highlight w:val="none"/>
                <w:lang w:val="en-US" w:eastAsia="zh-CN"/>
              </w:rPr>
              <w:t>市场部：罗辉 公司手机号：13980701595；公司微信号：wxid_qragdydl4otd22；</w:t>
            </w:r>
          </w:p>
          <w:p>
            <w:pPr>
              <w:pStyle w:val="2"/>
              <w:ind w:firstLine="1610" w:firstLineChars="700"/>
              <w:jc w:val="left"/>
              <w:rPr>
                <w:rFonts w:hint="eastAsia" w:ascii="宋体" w:hAnsi="宋体" w:cs="Arial"/>
                <w:color w:val="auto"/>
                <w:szCs w:val="21"/>
                <w:highlight w:val="none"/>
              </w:rPr>
            </w:pPr>
            <w:r>
              <w:rPr>
                <w:rFonts w:hint="eastAsia"/>
                <w:color w:val="auto"/>
                <w:highlight w:val="none"/>
                <w:lang w:val="en-US" w:eastAsia="zh-CN"/>
              </w:rPr>
              <w:t>审核员：明利红 手机号：13368090815 ；微信号：mmyy52058</w:t>
            </w:r>
          </w:p>
        </w:tc>
        <w:tc>
          <w:tcPr>
            <w:tcW w:w="1009" w:type="dxa"/>
            <w:vAlign w:val="top"/>
          </w:tcPr>
          <w:p>
            <w:pPr>
              <w:rPr>
                <w:rFonts w:hint="eastAsia"/>
                <w:color w:val="auto"/>
                <w:highlight w:val="none"/>
                <w:lang w:val="en-US" w:eastAsia="zh-CN"/>
              </w:rPr>
            </w:pPr>
            <w:r>
              <w:rPr>
                <w:rFonts w:hint="eastAsia"/>
                <w:color w:val="auto"/>
                <w:highlight w:val="none"/>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14" w:type="dxa"/>
            <w:vAlign w:val="top"/>
          </w:tcPr>
          <w:p>
            <w:pPr>
              <w:rPr>
                <w:rFonts w:hint="eastAsia" w:ascii="Times New Roman" w:hAnsi="Times New Roman" w:eastAsia="宋体" w:cs="Times New Roman"/>
                <w:sz w:val="21"/>
                <w:szCs w:val="21"/>
                <w:lang w:val="en-US" w:eastAsia="zh-CN"/>
              </w:rPr>
            </w:pPr>
            <w:r>
              <w:rPr>
                <w:rFonts w:hint="eastAsia" w:ascii="宋体" w:hAnsi="宋体" w:cs="宋体"/>
                <w:b/>
                <w:bCs/>
                <w:sz w:val="21"/>
                <w:szCs w:val="21"/>
              </w:rPr>
              <w:t>组织的角色、职责和权限</w:t>
            </w:r>
          </w:p>
        </w:tc>
        <w:tc>
          <w:tcPr>
            <w:tcW w:w="1093" w:type="dxa"/>
            <w:vAlign w:val="top"/>
          </w:tcPr>
          <w:p>
            <w:pPr>
              <w:rPr>
                <w:rFonts w:hint="eastAsia" w:ascii="Times New Roman" w:hAnsi="Times New Roman" w:eastAsia="宋体" w:cs="Times New Roman"/>
                <w:sz w:val="21"/>
                <w:szCs w:val="21"/>
                <w:lang w:val="en-US" w:eastAsia="zh-CN"/>
              </w:rPr>
            </w:pPr>
            <w:r>
              <w:rPr>
                <w:rFonts w:hint="eastAsia"/>
                <w:lang w:val="en-US" w:eastAsia="zh-CN"/>
              </w:rPr>
              <w:t>QEO5.3</w:t>
            </w:r>
          </w:p>
        </w:tc>
        <w:tc>
          <w:tcPr>
            <w:tcW w:w="11093" w:type="dxa"/>
            <w:vAlign w:val="top"/>
          </w:tcPr>
          <w:p>
            <w:pPr>
              <w:numPr>
                <w:ilvl w:val="0"/>
                <w:numId w:val="1"/>
              </w:numPr>
              <w:spacing w:line="360" w:lineRule="auto"/>
              <w:ind w:left="420" w:leftChars="0" w:hanging="420" w:firstLineChars="0"/>
              <w:rPr>
                <w:rFonts w:hint="eastAsia" w:ascii="Times New Roman" w:hAnsi="Times New Roman" w:eastAsia="宋体" w:cs="Times New Roman"/>
                <w:color w:val="auto"/>
                <w:kern w:val="2"/>
                <w:sz w:val="21"/>
                <w:szCs w:val="21"/>
                <w:lang w:val="en-US" w:eastAsia="zh-CN" w:bidi="ar-SA"/>
              </w:rPr>
            </w:pPr>
            <w:r>
              <w:rPr>
                <w:rFonts w:hint="eastAsia"/>
                <w:sz w:val="21"/>
                <w:szCs w:val="21"/>
                <w:lang w:val="en-US" w:eastAsia="zh-CN"/>
              </w:rPr>
              <w:t>文件：《管理手册》5.3条款，</w:t>
            </w:r>
            <w:r>
              <w:rPr>
                <w:rFonts w:hint="eastAsia" w:ascii="Times New Roman" w:hAnsi="Times New Roman" w:eastAsia="宋体" w:cs="Times New Roman"/>
                <w:color w:val="auto"/>
                <w:kern w:val="2"/>
                <w:sz w:val="21"/>
                <w:szCs w:val="21"/>
                <w:lang w:val="en-US" w:eastAsia="zh-CN" w:bidi="ar-SA"/>
              </w:rPr>
              <w:t>《岗位说明书》；文件适宜。</w:t>
            </w:r>
          </w:p>
          <w:p>
            <w:pPr>
              <w:pStyle w:val="18"/>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市场部</w:t>
            </w:r>
            <w:r>
              <w:rPr>
                <w:rFonts w:hint="eastAsia" w:ascii="Times New Roman" w:hAnsi="Times New Roman" w:eastAsia="宋体" w:cs="Times New Roman"/>
                <w:color w:val="auto"/>
                <w:kern w:val="2"/>
                <w:sz w:val="21"/>
                <w:szCs w:val="21"/>
                <w:lang w:val="en-US" w:eastAsia="zh-CN" w:bidi="ar-SA"/>
              </w:rPr>
              <w:t>：职责已明确:</w:t>
            </w:r>
          </w:p>
          <w:p>
            <w:pPr>
              <w:ind w:left="425"/>
              <w:rPr>
                <w:rFonts w:ascii="宋体" w:hAnsi="宋体" w:cs="宋体"/>
                <w:sz w:val="24"/>
              </w:rPr>
            </w:pPr>
            <w:r>
              <w:rPr>
                <w:rFonts w:hint="eastAsia" w:ascii="宋体" w:hAnsi="宋体" w:cs="宋体"/>
                <w:sz w:val="24"/>
              </w:rPr>
              <w:t>做好客户沟通和服务工作，建立客服制度；</w:t>
            </w:r>
          </w:p>
          <w:p>
            <w:pPr>
              <w:ind w:left="425"/>
              <w:rPr>
                <w:rFonts w:ascii="宋体" w:hAnsi="宋体" w:cs="宋体"/>
                <w:sz w:val="24"/>
              </w:rPr>
            </w:pPr>
            <w:r>
              <w:rPr>
                <w:rFonts w:hint="eastAsia" w:ascii="宋体" w:hAnsi="宋体" w:cs="宋体"/>
                <w:sz w:val="24"/>
              </w:rPr>
              <w:t>负责接收客户的订单、合同，仔细核对订单合同的内容，做好合同评审工作；</w:t>
            </w:r>
          </w:p>
          <w:p>
            <w:pPr>
              <w:ind w:left="425"/>
              <w:rPr>
                <w:rFonts w:ascii="宋体" w:hAnsi="宋体" w:cs="宋体"/>
                <w:sz w:val="24"/>
              </w:rPr>
            </w:pPr>
            <w:r>
              <w:rPr>
                <w:rFonts w:hint="eastAsia" w:ascii="宋体" w:hAnsi="宋体" w:cs="宋体"/>
                <w:sz w:val="24"/>
              </w:rPr>
              <w:t>负责在接收客户的反馈信息，包括投诉和抱怨等，并及时将相关信息传达到有关部门，做好记录，并及时将相关措施反馈给客户；</w:t>
            </w:r>
          </w:p>
          <w:p>
            <w:pPr>
              <w:ind w:left="425"/>
              <w:rPr>
                <w:rFonts w:hint="eastAsia" w:ascii="宋体" w:hAnsi="宋体" w:cs="宋体"/>
                <w:sz w:val="24"/>
              </w:rPr>
            </w:pPr>
            <w:r>
              <w:rPr>
                <w:rFonts w:hint="eastAsia" w:ascii="宋体" w:hAnsi="宋体" w:cs="宋体"/>
                <w:sz w:val="24"/>
              </w:rPr>
              <w:t>负责做好客户满意度调查、统计的方案，并予以执行；</w:t>
            </w:r>
          </w:p>
          <w:p>
            <w:pPr>
              <w:ind w:left="425"/>
              <w:rPr>
                <w:rFonts w:hint="eastAsia" w:ascii="宋体" w:hAnsi="宋体" w:cs="宋体"/>
                <w:sz w:val="24"/>
              </w:rPr>
            </w:pPr>
            <w:r>
              <w:rPr>
                <w:rFonts w:hint="eastAsia" w:ascii="宋体" w:hAnsi="宋体" w:cs="宋体"/>
                <w:sz w:val="24"/>
              </w:rPr>
              <w:t>对发生的各类安全事故和隐患要认真核实、区分责任，提出处理建议。</w:t>
            </w:r>
          </w:p>
          <w:p>
            <w:pPr>
              <w:ind w:left="425"/>
              <w:rPr>
                <w:rFonts w:hint="eastAsia" w:ascii="宋体" w:hAnsi="宋体" w:cs="宋体"/>
                <w:sz w:val="24"/>
              </w:rPr>
            </w:pPr>
            <w:r>
              <w:rPr>
                <w:rFonts w:hint="eastAsia" w:ascii="宋体" w:hAnsi="宋体" w:cs="宋体"/>
                <w:sz w:val="24"/>
              </w:rPr>
              <w:t>负责对主管以上管理者的业务培训指导和绩效考核。</w:t>
            </w:r>
          </w:p>
          <w:p>
            <w:pPr>
              <w:ind w:left="425"/>
              <w:rPr>
                <w:rFonts w:hint="eastAsia" w:ascii="宋体" w:hAnsi="宋体" w:cs="宋体"/>
                <w:sz w:val="24"/>
              </w:rPr>
            </w:pPr>
            <w:r>
              <w:rPr>
                <w:rFonts w:hint="eastAsia" w:ascii="宋体" w:hAnsi="宋体" w:cs="宋体"/>
                <w:sz w:val="24"/>
              </w:rPr>
              <w:t>负责与当地政府相关部门、社区居委会、业主委员会、大客户保持沟通，确保与其有良好的公共关系；</w:t>
            </w:r>
          </w:p>
          <w:p>
            <w:pPr>
              <w:pStyle w:val="2"/>
              <w:rPr>
                <w:rFonts w:hint="eastAsia"/>
              </w:rPr>
            </w:pPr>
          </w:p>
          <w:p>
            <w:pPr>
              <w:numPr>
                <w:ilvl w:val="0"/>
                <w:numId w:val="2"/>
              </w:numPr>
              <w:ind w:left="420" w:leftChars="0" w:hanging="420" w:firstLineChars="0"/>
              <w:rPr>
                <w:rFonts w:hint="eastAsia" w:ascii="宋体" w:hAnsi="宋体" w:eastAsia="宋体" w:cs="宋体"/>
                <w:szCs w:val="21"/>
                <w:lang w:val="en-US" w:eastAsia="zh-CN"/>
              </w:rPr>
            </w:pPr>
            <w:r>
              <w:rPr>
                <w:rFonts w:hint="eastAsia" w:ascii="宋体" w:hAnsi="宋体" w:cs="Arial"/>
                <w:color w:val="000000"/>
                <w:szCs w:val="21"/>
              </w:rPr>
              <w:t>以文件的形式发布，部门组织学习，现场有职责</w:t>
            </w:r>
            <w:r>
              <w:rPr>
                <w:rFonts w:hint="eastAsia" w:ascii="宋体" w:hAnsi="宋体" w:cs="Tahoma"/>
                <w:color w:val="000000"/>
                <w:szCs w:val="21"/>
              </w:rPr>
              <w:t>权限的要求文件，询问</w:t>
            </w:r>
            <w:r>
              <w:rPr>
                <w:rFonts w:hint="eastAsia" w:ascii="宋体" w:hAnsi="宋体" w:cs="Tahoma"/>
                <w:color w:val="000000"/>
                <w:szCs w:val="21"/>
                <w:lang w:val="en-US" w:eastAsia="zh-CN"/>
              </w:rPr>
              <w:t>部门负责人</w:t>
            </w:r>
            <w:r>
              <w:rPr>
                <w:rFonts w:hint="eastAsia" w:ascii="宋体" w:hAnsi="宋体" w:cs="Tahoma"/>
                <w:color w:val="000000"/>
                <w:szCs w:val="21"/>
              </w:rPr>
              <w:t>，基本理解其本职工作内容</w:t>
            </w:r>
            <w:r>
              <w:rPr>
                <w:rFonts w:hint="eastAsia" w:ascii="宋体" w:hAnsi="宋体" w:cs="Tahoma"/>
                <w:color w:val="000000"/>
                <w:szCs w:val="21"/>
                <w:lang w:eastAsia="zh-CN"/>
              </w:rPr>
              <w:t>。</w:t>
            </w:r>
          </w:p>
        </w:tc>
        <w:tc>
          <w:tcPr>
            <w:tcW w:w="1009" w:type="dxa"/>
            <w:vAlign w:val="top"/>
          </w:tcPr>
          <w:p>
            <w:pPr>
              <w:rPr>
                <w:rFonts w:hint="eastAsia"/>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14" w:type="dxa"/>
            <w:vAlign w:val="top"/>
          </w:tcPr>
          <w:p>
            <w:pPr>
              <w:rPr>
                <w:rFonts w:hint="eastAsia" w:ascii="Times New Roman" w:hAnsi="Times New Roman" w:eastAsia="宋体" w:cs="Times New Roman"/>
                <w:sz w:val="21"/>
                <w:szCs w:val="21"/>
                <w:lang w:val="en-US" w:eastAsia="zh-CN"/>
              </w:rPr>
            </w:pPr>
            <w:r>
              <w:rPr>
                <w:rFonts w:hint="eastAsia" w:ascii="宋体" w:hAnsi="宋体" w:cs="宋体"/>
                <w:b/>
                <w:bCs/>
                <w:sz w:val="21"/>
                <w:szCs w:val="21"/>
              </w:rPr>
              <w:t>环境因素</w:t>
            </w:r>
          </w:p>
        </w:tc>
        <w:tc>
          <w:tcPr>
            <w:tcW w:w="1093" w:type="dxa"/>
            <w:vAlign w:val="top"/>
          </w:tcPr>
          <w:p>
            <w:pPr>
              <w:rPr>
                <w:rFonts w:hint="eastAsia" w:ascii="Times New Roman" w:hAnsi="Times New Roman" w:eastAsia="宋体" w:cs="Times New Roman"/>
                <w:sz w:val="21"/>
                <w:szCs w:val="21"/>
                <w:lang w:val="en-US" w:eastAsia="zh-CN"/>
              </w:rPr>
            </w:pPr>
            <w:r>
              <w:rPr>
                <w:rFonts w:hint="eastAsia" w:ascii="宋体" w:hAnsi="宋体" w:cs="宋体"/>
                <w:b/>
                <w:bCs/>
                <w:sz w:val="21"/>
                <w:szCs w:val="21"/>
                <w:lang w:val="en-US" w:eastAsia="zh-CN"/>
              </w:rPr>
              <w:t>E:</w:t>
            </w:r>
            <w:r>
              <w:rPr>
                <w:rFonts w:hint="eastAsia" w:ascii="宋体" w:hAnsi="宋体" w:cs="宋体"/>
                <w:b/>
                <w:bCs/>
                <w:sz w:val="21"/>
                <w:szCs w:val="21"/>
              </w:rPr>
              <w:t>6.1.2</w:t>
            </w:r>
          </w:p>
        </w:tc>
        <w:tc>
          <w:tcPr>
            <w:tcW w:w="11093" w:type="dxa"/>
            <w:vAlign w:val="top"/>
          </w:tcPr>
          <w:p>
            <w:pPr>
              <w:numPr>
                <w:ilvl w:val="0"/>
                <w:numId w:val="3"/>
              </w:numPr>
              <w:spacing w:line="400" w:lineRule="exact"/>
              <w:rPr>
                <w:rFonts w:hint="eastAsia" w:ascii="宋体" w:hAnsi="宋体" w:eastAsia="宋体" w:cs="Times New Roman"/>
                <w:szCs w:val="21"/>
              </w:rPr>
            </w:pPr>
            <w:r>
              <w:rPr>
                <w:rFonts w:hint="eastAsia" w:ascii="宋体" w:hAnsi="宋体" w:eastAsia="宋体" w:cs="Times New Roman"/>
                <w:szCs w:val="21"/>
              </w:rPr>
              <w:t>编制了《环境因素识别与评价控制程序》，明确了职责、</w:t>
            </w:r>
            <w:r>
              <w:rPr>
                <w:rFonts w:hint="eastAsia" w:ascii="宋体" w:hAnsi="宋体" w:eastAsia="宋体" w:cs="Times New Roman"/>
                <w:szCs w:val="21"/>
                <w:lang w:val="en-US" w:eastAsia="zh-CN"/>
              </w:rPr>
              <w:t>环境因素识别</w:t>
            </w:r>
            <w:r>
              <w:rPr>
                <w:rFonts w:hint="eastAsia" w:ascii="宋体" w:hAnsi="宋体" w:eastAsia="宋体" w:cs="Times New Roman"/>
                <w:szCs w:val="21"/>
              </w:rPr>
              <w:t>及评价方法、程序等。基本符合标准要求。文件适宜。</w:t>
            </w:r>
          </w:p>
          <w:p>
            <w:pPr>
              <w:numPr>
                <w:ilvl w:val="0"/>
                <w:numId w:val="3"/>
              </w:numPr>
              <w:spacing w:line="400" w:lineRule="exact"/>
              <w:rPr>
                <w:rFonts w:hint="eastAsia" w:ascii="宋体" w:hAnsi="宋体" w:eastAsia="宋体" w:cs="Times New Roman"/>
                <w:szCs w:val="21"/>
              </w:rPr>
            </w:pPr>
            <w:r>
              <w:rPr>
                <w:rFonts w:hint="eastAsia" w:ascii="宋体" w:hAnsi="宋体" w:eastAsia="宋体" w:cs="Times New Roman"/>
                <w:szCs w:val="21"/>
              </w:rPr>
              <w:t>查见</w:t>
            </w:r>
            <w:r>
              <w:rPr>
                <w:rFonts w:hint="eastAsia" w:ascii="宋体" w:hAnsi="宋体" w:eastAsia="宋体" w:cs="Times New Roman"/>
                <w:szCs w:val="21"/>
                <w:lang w:val="en-US" w:eastAsia="zh-CN"/>
              </w:rPr>
              <w:t>部门</w:t>
            </w:r>
            <w:r>
              <w:rPr>
                <w:rFonts w:hint="eastAsia" w:ascii="宋体" w:hAnsi="宋体" w:eastAsia="宋体" w:cs="Times New Roman"/>
                <w:szCs w:val="21"/>
              </w:rPr>
              <w:t>《环境因素</w:t>
            </w:r>
            <w:r>
              <w:rPr>
                <w:rFonts w:hint="eastAsia" w:ascii="宋体" w:hAnsi="宋体" w:cs="Times New Roman"/>
                <w:szCs w:val="21"/>
                <w:lang w:val="en-US" w:eastAsia="zh-CN"/>
              </w:rPr>
              <w:t>及评定表</w:t>
            </w:r>
            <w:r>
              <w:rPr>
                <w:rFonts w:hint="eastAsia" w:ascii="宋体" w:hAnsi="宋体" w:eastAsia="宋体" w:cs="Times New Roman"/>
                <w:szCs w:val="21"/>
              </w:rPr>
              <w:t>》，</w:t>
            </w:r>
            <w:r>
              <w:rPr>
                <w:rFonts w:hint="eastAsia" w:ascii="宋体" w:hAnsi="宋体"/>
                <w:szCs w:val="21"/>
              </w:rPr>
              <w:t>编制、审核、批准齐全；</w:t>
            </w:r>
            <w:r>
              <w:rPr>
                <w:rFonts w:hint="eastAsia" w:ascii="宋体" w:hAnsi="宋体" w:eastAsia="宋体" w:cs="Times New Roman"/>
                <w:szCs w:val="21"/>
              </w:rPr>
              <w:t>识别环境因素若干项。包括了日常办公活动所涉及的水、电消耗，</w:t>
            </w:r>
            <w:r>
              <w:rPr>
                <w:rFonts w:hint="eastAsia" w:ascii="宋体" w:hAnsi="宋体" w:cs="Times New Roman"/>
                <w:szCs w:val="21"/>
                <w:lang w:val="en-US" w:eastAsia="zh-CN"/>
              </w:rPr>
              <w:t>固废</w:t>
            </w:r>
            <w:r>
              <w:rPr>
                <w:rFonts w:hint="eastAsia" w:ascii="宋体" w:hAnsi="宋体" w:eastAsia="宋体" w:cs="Times New Roman"/>
                <w:szCs w:val="21"/>
              </w:rPr>
              <w:t>管理等，采用判断法与评分法进行了评价。</w:t>
            </w:r>
          </w:p>
          <w:p>
            <w:pPr>
              <w:numPr>
                <w:ilvl w:val="0"/>
                <w:numId w:val="3"/>
              </w:numPr>
              <w:spacing w:line="400" w:lineRule="exact"/>
              <w:rPr>
                <w:rFonts w:hint="eastAsia" w:ascii="宋体" w:hAnsi="宋体"/>
                <w:szCs w:val="21"/>
              </w:rPr>
            </w:pPr>
            <w:r>
              <w:rPr>
                <w:rFonts w:hint="eastAsia" w:ascii="宋体" w:hAnsi="宋体"/>
                <w:szCs w:val="21"/>
              </w:rPr>
              <w:t>抽环境因素：</w:t>
            </w:r>
          </w:p>
          <w:p>
            <w:pPr>
              <w:numPr>
                <w:ilvl w:val="0"/>
                <w:numId w:val="0"/>
              </w:numPr>
              <w:spacing w:line="400" w:lineRule="exact"/>
              <w:ind w:leftChars="0" w:firstLine="630" w:firstLineChars="300"/>
              <w:rPr>
                <w:rFonts w:hint="eastAsia" w:ascii="宋体" w:hAnsi="宋体"/>
                <w:szCs w:val="21"/>
              </w:rPr>
            </w:pPr>
            <w:r>
              <w:rPr>
                <w:rFonts w:hint="eastAsia" w:ascii="宋体" w:hAnsi="宋体"/>
                <w:szCs w:val="21"/>
              </w:rPr>
              <w:t>办公用纸的废弃</w:t>
            </w:r>
            <w:r>
              <w:rPr>
                <w:rFonts w:hint="eastAsia" w:ascii="宋体" w:hAnsi="宋体"/>
                <w:szCs w:val="21"/>
                <w:lang w:eastAsia="zh-CN"/>
              </w:rPr>
              <w:t>、</w:t>
            </w:r>
            <w:r>
              <w:rPr>
                <w:rFonts w:hint="eastAsia" w:ascii="宋体" w:hAnsi="宋体"/>
                <w:szCs w:val="21"/>
                <w:lang w:val="en-US" w:eastAsia="zh-CN"/>
              </w:rPr>
              <w:t>生活垃圾</w:t>
            </w:r>
            <w:r>
              <w:rPr>
                <w:rFonts w:hint="eastAsia" w:ascii="宋体" w:hAnsi="宋体"/>
                <w:szCs w:val="21"/>
              </w:rPr>
              <w:t>；判断结果：</w:t>
            </w:r>
            <w:r>
              <w:rPr>
                <w:rFonts w:hint="eastAsia" w:ascii="宋体" w:hAnsi="宋体"/>
                <w:szCs w:val="21"/>
                <w:lang w:val="en-US" w:eastAsia="zh-CN"/>
              </w:rPr>
              <w:t>一般环境因素</w:t>
            </w:r>
            <w:r>
              <w:rPr>
                <w:rFonts w:hint="eastAsia" w:ascii="宋体" w:hAnsi="宋体"/>
                <w:szCs w:val="21"/>
              </w:rPr>
              <w:t>；</w:t>
            </w:r>
          </w:p>
          <w:p>
            <w:pPr>
              <w:numPr>
                <w:ilvl w:val="0"/>
                <w:numId w:val="0"/>
              </w:numPr>
              <w:spacing w:line="400" w:lineRule="exact"/>
              <w:ind w:leftChars="0" w:firstLine="630" w:firstLineChars="300"/>
              <w:rPr>
                <w:rFonts w:hint="eastAsia" w:ascii="宋体" w:hAnsi="宋体"/>
                <w:szCs w:val="21"/>
              </w:rPr>
            </w:pPr>
            <w:r>
              <w:rPr>
                <w:rFonts w:hint="eastAsia"/>
              </w:rPr>
              <w:t>废墨盒等废弃物排放</w:t>
            </w:r>
            <w:r>
              <w:rPr>
                <w:rFonts w:hint="eastAsia" w:ascii="宋体" w:hAnsi="宋体"/>
                <w:szCs w:val="21"/>
              </w:rPr>
              <w:t>；判断结果：重要</w:t>
            </w:r>
            <w:r>
              <w:rPr>
                <w:rFonts w:hint="eastAsia" w:ascii="宋体" w:hAnsi="宋体"/>
                <w:szCs w:val="21"/>
                <w:lang w:val="en-US" w:eastAsia="zh-CN"/>
              </w:rPr>
              <w:t>环境因素</w:t>
            </w:r>
            <w:r>
              <w:rPr>
                <w:rFonts w:hint="eastAsia" w:ascii="宋体" w:hAnsi="宋体"/>
                <w:szCs w:val="21"/>
              </w:rPr>
              <w:t>；</w:t>
            </w:r>
          </w:p>
          <w:p>
            <w:pPr>
              <w:pStyle w:val="2"/>
              <w:ind w:firstLine="690" w:firstLineChars="300"/>
              <w:rPr>
                <w:rFonts w:hint="eastAsia"/>
              </w:rPr>
            </w:pPr>
            <w:r>
              <w:rPr>
                <w:rFonts w:hint="eastAsia"/>
                <w:szCs w:val="21"/>
              </w:rPr>
              <w:t>办公区域线路老化因其火灾</w:t>
            </w:r>
            <w:r>
              <w:rPr>
                <w:rFonts w:hint="eastAsia"/>
                <w:szCs w:val="21"/>
                <w:lang w:eastAsia="zh-CN"/>
              </w:rPr>
              <w:t>、</w:t>
            </w:r>
            <w:r>
              <w:rPr>
                <w:rFonts w:hint="eastAsia"/>
                <w:szCs w:val="21"/>
              </w:rPr>
              <w:t>烟头随意丢弃火灾</w:t>
            </w:r>
            <w:r>
              <w:rPr>
                <w:rFonts w:hint="eastAsia" w:ascii="宋体" w:hAnsi="宋体"/>
                <w:szCs w:val="21"/>
              </w:rPr>
              <w:t>；判断结果：重要</w:t>
            </w:r>
            <w:r>
              <w:rPr>
                <w:rFonts w:hint="eastAsia" w:ascii="宋体" w:hAnsi="宋体"/>
                <w:szCs w:val="21"/>
                <w:lang w:val="en-US" w:eastAsia="zh-CN"/>
              </w:rPr>
              <w:t>环境因素</w:t>
            </w:r>
            <w:r>
              <w:rPr>
                <w:rFonts w:hint="eastAsia" w:ascii="宋体" w:hAnsi="宋体"/>
                <w:szCs w:val="21"/>
              </w:rPr>
              <w:t>；</w:t>
            </w:r>
          </w:p>
          <w:p>
            <w:pPr>
              <w:numPr>
                <w:ilvl w:val="0"/>
                <w:numId w:val="0"/>
              </w:numPr>
              <w:spacing w:line="400" w:lineRule="exact"/>
              <w:ind w:leftChars="0" w:firstLine="630" w:firstLineChars="300"/>
              <w:rPr>
                <w:rFonts w:hint="eastAsia" w:ascii="宋体" w:hAnsi="宋体"/>
                <w:szCs w:val="21"/>
              </w:rPr>
            </w:pPr>
            <w:r>
              <w:rPr>
                <w:rFonts w:hint="eastAsia" w:ascii="宋体" w:hAnsi="宋体"/>
                <w:szCs w:val="21"/>
              </w:rPr>
              <w:t>日常办公水</w:t>
            </w:r>
            <w:r>
              <w:rPr>
                <w:rFonts w:hint="eastAsia" w:ascii="宋体" w:hAnsi="宋体"/>
                <w:szCs w:val="21"/>
                <w:lang w:eastAsia="zh-CN"/>
              </w:rPr>
              <w:t>、</w:t>
            </w:r>
            <w:r>
              <w:rPr>
                <w:rFonts w:hint="eastAsia" w:ascii="宋体" w:hAnsi="宋体"/>
                <w:szCs w:val="21"/>
                <w:lang w:val="en-US" w:eastAsia="zh-CN"/>
              </w:rPr>
              <w:t>电、能源资源</w:t>
            </w:r>
            <w:r>
              <w:rPr>
                <w:rFonts w:hint="eastAsia" w:ascii="宋体" w:hAnsi="宋体"/>
                <w:szCs w:val="21"/>
              </w:rPr>
              <w:t>的消耗</w:t>
            </w:r>
            <w:r>
              <w:rPr>
                <w:rFonts w:hint="eastAsia" w:ascii="宋体" w:hAnsi="宋体"/>
                <w:szCs w:val="21"/>
                <w:lang w:eastAsia="zh-CN"/>
              </w:rPr>
              <w:t>；</w:t>
            </w:r>
            <w:r>
              <w:rPr>
                <w:rFonts w:hint="eastAsia" w:ascii="宋体" w:hAnsi="宋体"/>
                <w:szCs w:val="21"/>
                <w:lang w:val="en-US" w:eastAsia="zh-CN"/>
              </w:rPr>
              <w:t>判定为一般环境因素</w:t>
            </w:r>
            <w:r>
              <w:rPr>
                <w:rFonts w:hint="eastAsia" w:ascii="宋体" w:hAnsi="宋体"/>
                <w:szCs w:val="21"/>
              </w:rPr>
              <w:t>；</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rPr>
              <w:t>评价方法基本适宜，评价结果基本合理。</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rPr>
              <w:t>查见《重要环境因素清单》。涉及本部门有</w:t>
            </w:r>
            <w:r>
              <w:rPr>
                <w:rFonts w:hint="eastAsia" w:ascii="宋体" w:hAnsi="宋体"/>
                <w:szCs w:val="21"/>
                <w:lang w:val="en-US" w:eastAsia="zh-CN"/>
              </w:rPr>
              <w:t>2</w:t>
            </w:r>
            <w:r>
              <w:rPr>
                <w:rFonts w:hint="eastAsia" w:ascii="宋体" w:hAnsi="宋体"/>
                <w:szCs w:val="21"/>
              </w:rPr>
              <w:t>项：</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lang w:val="en-US" w:eastAsia="zh-CN"/>
              </w:rPr>
              <w:t>固</w:t>
            </w:r>
            <w:r>
              <w:rPr>
                <w:rFonts w:hint="eastAsia" w:ascii="宋体" w:hAnsi="宋体"/>
                <w:szCs w:val="21"/>
              </w:rPr>
              <w:t>废</w:t>
            </w:r>
            <w:r>
              <w:rPr>
                <w:rFonts w:hint="eastAsia" w:ascii="宋体" w:hAnsi="宋体"/>
                <w:szCs w:val="21"/>
                <w:lang w:val="en-US" w:eastAsia="zh-CN"/>
              </w:rPr>
              <w:t>的</w:t>
            </w:r>
            <w:r>
              <w:rPr>
                <w:rFonts w:hint="eastAsia" w:ascii="宋体" w:hAnsi="宋体"/>
                <w:szCs w:val="21"/>
              </w:rPr>
              <w:t>排放。即办公区墨盒、硒鼓</w:t>
            </w:r>
            <w:r>
              <w:rPr>
                <w:rFonts w:hint="eastAsia" w:ascii="宋体" w:hAnsi="宋体"/>
                <w:szCs w:val="21"/>
                <w:lang w:val="en-US" w:eastAsia="zh-CN"/>
              </w:rPr>
              <w:t>张</w:t>
            </w:r>
            <w:r>
              <w:rPr>
                <w:rFonts w:hint="eastAsia" w:ascii="宋体" w:hAnsi="宋体"/>
                <w:szCs w:val="21"/>
              </w:rPr>
              <w:t>等的废弃，环境影响：污染土壤水体，主要控制措施：目标 指标和管理方案</w:t>
            </w:r>
            <w:r>
              <w:rPr>
                <w:rFonts w:hint="eastAsia" w:ascii="宋体" w:hAnsi="宋体"/>
                <w:szCs w:val="21"/>
                <w:lang w:val="en-US" w:eastAsia="zh-CN"/>
              </w:rPr>
              <w:t>控制及按</w:t>
            </w:r>
            <w:r>
              <w:rPr>
                <w:rFonts w:hint="eastAsia" w:ascii="宋体" w:hAnsi="宋体"/>
                <w:szCs w:val="21"/>
              </w:rPr>
              <w:t>运行</w:t>
            </w:r>
            <w:r>
              <w:rPr>
                <w:rFonts w:hint="eastAsia" w:ascii="宋体" w:hAnsi="宋体"/>
                <w:szCs w:val="21"/>
                <w:lang w:val="en-US" w:eastAsia="zh-CN"/>
              </w:rPr>
              <w:t>程序</w:t>
            </w:r>
            <w:r>
              <w:rPr>
                <w:rFonts w:hint="eastAsia" w:ascii="宋体" w:hAnsi="宋体"/>
                <w:szCs w:val="21"/>
              </w:rPr>
              <w:t>控制；</w:t>
            </w:r>
          </w:p>
          <w:p>
            <w:pPr>
              <w:numPr>
                <w:ilvl w:val="0"/>
                <w:numId w:val="0"/>
              </w:numPr>
              <w:spacing w:line="400" w:lineRule="exact"/>
              <w:ind w:leftChars="0" w:firstLine="420" w:firstLineChars="200"/>
              <w:rPr>
                <w:rFonts w:hint="eastAsia" w:ascii="宋体" w:hAnsi="宋体"/>
                <w:szCs w:val="21"/>
                <w:lang w:eastAsia="zh-CN"/>
              </w:rPr>
            </w:pPr>
            <w:r>
              <w:rPr>
                <w:rFonts w:hint="eastAsia" w:ascii="宋体" w:hAnsi="宋体"/>
                <w:szCs w:val="21"/>
              </w:rPr>
              <w:t>火灾的发生</w:t>
            </w:r>
            <w:r>
              <w:rPr>
                <w:rFonts w:hint="eastAsia" w:ascii="宋体" w:hAnsi="宋体"/>
                <w:szCs w:val="21"/>
                <w:lang w:eastAsia="zh-CN"/>
              </w:rPr>
              <w:t>；</w:t>
            </w:r>
            <w:r>
              <w:rPr>
                <w:rFonts w:hint="eastAsia" w:ascii="宋体" w:hAnsi="宋体"/>
                <w:szCs w:val="21"/>
              </w:rPr>
              <w:t>办公区域线路老化、烟头随意丢弃引起火灾 等</w:t>
            </w:r>
            <w:r>
              <w:rPr>
                <w:rFonts w:hint="eastAsia" w:ascii="宋体" w:hAnsi="宋体"/>
                <w:szCs w:val="21"/>
                <w:lang w:eastAsia="zh-CN"/>
              </w:rPr>
              <w:t>；</w:t>
            </w:r>
            <w:r>
              <w:rPr>
                <w:rFonts w:hint="eastAsia" w:ascii="宋体" w:hAnsi="宋体"/>
                <w:szCs w:val="21"/>
              </w:rPr>
              <w:t>主要控制措施：加强管理，做好消防设备的控制和设施设备运行检查。制定管理方案</w:t>
            </w:r>
          </w:p>
          <w:p>
            <w:pPr>
              <w:pStyle w:val="18"/>
              <w:rPr>
                <w:rFonts w:hint="eastAsia" w:ascii="宋体" w:hAnsi="宋体" w:eastAsia="宋体" w:cs="宋体"/>
                <w:szCs w:val="21"/>
                <w:lang w:val="en-US" w:eastAsia="zh-CN"/>
              </w:rPr>
            </w:pPr>
          </w:p>
        </w:tc>
        <w:tc>
          <w:tcPr>
            <w:tcW w:w="1009" w:type="dxa"/>
            <w:vAlign w:val="top"/>
          </w:tcPr>
          <w:p>
            <w:pPr>
              <w:rPr>
                <w:rFonts w:hint="eastAsia"/>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14" w:type="dxa"/>
            <w:vAlign w:val="top"/>
          </w:tcPr>
          <w:p>
            <w:pPr>
              <w:rPr>
                <w:rFonts w:hint="eastAsia" w:ascii="Times New Roman" w:hAnsi="Times New Roman" w:eastAsia="宋体" w:cs="Times New Roman"/>
                <w:sz w:val="21"/>
                <w:szCs w:val="21"/>
                <w:lang w:val="en-US" w:eastAsia="zh-CN"/>
              </w:rPr>
            </w:pPr>
            <w:r>
              <w:rPr>
                <w:rFonts w:hint="eastAsia" w:ascii="宋体" w:hAnsi="宋体" w:cs="宋体"/>
                <w:b/>
                <w:bCs/>
                <w:sz w:val="21"/>
                <w:szCs w:val="21"/>
              </w:rPr>
              <w:t>危险源辨识和职业安全风险评价</w:t>
            </w:r>
          </w:p>
        </w:tc>
        <w:tc>
          <w:tcPr>
            <w:tcW w:w="1093" w:type="dxa"/>
            <w:vAlign w:val="top"/>
          </w:tcPr>
          <w:p>
            <w:pPr>
              <w:rPr>
                <w:rFonts w:hint="eastAsia" w:ascii="Times New Roman" w:hAnsi="Times New Roman" w:eastAsia="宋体" w:cs="Times New Roman"/>
                <w:sz w:val="21"/>
                <w:szCs w:val="21"/>
                <w:lang w:val="en-US" w:eastAsia="zh-CN"/>
              </w:rPr>
            </w:pPr>
            <w:r>
              <w:rPr>
                <w:rFonts w:hint="eastAsia" w:ascii="宋体" w:hAnsi="宋体" w:cs="宋体"/>
                <w:b/>
                <w:bCs/>
                <w:sz w:val="21"/>
                <w:szCs w:val="21"/>
                <w:lang w:val="en-US" w:eastAsia="zh-CN"/>
              </w:rPr>
              <w:t>O:</w:t>
            </w:r>
            <w:r>
              <w:rPr>
                <w:rFonts w:hint="eastAsia" w:ascii="宋体" w:hAnsi="宋体" w:cs="宋体"/>
                <w:b/>
                <w:bCs/>
                <w:sz w:val="21"/>
                <w:szCs w:val="21"/>
              </w:rPr>
              <w:t>6.1.2</w:t>
            </w:r>
          </w:p>
        </w:tc>
        <w:tc>
          <w:tcPr>
            <w:tcW w:w="11093" w:type="dxa"/>
            <w:vAlign w:val="top"/>
          </w:tcPr>
          <w:p>
            <w:pPr>
              <w:numPr>
                <w:ilvl w:val="0"/>
                <w:numId w:val="3"/>
              </w:numPr>
              <w:spacing w:line="400" w:lineRule="exact"/>
              <w:rPr>
                <w:rFonts w:hint="eastAsia"/>
                <w:lang w:val="en-US" w:eastAsia="zh-CN"/>
              </w:rPr>
            </w:pPr>
            <w:r>
              <w:rPr>
                <w:rFonts w:hint="eastAsia"/>
              </w:rPr>
              <w:t>编制</w:t>
            </w:r>
            <w:r>
              <w:rPr>
                <w:rFonts w:hint="eastAsia"/>
                <w:lang w:val="en-US" w:eastAsia="zh-CN"/>
              </w:rPr>
              <w:t>了《危险源辨识及风险评估与风险控制程序》，明确了职责、危险源辨识及评价方法、程序等。基本符合标准要求。文件适宜。</w:t>
            </w:r>
          </w:p>
          <w:p>
            <w:pPr>
              <w:numPr>
                <w:ilvl w:val="0"/>
                <w:numId w:val="3"/>
              </w:numPr>
              <w:spacing w:line="400" w:lineRule="exact"/>
              <w:rPr>
                <w:rFonts w:hint="eastAsia"/>
              </w:rPr>
            </w:pPr>
            <w:r>
              <w:rPr>
                <w:rFonts w:hint="eastAsia"/>
              </w:rPr>
              <w:t>查见《职业健康安全危险源辨识与风险评价调查（汇总）表》</w:t>
            </w:r>
            <w:r>
              <w:rPr>
                <w:rFonts w:hint="eastAsia"/>
                <w:lang w:val="en-US" w:eastAsia="zh-CN"/>
              </w:rPr>
              <w:t>综合部区域</w:t>
            </w:r>
            <w:r>
              <w:rPr>
                <w:rFonts w:hint="eastAsia"/>
              </w:rPr>
              <w:t xml:space="preserve">，共识别危险源 </w:t>
            </w:r>
            <w:r>
              <w:rPr>
                <w:rFonts w:hint="eastAsia"/>
                <w:lang w:val="en-US" w:eastAsia="zh-CN"/>
              </w:rPr>
              <w:t>若干项</w:t>
            </w:r>
            <w:r>
              <w:rPr>
                <w:rFonts w:hint="eastAsia"/>
              </w:rPr>
              <w:t>。</w:t>
            </w:r>
          </w:p>
          <w:p>
            <w:pPr>
              <w:numPr>
                <w:ilvl w:val="0"/>
                <w:numId w:val="3"/>
              </w:numPr>
              <w:spacing w:line="400" w:lineRule="exact"/>
              <w:rPr>
                <w:rFonts w:hint="eastAsia"/>
              </w:rPr>
            </w:pPr>
            <w:r>
              <w:rPr>
                <w:rFonts w:hint="eastAsia"/>
              </w:rPr>
              <w:t>抽：作业活动 / 危险源/可能导致的事故/</w:t>
            </w:r>
            <w:r>
              <w:rPr>
                <w:rFonts w:hint="eastAsia"/>
                <w:lang w:val="en-US" w:eastAsia="zh-CN"/>
              </w:rPr>
              <w:t>打分法</w:t>
            </w:r>
            <w:r>
              <w:rPr>
                <w:rFonts w:hint="eastAsia"/>
              </w:rPr>
              <w:t>L E C D/</w:t>
            </w:r>
            <w:r>
              <w:rPr>
                <w:rFonts w:hint="eastAsia"/>
                <w:lang w:val="en-US" w:eastAsia="zh-CN"/>
              </w:rPr>
              <w:t>判定</w:t>
            </w:r>
          </w:p>
          <w:p>
            <w:pPr>
              <w:pStyle w:val="2"/>
              <w:rPr>
                <w:rFonts w:hint="eastAsia"/>
                <w:lang w:val="en-US" w:eastAsia="zh-CN"/>
              </w:rPr>
            </w:pPr>
            <w:r>
              <w:rPr>
                <w:rFonts w:hint="eastAsia"/>
                <w:lang w:val="en-US" w:eastAsia="zh-CN"/>
              </w:rPr>
              <w:t>办公活动：</w:t>
            </w:r>
          </w:p>
          <w:p>
            <w:pPr>
              <w:pStyle w:val="2"/>
              <w:rPr>
                <w:rFonts w:hint="default"/>
                <w:lang w:val="en-US" w:eastAsia="zh-CN"/>
              </w:rPr>
            </w:pPr>
            <w:r>
              <w:rPr>
                <w:rFonts w:hint="eastAsia"/>
              </w:rPr>
              <w:t>走路或登台阶摔倒</w:t>
            </w:r>
            <w:r>
              <w:rPr>
                <w:rFonts w:hint="eastAsia"/>
                <w:lang w:val="en-US" w:eastAsia="zh-CN"/>
              </w:rPr>
              <w:t>/摔伤/一般危险源</w:t>
            </w:r>
          </w:p>
          <w:p>
            <w:pPr>
              <w:pStyle w:val="2"/>
              <w:rPr>
                <w:rFonts w:hint="eastAsia"/>
                <w:lang w:val="en-US" w:eastAsia="zh-CN"/>
              </w:rPr>
            </w:pPr>
            <w:r>
              <w:rPr>
                <w:rFonts w:hint="eastAsia"/>
              </w:rPr>
              <w:t>私拉电线电线短路或其他原因导致火灾</w:t>
            </w:r>
            <w:r>
              <w:rPr>
                <w:rFonts w:hint="eastAsia"/>
                <w:lang w:val="en-US" w:eastAsia="zh-CN"/>
              </w:rPr>
              <w:t>/潜在火灾--人身伤害/不可接受风险；</w:t>
            </w:r>
          </w:p>
          <w:p>
            <w:pPr>
              <w:pStyle w:val="2"/>
              <w:rPr>
                <w:rFonts w:hint="default"/>
                <w:lang w:val="en-US" w:eastAsia="zh-CN"/>
              </w:rPr>
            </w:pPr>
            <w:r>
              <w:rPr>
                <w:rFonts w:hint="eastAsia"/>
              </w:rPr>
              <w:t>乱拉电线违章作业、线路老化等</w:t>
            </w:r>
            <w:r>
              <w:rPr>
                <w:rFonts w:hint="eastAsia"/>
                <w:lang w:val="en-US" w:eastAsia="zh-CN"/>
              </w:rPr>
              <w:t>/触电--人身伤害/不可接受风险；</w:t>
            </w:r>
          </w:p>
          <w:p>
            <w:pPr>
              <w:pStyle w:val="2"/>
              <w:rPr>
                <w:rFonts w:hint="eastAsia"/>
                <w:lang w:val="en-US" w:eastAsia="zh-CN"/>
              </w:rPr>
            </w:pPr>
            <w:r>
              <w:rPr>
                <w:rFonts w:hint="eastAsia"/>
              </w:rPr>
              <w:t>垃圾乱堆乱放</w:t>
            </w:r>
            <w:r>
              <w:rPr>
                <w:rFonts w:hint="eastAsia"/>
                <w:lang w:val="en-US" w:eastAsia="zh-CN"/>
              </w:rPr>
              <w:t>/传染病感染/一般危险源；</w:t>
            </w:r>
          </w:p>
          <w:p>
            <w:pPr>
              <w:pStyle w:val="2"/>
              <w:rPr>
                <w:rFonts w:hint="default"/>
                <w:lang w:val="en-US" w:eastAsia="zh-CN"/>
              </w:rPr>
            </w:pPr>
            <w:r>
              <w:rPr>
                <w:rFonts w:hint="eastAsia"/>
              </w:rPr>
              <w:t>人员接触、不戴口罩引起的新冠疫情</w:t>
            </w:r>
            <w:r>
              <w:rPr>
                <w:rFonts w:hint="eastAsia"/>
                <w:lang w:val="en-US" w:eastAsia="zh-CN"/>
              </w:rPr>
              <w:t>/传染病/不可接受风险</w:t>
            </w:r>
          </w:p>
          <w:p>
            <w:pPr>
              <w:numPr>
                <w:ilvl w:val="0"/>
                <w:numId w:val="0"/>
              </w:numPr>
              <w:spacing w:line="400" w:lineRule="exact"/>
              <w:ind w:leftChars="0" w:firstLine="420" w:firstLineChars="200"/>
              <w:rPr>
                <w:rFonts w:hint="default"/>
                <w:lang w:val="en-US" w:eastAsia="zh-CN"/>
              </w:rPr>
            </w:pPr>
            <w:r>
              <w:rPr>
                <w:rFonts w:hint="eastAsia"/>
              </w:rPr>
              <w:t>评价方法基本适宜，评价结果基本合理。</w:t>
            </w:r>
          </w:p>
          <w:p>
            <w:pPr>
              <w:numPr>
                <w:ilvl w:val="0"/>
                <w:numId w:val="3"/>
              </w:numPr>
              <w:spacing w:line="400" w:lineRule="exact"/>
              <w:rPr>
                <w:rFonts w:hint="eastAsia"/>
                <w:lang w:val="en-US" w:eastAsia="zh-CN"/>
              </w:rPr>
            </w:pPr>
            <w:r>
              <w:rPr>
                <w:rFonts w:hint="eastAsia"/>
                <w:lang w:val="en-US" w:eastAsia="zh-CN"/>
              </w:rPr>
              <w:t>查见《不可接受风险清单》，确定公司不可接受风险4个。部门涉及3个；抽不可接受风险：潜在火灾。控制方法：消防管理，制度、火灾应急预案。</w:t>
            </w:r>
          </w:p>
          <w:p>
            <w:pPr>
              <w:pStyle w:val="2"/>
            </w:pPr>
            <w:r>
              <w:drawing>
                <wp:inline distT="0" distB="0" distL="114300" distR="114300">
                  <wp:extent cx="2865755" cy="1456055"/>
                  <wp:effectExtent l="0" t="0" r="444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2865755" cy="1456055"/>
                          </a:xfrm>
                          <a:prstGeom prst="rect">
                            <a:avLst/>
                          </a:prstGeom>
                          <a:noFill/>
                          <a:ln>
                            <a:noFill/>
                          </a:ln>
                        </pic:spPr>
                      </pic:pic>
                    </a:graphicData>
                  </a:graphic>
                </wp:inline>
              </w:drawing>
            </w:r>
          </w:p>
          <w:p>
            <w:pPr>
              <w:pStyle w:val="2"/>
              <w:rPr>
                <w:rFonts w:hint="eastAsia" w:ascii="宋体" w:hAnsi="宋体" w:eastAsia="宋体" w:cs="宋体"/>
                <w:szCs w:val="21"/>
                <w:lang w:val="en-US" w:eastAsia="zh-CN"/>
              </w:rPr>
            </w:pPr>
            <w:r>
              <w:rPr>
                <w:rFonts w:hint="eastAsia"/>
                <w:lang w:val="en-US" w:eastAsia="zh-CN"/>
              </w:rPr>
              <w:t>不可接受风险控制，基本受控。</w:t>
            </w:r>
          </w:p>
        </w:tc>
        <w:tc>
          <w:tcPr>
            <w:tcW w:w="1009" w:type="dxa"/>
            <w:vAlign w:val="top"/>
          </w:tcPr>
          <w:p>
            <w:pPr>
              <w:rPr>
                <w:rFonts w:hint="eastAsia"/>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14" w:type="dxa"/>
            <w:vAlign w:val="top"/>
          </w:tcPr>
          <w:p>
            <w:pPr>
              <w:rPr>
                <w:rFonts w:hint="eastAsia" w:ascii="Times New Roman" w:hAnsi="Times New Roman" w:eastAsia="宋体" w:cs="Times New Roman"/>
                <w:sz w:val="21"/>
                <w:szCs w:val="21"/>
                <w:lang w:val="en-US" w:eastAsia="zh-CN"/>
              </w:rPr>
            </w:pPr>
            <w:r>
              <w:rPr>
                <w:rFonts w:hint="eastAsia" w:ascii="宋体" w:hAnsi="宋体" w:cs="宋体"/>
                <w:b/>
                <w:bCs/>
                <w:sz w:val="21"/>
                <w:szCs w:val="21"/>
              </w:rPr>
              <w:t>目标及其实现的策划</w:t>
            </w:r>
          </w:p>
        </w:tc>
        <w:tc>
          <w:tcPr>
            <w:tcW w:w="1093" w:type="dxa"/>
            <w:vAlign w:val="top"/>
          </w:tcPr>
          <w:p>
            <w:pPr>
              <w:rPr>
                <w:rFonts w:hint="eastAsia"/>
                <w:lang w:val="en-US" w:eastAsia="zh-CN"/>
              </w:rPr>
            </w:pPr>
            <w:r>
              <w:rPr>
                <w:rFonts w:hint="eastAsia"/>
                <w:lang w:val="en-US" w:eastAsia="zh-CN"/>
              </w:rPr>
              <w:t>QEO:</w:t>
            </w:r>
          </w:p>
          <w:p>
            <w:pPr>
              <w:rPr>
                <w:rFonts w:hint="eastAsia" w:ascii="Times New Roman" w:hAnsi="Times New Roman" w:eastAsia="宋体" w:cs="Times New Roman"/>
                <w:sz w:val="21"/>
                <w:szCs w:val="21"/>
                <w:lang w:val="en-US" w:eastAsia="zh-CN"/>
              </w:rPr>
            </w:pPr>
            <w:r>
              <w:rPr>
                <w:rFonts w:hint="eastAsia" w:ascii="宋体" w:hAnsi="宋体" w:cs="宋体"/>
                <w:b/>
                <w:bCs/>
                <w:sz w:val="21"/>
                <w:szCs w:val="21"/>
              </w:rPr>
              <w:t>6.2</w:t>
            </w:r>
          </w:p>
        </w:tc>
        <w:tc>
          <w:tcPr>
            <w:tcW w:w="11093" w:type="dxa"/>
            <w:vAlign w:val="top"/>
          </w:tcPr>
          <w:p>
            <w:pPr>
              <w:numPr>
                <w:ilvl w:val="0"/>
                <w:numId w:val="2"/>
              </w:numPr>
              <w:spacing w:line="360" w:lineRule="auto"/>
              <w:ind w:left="420" w:leftChars="0" w:hanging="420" w:firstLineChars="0"/>
              <w:rPr>
                <w:rFonts w:hint="eastAsia"/>
                <w:lang w:val="en-US" w:eastAsia="zh-CN"/>
              </w:rPr>
            </w:pPr>
            <w:r>
              <w:rPr>
                <w:rFonts w:hint="eastAsia"/>
                <w:lang w:val="en-US" w:eastAsia="zh-CN"/>
              </w:rPr>
              <w:t xml:space="preserve">文件：《管理手册》0.8管理目标及第6.2条款 </w:t>
            </w:r>
          </w:p>
          <w:p>
            <w:pPr>
              <w:numPr>
                <w:ilvl w:val="0"/>
                <w:numId w:val="0"/>
              </w:numPr>
              <w:spacing w:line="360" w:lineRule="auto"/>
              <w:ind w:leftChars="0"/>
              <w:rPr>
                <w:rFonts w:hint="eastAsia"/>
                <w:lang w:val="en-US" w:eastAsia="zh-CN"/>
              </w:rPr>
            </w:pPr>
            <w:r>
              <w:rPr>
                <w:rFonts w:hint="eastAsia"/>
              </w:rPr>
              <w:t>明确了目标分解、考核、层次、部门、考核方式，已将公司总目标分解到各部门。</w:t>
            </w:r>
          </w:p>
          <w:p>
            <w:pPr>
              <w:numPr>
                <w:ilvl w:val="0"/>
                <w:numId w:val="2"/>
              </w:numPr>
              <w:spacing w:line="360" w:lineRule="auto"/>
              <w:ind w:left="420" w:leftChars="0" w:hanging="420" w:firstLineChars="0"/>
              <w:rPr>
                <w:rFonts w:hint="eastAsia"/>
              </w:rPr>
            </w:pPr>
            <w:r>
              <w:rPr>
                <w:rFonts w:hint="eastAsia"/>
                <w:lang w:val="en-US" w:eastAsia="zh-CN"/>
              </w:rPr>
              <w:t>抽记</w:t>
            </w:r>
            <w:r>
              <w:rPr>
                <w:rFonts w:hint="eastAsia" w:eastAsia="宋体"/>
                <w:lang w:val="en-US" w:eastAsia="zh-CN"/>
              </w:rPr>
              <w:t>录：</w:t>
            </w:r>
            <w:r>
              <w:rPr>
                <w:rFonts w:hint="eastAsia" w:eastAsia="宋体"/>
                <w:lang w:eastAsia="zh-CN"/>
              </w:rPr>
              <w:t>（</w:t>
            </w:r>
            <w:r>
              <w:rPr>
                <w:rFonts w:hint="eastAsia" w:eastAsia="宋体"/>
                <w:lang w:val="en-US" w:eastAsia="zh-CN"/>
              </w:rPr>
              <w:t>2022年</w:t>
            </w:r>
            <w:r>
              <w:rPr>
                <w:rFonts w:hint="eastAsia" w:eastAsia="宋体"/>
                <w:lang w:eastAsia="zh-CN"/>
              </w:rPr>
              <w:t>）</w:t>
            </w:r>
            <w:r>
              <w:rPr>
                <w:rFonts w:hint="eastAsia" w:eastAsia="宋体"/>
              </w:rPr>
              <w:t>目标、指标完成情况</w:t>
            </w:r>
            <w:r>
              <w:rPr>
                <w:rFonts w:hint="eastAsia"/>
                <w:lang w:eastAsia="zh-CN"/>
              </w:rPr>
              <w:t>：</w:t>
            </w:r>
          </w:p>
          <w:p>
            <w:pPr>
              <w:numPr>
                <w:ilvl w:val="0"/>
                <w:numId w:val="2"/>
              </w:numPr>
              <w:spacing w:line="360" w:lineRule="auto"/>
              <w:ind w:left="420" w:leftChars="0" w:hanging="420" w:firstLineChars="0"/>
              <w:rPr>
                <w:rFonts w:hint="eastAsia"/>
              </w:rPr>
            </w:pPr>
            <w:r>
              <w:drawing>
                <wp:inline distT="0" distB="0" distL="114300" distR="114300">
                  <wp:extent cx="6305550" cy="1003300"/>
                  <wp:effectExtent l="0" t="0" r="635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7"/>
                          <a:stretch>
                            <a:fillRect/>
                          </a:stretch>
                        </pic:blipFill>
                        <pic:spPr>
                          <a:xfrm>
                            <a:off x="0" y="0"/>
                            <a:ext cx="6305550" cy="1003300"/>
                          </a:xfrm>
                          <a:prstGeom prst="rect">
                            <a:avLst/>
                          </a:prstGeom>
                          <a:noFill/>
                          <a:ln>
                            <a:noFill/>
                          </a:ln>
                        </pic:spPr>
                      </pic:pic>
                    </a:graphicData>
                  </a:graphic>
                </wp:inline>
              </w:drawing>
            </w:r>
          </w:p>
          <w:p>
            <w:pPr>
              <w:numPr>
                <w:ilvl w:val="0"/>
                <w:numId w:val="3"/>
              </w:numPr>
              <w:spacing w:line="400" w:lineRule="exact"/>
              <w:rPr>
                <w:rFonts w:hint="eastAsia" w:ascii="Times New Roman" w:hAnsi="Times New Roman" w:eastAsia="宋体" w:cs="Times New Roman"/>
                <w:color w:val="auto"/>
                <w:kern w:val="2"/>
                <w:sz w:val="21"/>
                <w:szCs w:val="20"/>
                <w:lang w:val="en-US" w:eastAsia="zh-CN" w:bidi="ar-SA"/>
              </w:rPr>
            </w:pPr>
            <w:r>
              <w:rPr>
                <w:rFonts w:hint="eastAsia" w:ascii="宋体" w:hAnsi="宋体"/>
                <w:szCs w:val="21"/>
                <w:lang w:val="en-US" w:eastAsia="zh-CN"/>
              </w:rPr>
              <w:t>管理目标，</w:t>
            </w:r>
            <w:r>
              <w:rPr>
                <w:rFonts w:hint="eastAsia" w:ascii="宋体" w:hAnsi="宋体"/>
                <w:szCs w:val="21"/>
              </w:rPr>
              <w:t>测量方法</w:t>
            </w:r>
            <w:r>
              <w:rPr>
                <w:rFonts w:hint="eastAsia" w:ascii="宋体" w:hAnsi="宋体"/>
                <w:szCs w:val="21"/>
                <w:lang w:val="en-US" w:eastAsia="zh-CN"/>
              </w:rPr>
              <w:t>均</w:t>
            </w:r>
            <w:r>
              <w:rPr>
                <w:rFonts w:hint="eastAsia" w:ascii="宋体" w:hAnsi="宋体"/>
                <w:szCs w:val="21"/>
              </w:rPr>
              <w:t>明确</w:t>
            </w:r>
            <w:r>
              <w:rPr>
                <w:rFonts w:hint="eastAsia" w:ascii="宋体" w:hAnsi="宋体"/>
                <w:szCs w:val="21"/>
                <w:lang w:eastAsia="zh-CN"/>
              </w:rPr>
              <w:t>，</w:t>
            </w:r>
            <w:r>
              <w:rPr>
                <w:rFonts w:hint="eastAsia" w:ascii="宋体" w:hAnsi="宋体"/>
                <w:szCs w:val="21"/>
              </w:rPr>
              <w:t>目标已完成</w:t>
            </w:r>
            <w:r>
              <w:rPr>
                <w:rFonts w:hint="eastAsia" w:ascii="宋体" w:hAnsi="宋体"/>
                <w:szCs w:val="21"/>
                <w:lang w:eastAsia="zh-CN"/>
              </w:rPr>
              <w:t>。</w:t>
            </w:r>
          </w:p>
          <w:p>
            <w:pPr>
              <w:numPr>
                <w:ilvl w:val="0"/>
                <w:numId w:val="3"/>
              </w:numPr>
              <w:spacing w:line="360" w:lineRule="auto"/>
              <w:ind w:left="420" w:leftChars="0" w:hanging="420" w:firstLineChars="0"/>
              <w:rPr>
                <w:rFonts w:hint="eastAsia" w:ascii="Times New Roman" w:hAnsi="Times New Roman" w:eastAsia="宋体" w:cs="Times New Roman"/>
                <w:color w:val="auto"/>
                <w:kern w:val="2"/>
                <w:sz w:val="21"/>
                <w:szCs w:val="20"/>
                <w:lang w:val="en-US" w:eastAsia="zh-CN" w:bidi="ar-SA"/>
              </w:rPr>
            </w:pPr>
            <w:r>
              <w:rPr>
                <w:rFonts w:hint="eastAsia" w:eastAsia="宋体" w:cs="Times New Roman"/>
                <w:color w:val="auto"/>
                <w:kern w:val="2"/>
                <w:sz w:val="21"/>
                <w:szCs w:val="20"/>
                <w:lang w:val="en-US" w:eastAsia="zh-CN" w:bidi="ar-SA"/>
              </w:rPr>
              <w:t>查见</w:t>
            </w:r>
            <w:r>
              <w:rPr>
                <w:rFonts w:hint="eastAsia" w:ascii="Times New Roman" w:hAnsi="Times New Roman" w:eastAsia="宋体" w:cs="Times New Roman"/>
                <w:color w:val="auto"/>
                <w:kern w:val="2"/>
                <w:sz w:val="21"/>
                <w:szCs w:val="20"/>
                <w:lang w:val="en-US" w:eastAsia="zh-CN" w:bidi="ar-SA"/>
              </w:rPr>
              <w:t>：《环境目标、指标、管理方案》</w:t>
            </w:r>
            <w:r>
              <w:rPr>
                <w:rFonts w:hint="eastAsia" w:cs="Times New Roman"/>
                <w:color w:val="auto"/>
                <w:kern w:val="2"/>
                <w:sz w:val="21"/>
                <w:szCs w:val="20"/>
                <w:lang w:val="en-US" w:eastAsia="zh-CN" w:bidi="ar-SA"/>
              </w:rPr>
              <w:t>2022.3.20</w:t>
            </w:r>
            <w:r>
              <w:rPr>
                <w:rFonts w:hint="eastAsia" w:ascii="Times New Roman" w:hAnsi="Times New Roman" w:eastAsia="宋体" w:cs="Times New Roman"/>
                <w:color w:val="auto"/>
                <w:kern w:val="2"/>
                <w:sz w:val="21"/>
                <w:szCs w:val="20"/>
                <w:lang w:val="en-US" w:eastAsia="zh-CN" w:bidi="ar-SA"/>
              </w:rPr>
              <w:t>内容包括目标、指标</w:t>
            </w:r>
            <w:r>
              <w:rPr>
                <w:rFonts w:hint="eastAsia" w:cs="Times New Roman"/>
                <w:color w:val="auto"/>
                <w:kern w:val="2"/>
                <w:sz w:val="21"/>
                <w:szCs w:val="20"/>
                <w:lang w:val="en-US" w:eastAsia="zh-CN" w:bidi="ar-SA"/>
              </w:rPr>
              <w:t>方法</w:t>
            </w:r>
            <w:r>
              <w:rPr>
                <w:rFonts w:hint="eastAsia" w:ascii="Times New Roman" w:hAnsi="Times New Roman" w:eastAsia="宋体" w:cs="Times New Roman"/>
                <w:color w:val="auto"/>
                <w:kern w:val="2"/>
                <w:sz w:val="21"/>
                <w:szCs w:val="20"/>
                <w:lang w:val="en-US" w:eastAsia="zh-CN" w:bidi="ar-SA"/>
              </w:rPr>
              <w:t>、完成进度、责任部门等。</w:t>
            </w:r>
          </w:p>
          <w:p>
            <w:pPr>
              <w:numPr>
                <w:ilvl w:val="0"/>
                <w:numId w:val="3"/>
              </w:numPr>
              <w:spacing w:line="360" w:lineRule="auto"/>
              <w:ind w:left="420" w:leftChars="0" w:hanging="420" w:firstLineChars="0"/>
              <w:rPr>
                <w:rFonts w:hint="default" w:ascii="Times New Roman" w:hAnsi="Times New Roman" w:eastAsia="宋体" w:cs="Times New Roman"/>
                <w:color w:val="auto"/>
                <w:kern w:val="2"/>
                <w:sz w:val="21"/>
                <w:szCs w:val="20"/>
                <w:lang w:val="en-US" w:eastAsia="zh-CN" w:bidi="ar-SA"/>
              </w:rPr>
            </w:pPr>
            <w:r>
              <w:rPr>
                <w:rFonts w:hint="eastAsia" w:cs="Times New Roman"/>
                <w:color w:val="auto"/>
                <w:kern w:val="2"/>
                <w:sz w:val="21"/>
                <w:szCs w:val="20"/>
                <w:lang w:val="en-US" w:eastAsia="zh-CN" w:bidi="ar-SA"/>
              </w:rPr>
              <w:t>见：</w:t>
            </w:r>
          </w:p>
          <w:p>
            <w:pPr>
              <w:numPr>
                <w:ilvl w:val="0"/>
                <w:numId w:val="0"/>
              </w:numPr>
              <w:spacing w:line="360" w:lineRule="auto"/>
              <w:ind w:leftChars="0"/>
              <w:rPr>
                <w:rFonts w:hint="default" w:ascii="Times New Roman" w:hAnsi="Times New Roman" w:eastAsia="宋体" w:cs="Times New Roman"/>
                <w:color w:val="auto"/>
                <w:kern w:val="2"/>
                <w:sz w:val="21"/>
                <w:szCs w:val="20"/>
                <w:lang w:val="en-US" w:eastAsia="zh-CN" w:bidi="ar-SA"/>
              </w:rPr>
            </w:pPr>
            <w:r>
              <w:drawing>
                <wp:inline distT="0" distB="0" distL="114300" distR="114300">
                  <wp:extent cx="5835015" cy="2029460"/>
                  <wp:effectExtent l="0" t="0" r="698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5835015" cy="2029460"/>
                          </a:xfrm>
                          <a:prstGeom prst="rect">
                            <a:avLst/>
                          </a:prstGeom>
                          <a:noFill/>
                          <a:ln>
                            <a:noFill/>
                          </a:ln>
                        </pic:spPr>
                      </pic:pic>
                    </a:graphicData>
                  </a:graphic>
                </wp:inline>
              </w:drawing>
            </w:r>
          </w:p>
          <w:p>
            <w:pPr>
              <w:pStyle w:val="2"/>
              <w:rPr>
                <w:rFonts w:hint="default"/>
                <w:lang w:val="en-US" w:eastAsia="zh-CN"/>
              </w:rPr>
            </w:pPr>
          </w:p>
          <w:p>
            <w:pPr>
              <w:numPr>
                <w:ilvl w:val="0"/>
                <w:numId w:val="3"/>
              </w:numPr>
              <w:spacing w:line="360" w:lineRule="auto"/>
              <w:ind w:left="420" w:leftChars="0" w:hanging="420" w:firstLineChars="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抽：《职业健康安全目标、指标、管理方案》</w:t>
            </w:r>
            <w:r>
              <w:rPr>
                <w:rFonts w:hint="eastAsia" w:cs="Times New Roman"/>
                <w:color w:val="auto"/>
                <w:kern w:val="2"/>
                <w:sz w:val="21"/>
                <w:szCs w:val="20"/>
                <w:lang w:val="en-US" w:eastAsia="zh-CN" w:bidi="ar-SA"/>
              </w:rPr>
              <w:t>2022.3.22</w:t>
            </w:r>
          </w:p>
          <w:p>
            <w:pPr>
              <w:pStyle w:val="2"/>
              <w:rPr>
                <w:rFonts w:hint="default"/>
                <w:lang w:val="en-US" w:eastAsia="zh-CN"/>
              </w:rPr>
            </w:pPr>
            <w:r>
              <w:rPr>
                <w:rFonts w:hint="eastAsia" w:cs="Times New Roman"/>
                <w:color w:val="auto"/>
                <w:kern w:val="2"/>
                <w:sz w:val="21"/>
                <w:szCs w:val="20"/>
                <w:lang w:val="en-US" w:eastAsia="zh-CN" w:bidi="ar-SA"/>
              </w:rPr>
              <w:t>见:</w:t>
            </w:r>
            <w:r>
              <w:drawing>
                <wp:inline distT="0" distB="0" distL="114300" distR="114300">
                  <wp:extent cx="6221095" cy="3260090"/>
                  <wp:effectExtent l="0" t="0" r="1905" b="381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9"/>
                          <a:stretch>
                            <a:fillRect/>
                          </a:stretch>
                        </pic:blipFill>
                        <pic:spPr>
                          <a:xfrm>
                            <a:off x="0" y="0"/>
                            <a:ext cx="6221095" cy="3260090"/>
                          </a:xfrm>
                          <a:prstGeom prst="rect">
                            <a:avLst/>
                          </a:prstGeom>
                          <a:noFill/>
                          <a:ln>
                            <a:noFill/>
                          </a:ln>
                        </pic:spPr>
                      </pic:pic>
                    </a:graphicData>
                  </a:graphic>
                </wp:inline>
              </w:drawing>
            </w:r>
          </w:p>
          <w:p>
            <w:pPr>
              <w:numPr>
                <w:ilvl w:val="0"/>
                <w:numId w:val="3"/>
              </w:numPr>
              <w:spacing w:line="360" w:lineRule="auto"/>
              <w:ind w:left="420" w:leftChars="0" w:hanging="420" w:firstLineChars="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以上方案均已按要求执行，部门负责人对各相关部门的方案执行情况进行检查，均符合要求。询问部门负责人管理方案的内容已经落实，执行情况良好。 </w:t>
            </w:r>
          </w:p>
          <w:p>
            <w:pPr>
              <w:pStyle w:val="18"/>
              <w:rPr>
                <w:rFonts w:hint="eastAsia" w:ascii="宋体" w:hAnsi="宋体" w:eastAsia="宋体" w:cs="宋体"/>
                <w:szCs w:val="21"/>
                <w:lang w:val="en-US" w:eastAsia="zh-CN"/>
              </w:rPr>
            </w:pPr>
          </w:p>
        </w:tc>
        <w:tc>
          <w:tcPr>
            <w:tcW w:w="1009" w:type="dxa"/>
            <w:vAlign w:val="top"/>
          </w:tcPr>
          <w:p>
            <w:pPr>
              <w:rPr>
                <w:rFonts w:hint="eastAsia"/>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14"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法律法规和其他要求的确定、</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合规性评价</w:t>
            </w:r>
          </w:p>
        </w:tc>
        <w:tc>
          <w:tcPr>
            <w:tcW w:w="1093"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EO6.1.3</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EO9.1.2</w:t>
            </w:r>
          </w:p>
        </w:tc>
        <w:tc>
          <w:tcPr>
            <w:tcW w:w="11093" w:type="dxa"/>
            <w:vAlign w:val="top"/>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●根据《法律法规及其他</w:t>
            </w:r>
            <w:r>
              <w:rPr>
                <w:rFonts w:hint="eastAsia" w:ascii="Times New Roman" w:hAnsi="Times New Roman" w:eastAsia="宋体" w:cs="Times New Roman"/>
                <w:kern w:val="2"/>
                <w:sz w:val="21"/>
                <w:szCs w:val="21"/>
                <w:lang w:val="en-US" w:eastAsia="zh-CN" w:bidi="ar-SA"/>
              </w:rPr>
              <w:t>要求控制程序》要求，随时对法律法规的更新进行跟踪，并进行补充。获取渠道为网络等。</w:t>
            </w:r>
          </w:p>
          <w:p>
            <w:pPr>
              <w:numPr>
                <w:ilvl w:val="0"/>
                <w:numId w:val="3"/>
              </w:numPr>
              <w:ind w:left="420" w:leftChars="0" w:right="-360" w:hanging="420" w:firstLineChars="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提供《适用法律、法规与其他要求清单》收集的环境和安全法律法规中华</w:t>
            </w:r>
          </w:p>
          <w:p>
            <w:pPr>
              <w:pStyle w:val="13"/>
              <w:ind w:left="0" w:leftChars="0" w:firstLine="0" w:firstLineChars="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中华人民共和国固体废物污染环境防治法</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中华人民共和国大气污染防治法</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中华人民共和国水污染防治法</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中华人民共和国环境影响评价法</w:t>
            </w:r>
            <w:r>
              <w:rPr>
                <w:rFonts w:hint="eastAsia" w:ascii="Times New Roman" w:hAnsi="Times New Roman" w:eastAsia="宋体" w:cs="Times New Roman"/>
                <w:kern w:val="2"/>
                <w:sz w:val="21"/>
                <w:szCs w:val="21"/>
                <w:lang w:val="en-US" w:eastAsia="zh-CN" w:bidi="ar-SA"/>
              </w:rPr>
              <w:t>、中华人民共和国传染病防治法、突发公共卫生事件应急条例等等</w:t>
            </w:r>
            <w:r>
              <w:rPr>
                <w:rFonts w:hint="default" w:ascii="Times New Roman" w:hAnsi="Times New Roman" w:eastAsia="宋体" w:cs="Times New Roman"/>
                <w:kern w:val="2"/>
                <w:sz w:val="21"/>
                <w:szCs w:val="21"/>
                <w:lang w:val="en-US" w:eastAsia="zh-CN" w:bidi="ar-SA"/>
              </w:rPr>
              <w:t>若干规定</w:t>
            </w:r>
            <w:r>
              <w:rPr>
                <w:rFonts w:hint="eastAsia" w:ascii="Times New Roman" w:hAnsi="Times New Roman" w:eastAsia="宋体" w:cs="Times New Roman"/>
                <w:kern w:val="2"/>
                <w:sz w:val="21"/>
                <w:szCs w:val="21"/>
                <w:lang w:val="en-US" w:eastAsia="zh-CN" w:bidi="ar-SA"/>
              </w:rPr>
              <w:t>。。。。。</w:t>
            </w:r>
          </w:p>
          <w:p>
            <w:pPr>
              <w:tabs>
                <w:tab w:val="left" w:pos="1825"/>
              </w:tabs>
              <w:jc w:val="left"/>
              <w:rPr>
                <w:rFonts w:hint="eastAsia" w:ascii="宋体" w:hAnsi="宋体" w:eastAsia="宋体" w:cs="宋体"/>
                <w:szCs w:val="21"/>
                <w:lang w:val="en-US" w:eastAsia="zh-CN"/>
              </w:rPr>
            </w:pPr>
            <w:r>
              <w:rPr>
                <w:rFonts w:hint="eastAsia" w:ascii="Times New Roman" w:hAnsi="Times New Roman" w:eastAsia="宋体" w:cs="Times New Roman"/>
                <w:kern w:val="2"/>
                <w:sz w:val="21"/>
                <w:szCs w:val="21"/>
                <w:lang w:val="en-US" w:eastAsia="zh-CN" w:bidi="ar-SA"/>
              </w:rPr>
              <w:t>●查企业编制了《合规性评价控制程序》。为持续保持对法律法规及其他要求的符合性，公司定期开展合规性评价。原则上每年至少对本公司活动、产品和服务中适用的法律法规和其他要求进行一次</w:t>
            </w:r>
            <w:r>
              <w:rPr>
                <w:rFonts w:hint="eastAsia" w:ascii="宋体" w:hAnsi="宋体" w:eastAsia="宋体" w:cs="宋体"/>
                <w:szCs w:val="21"/>
                <w:lang w:val="en-US" w:eastAsia="zh-CN"/>
              </w:rPr>
              <w:t>合规性评审；特殊情况下要补充评审。</w:t>
            </w:r>
          </w:p>
          <w:p>
            <w:pPr>
              <w:numPr>
                <w:ilvl w:val="0"/>
                <w:numId w:val="3"/>
              </w:numPr>
              <w:tabs>
                <w:tab w:val="left" w:pos="1825"/>
              </w:tabs>
              <w:ind w:left="420" w:leftChars="0" w:hanging="42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于2022年</w:t>
            </w:r>
            <w:r>
              <w:rPr>
                <w:rFonts w:hint="eastAsia" w:ascii="宋体" w:hAnsi="宋体" w:cs="宋体"/>
                <w:szCs w:val="21"/>
                <w:lang w:val="en-US" w:eastAsia="zh-CN"/>
              </w:rPr>
              <w:t>7</w:t>
            </w:r>
            <w:r>
              <w:rPr>
                <w:rFonts w:hint="eastAsia" w:ascii="宋体" w:hAnsi="宋体" w:eastAsia="宋体" w:cs="宋体"/>
                <w:szCs w:val="21"/>
                <w:lang w:val="en-US" w:eastAsia="zh-CN"/>
              </w:rPr>
              <w:t>月</w:t>
            </w:r>
            <w:r>
              <w:rPr>
                <w:rFonts w:hint="eastAsia" w:ascii="宋体" w:hAnsi="宋体" w:cs="宋体"/>
                <w:szCs w:val="21"/>
                <w:lang w:val="en-US" w:eastAsia="zh-CN"/>
              </w:rPr>
              <w:t>14</w:t>
            </w:r>
            <w:r>
              <w:rPr>
                <w:rFonts w:hint="eastAsia" w:ascii="宋体" w:hAnsi="宋体" w:eastAsia="宋体" w:cs="宋体"/>
                <w:szCs w:val="21"/>
                <w:lang w:val="en-US" w:eastAsia="zh-CN"/>
              </w:rPr>
              <w:t>日</w:t>
            </w:r>
            <w:r>
              <w:rPr>
                <w:rFonts w:hint="eastAsia" w:ascii="宋体" w:hAnsi="宋体" w:cs="宋体"/>
                <w:szCs w:val="21"/>
                <w:lang w:val="en-US" w:eastAsia="zh-CN"/>
              </w:rPr>
              <w:t>评审小组</w:t>
            </w:r>
            <w:r>
              <w:rPr>
                <w:rFonts w:hint="eastAsia" w:ascii="宋体" w:hAnsi="宋体" w:eastAsia="宋体" w:cs="宋体"/>
                <w:szCs w:val="21"/>
                <w:lang w:val="en-US" w:eastAsia="zh-CN"/>
              </w:rPr>
              <w:t>开展了合规性评价工作，以确认环境管理体系和职业健康安全管理体系法律法规及其他要求的遵循情况。评价了环境因素、职业健康安全管理方面适用的法律法规要求的内容，评价了实际管理现状与法律法规及其他要求的符合性。</w:t>
            </w:r>
          </w:p>
          <w:p>
            <w:pPr>
              <w:numPr>
                <w:ilvl w:val="0"/>
                <w:numId w:val="3"/>
              </w:numPr>
              <w:tabs>
                <w:tab w:val="left" w:pos="1825"/>
              </w:tabs>
              <w:ind w:left="420" w:leftChars="0" w:hanging="42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提供了《法律法规合规性评价报告》2022.7.14，对合规性评价情况进行了总结，评价内容包括：大气污染，噪音排放，火灾控制合规情况，固废排放合规情况，环境和职业健康安全管理方案情况，安全管理，安全事件控制等情况。。。</w:t>
            </w:r>
          </w:p>
          <w:p>
            <w:pPr>
              <w:numPr>
                <w:ilvl w:val="0"/>
                <w:numId w:val="3"/>
              </w:numPr>
              <w:tabs>
                <w:tab w:val="left" w:pos="1825"/>
              </w:tabs>
              <w:ind w:left="420" w:leftChars="0" w:hanging="42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评价结论及改进：公司质量、环境、职业健康安全管理体系策划有效，运行正常；各部门都能够有效遵循环境法律法规，未发生过环境扰民事件，未有单位和个人投拆，无环境污染事件发生，公司的环境行为基本符合环境法律法规和环境要求；各部门、项目能够有效遵循职业健康安全法律法规，无职业健康安全事件发生。对在合规性证据收集过程中发现的不符合，责任部门能够及时分析原因，制定和实施纠正即纠正措施，对环保、职业健康安全意识和质量、环境、职业健康安全管理水平的提高起到了明显的促进作用。</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    通过合规性评价分析，在以后的工作中，将进一步改进工作中存在薄弱环节，以持续改进质量、环境、职业健康安全管理绩效。</w:t>
            </w:r>
          </w:p>
          <w:p>
            <w:pPr>
              <w:rPr>
                <w:rFonts w:hint="eastAsia" w:ascii="Times New Roman" w:hAnsi="Times New Roman" w:eastAsia="宋体" w:cs="Times New Roman"/>
                <w:sz w:val="21"/>
                <w:szCs w:val="21"/>
                <w:lang w:val="en-US" w:eastAsia="zh-CN"/>
              </w:rPr>
            </w:pPr>
          </w:p>
        </w:tc>
        <w:tc>
          <w:tcPr>
            <w:tcW w:w="1009" w:type="dxa"/>
          </w:tcPr>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default"/>
                <w:sz w:val="21"/>
                <w:szCs w:val="21"/>
                <w:lang w:val="en-US" w:eastAsia="zh-CN"/>
              </w:rPr>
            </w:pPr>
            <w:r>
              <w:rPr>
                <w:rFonts w:hint="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4"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运行控制</w:t>
            </w:r>
          </w:p>
        </w:tc>
        <w:tc>
          <w:tcPr>
            <w:tcW w:w="1093"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EO8.1</w:t>
            </w:r>
          </w:p>
        </w:tc>
        <w:tc>
          <w:tcPr>
            <w:tcW w:w="11093" w:type="dxa"/>
            <w:vAlign w:val="top"/>
          </w:tcPr>
          <w:p>
            <w:pPr>
              <w:numPr>
                <w:ilvl w:val="0"/>
                <w:numId w:val="3"/>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编制了《安全管理制度》《消防管理制度》《节水、节电管理办法》等各项管理制度。</w:t>
            </w:r>
          </w:p>
          <w:p>
            <w:pPr>
              <w:numPr>
                <w:ilvl w:val="0"/>
                <w:numId w:val="3"/>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通过远程视频和文件查看运行控制情况：</w:t>
            </w:r>
          </w:p>
          <w:p>
            <w:pPr>
              <w:numPr>
                <w:ilvl w:val="0"/>
                <w:numId w:val="4"/>
              </w:numPr>
              <w:rPr>
                <w:rFonts w:hint="eastAsia" w:ascii="宋体" w:hAnsi="宋体" w:eastAsia="宋体" w:cs="宋体"/>
                <w:sz w:val="21"/>
                <w:szCs w:val="21"/>
                <w:lang w:eastAsia="zh-CN"/>
              </w:rPr>
            </w:pPr>
            <w:r>
              <w:rPr>
                <w:rFonts w:hint="eastAsia" w:ascii="宋体" w:hAnsi="宋体" w:eastAsia="宋体" w:cs="宋体"/>
                <w:sz w:val="21"/>
                <w:szCs w:val="21"/>
                <w:lang w:eastAsia="zh-CN"/>
              </w:rPr>
              <w:t>废水排放：主要是清洁和生活污水，用于厂区清洁</w:t>
            </w:r>
            <w:r>
              <w:rPr>
                <w:rFonts w:hint="eastAsia" w:ascii="宋体" w:hAnsi="宋体" w:cs="宋体"/>
                <w:sz w:val="21"/>
                <w:szCs w:val="21"/>
                <w:lang w:eastAsia="zh-CN"/>
              </w:rPr>
              <w:t>抑尘洒扫</w:t>
            </w:r>
            <w:r>
              <w:rPr>
                <w:rFonts w:hint="eastAsia" w:ascii="宋体" w:hAnsi="宋体" w:eastAsia="宋体" w:cs="宋体"/>
                <w:sz w:val="21"/>
                <w:szCs w:val="21"/>
                <w:lang w:eastAsia="zh-CN"/>
              </w:rPr>
              <w:t>，无外排；</w:t>
            </w:r>
          </w:p>
          <w:p>
            <w:pPr>
              <w:numPr>
                <w:ilvl w:val="0"/>
                <w:numId w:val="0"/>
              </w:numPr>
              <w:ind w:leftChars="0"/>
              <w:rPr>
                <w:rFonts w:hint="default"/>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rPr>
              <w:t>相关方施加影响：</w:t>
            </w:r>
            <w:r>
              <w:rPr>
                <w:rFonts w:hint="eastAsia" w:ascii="宋体" w:hAnsi="宋体" w:eastAsia="宋体" w:cs="宋体"/>
                <w:sz w:val="21"/>
                <w:szCs w:val="21"/>
                <w:lang w:eastAsia="zh-CN"/>
              </w:rPr>
              <w:t>负责对相关方施加环境、安全影响</w:t>
            </w:r>
            <w:r>
              <w:rPr>
                <w:rFonts w:hint="eastAsia" w:ascii="宋体" w:hAnsi="宋体" w:eastAsia="宋体" w:cs="宋体"/>
                <w:sz w:val="21"/>
                <w:szCs w:val="21"/>
              </w:rPr>
              <w:t>，对供方、客户</w:t>
            </w:r>
            <w:r>
              <w:rPr>
                <w:rFonts w:hint="eastAsia" w:ascii="宋体" w:hAnsi="宋体" w:eastAsia="宋体" w:cs="宋体"/>
                <w:sz w:val="21"/>
                <w:szCs w:val="21"/>
                <w:lang w:eastAsia="zh-CN"/>
              </w:rPr>
              <w:t>、来访人员，</w:t>
            </w:r>
            <w:r>
              <w:rPr>
                <w:rFonts w:hint="eastAsia" w:ascii="宋体" w:hAnsi="宋体" w:eastAsia="宋体" w:cs="宋体"/>
                <w:sz w:val="21"/>
                <w:szCs w:val="21"/>
              </w:rPr>
              <w:t>以邮件、传真、现场告知进行了相关方告知的发放，</w:t>
            </w:r>
            <w:r>
              <w:rPr>
                <w:rFonts w:hint="eastAsia" w:ascii="宋体" w:hAnsi="宋体" w:cs="宋体"/>
                <w:sz w:val="21"/>
                <w:szCs w:val="21"/>
                <w:lang w:eastAsia="zh-CN"/>
              </w:rPr>
              <w:t>提供《施加影响相关方一览表》《相关方告知书》；</w:t>
            </w:r>
            <w:r>
              <w:rPr>
                <w:rFonts w:hint="eastAsia" w:ascii="宋体" w:hAnsi="宋体" w:cs="宋体"/>
                <w:sz w:val="21"/>
                <w:szCs w:val="21"/>
                <w:lang w:val="en-US" w:eastAsia="zh-CN"/>
              </w:rPr>
              <w:t>均对客户进行了告知。</w:t>
            </w:r>
          </w:p>
          <w:p>
            <w:pPr>
              <w:pStyle w:val="13"/>
              <w:ind w:left="0" w:leftChars="0" w:firstLine="0" w:firstLineChars="0"/>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eastAsia="zh-CN"/>
              </w:rPr>
              <w:t>水电消耗：</w:t>
            </w:r>
            <w:r>
              <w:rPr>
                <w:rFonts w:hint="eastAsia" w:ascii="Times New Roman" w:hAnsi="Times New Roman" w:eastAsia="宋体" w:cs="Times New Roman"/>
                <w:sz w:val="21"/>
                <w:szCs w:val="21"/>
                <w:lang w:eastAsia="zh-CN"/>
              </w:rPr>
              <w:t>执行《节水、节电管理办法》</w:t>
            </w:r>
            <w:r>
              <w:rPr>
                <w:rFonts w:hint="eastAsia" w:cs="Times New Roman"/>
                <w:sz w:val="21"/>
                <w:szCs w:val="21"/>
                <w:lang w:eastAsia="zh-CN"/>
              </w:rPr>
              <w:t>，</w:t>
            </w:r>
            <w:r>
              <w:rPr>
                <w:rFonts w:hint="eastAsia" w:ascii="宋体" w:hAnsi="宋体" w:eastAsia="宋体" w:cs="宋体"/>
                <w:sz w:val="21"/>
                <w:szCs w:val="21"/>
                <w:lang w:eastAsia="zh-CN"/>
              </w:rPr>
              <w:t>日常办公注意节水节电，不浪费；</w:t>
            </w:r>
          </w:p>
          <w:p>
            <w:pP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触电控制：办公区均使用安全电器，灯具离地距离符合要求，</w:t>
            </w:r>
            <w:r>
              <w:rPr>
                <w:rFonts w:hint="eastAsia" w:ascii="宋体" w:hAnsi="宋体" w:eastAsia="宋体" w:cs="宋体"/>
                <w:sz w:val="21"/>
                <w:szCs w:val="21"/>
                <w:lang w:eastAsia="zh-CN"/>
              </w:rPr>
              <w:t>定期</w:t>
            </w:r>
            <w:r>
              <w:rPr>
                <w:rFonts w:hint="eastAsia" w:ascii="宋体" w:hAnsi="宋体" w:eastAsia="宋体" w:cs="宋体"/>
                <w:sz w:val="21"/>
                <w:szCs w:val="21"/>
              </w:rPr>
              <w:t>检查线路、灯具、电器等的安全性能</w:t>
            </w:r>
            <w:r>
              <w:rPr>
                <w:rFonts w:hint="eastAsia" w:ascii="宋体" w:hAnsi="宋体" w:cs="宋体"/>
                <w:sz w:val="21"/>
                <w:szCs w:val="21"/>
                <w:lang w:eastAsia="zh-CN"/>
              </w:rPr>
              <w:t>，</w:t>
            </w:r>
            <w:r>
              <w:rPr>
                <w:rFonts w:hint="eastAsia" w:ascii="宋体" w:hAnsi="宋体" w:cs="宋体"/>
                <w:sz w:val="21"/>
                <w:szCs w:val="21"/>
                <w:lang w:val="en-US" w:eastAsia="zh-CN"/>
              </w:rPr>
              <w:t>公司目前未有</w:t>
            </w:r>
            <w:r>
              <w:rPr>
                <w:rFonts w:hint="eastAsia" w:ascii="宋体" w:hAnsi="宋体" w:eastAsia="宋体" w:cs="宋体"/>
                <w:sz w:val="21"/>
                <w:szCs w:val="21"/>
              </w:rPr>
              <w:t>无触电事故发生。</w:t>
            </w:r>
          </w:p>
          <w:p>
            <w:pPr>
              <w:numPr>
                <w:ilvl w:val="0"/>
                <w:numId w:val="0"/>
              </w:numPr>
              <w:rPr>
                <w:rFonts w:hint="eastAsia" w:ascii="Times New Roman" w:hAnsi="Times New Roman" w:eastAsia="宋体" w:cs="Times New Roman"/>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火灾控制：</w:t>
            </w:r>
            <w:r>
              <w:rPr>
                <w:rFonts w:hint="eastAsia" w:ascii="宋体" w:hAnsi="宋体" w:cs="宋体"/>
                <w:sz w:val="21"/>
                <w:szCs w:val="21"/>
                <w:lang w:eastAsia="zh-CN"/>
              </w:rPr>
              <w:t>办公区域</w:t>
            </w:r>
            <w:r>
              <w:rPr>
                <w:rFonts w:hint="eastAsia" w:ascii="宋体" w:hAnsi="宋体" w:eastAsia="宋体" w:cs="宋体"/>
                <w:sz w:val="21"/>
                <w:szCs w:val="21"/>
              </w:rPr>
              <w:t>配备了灭火器，</w:t>
            </w:r>
            <w:r>
              <w:rPr>
                <w:rFonts w:hint="eastAsia" w:ascii="宋体" w:hAnsi="宋体" w:cs="宋体"/>
                <w:sz w:val="21"/>
                <w:szCs w:val="21"/>
                <w:lang w:eastAsia="zh-CN"/>
              </w:rPr>
              <w:t>视频查看</w:t>
            </w:r>
            <w:r>
              <w:rPr>
                <w:rFonts w:hint="eastAsia" w:ascii="宋体" w:hAnsi="宋体" w:eastAsia="宋体" w:cs="宋体"/>
                <w:sz w:val="21"/>
                <w:szCs w:val="21"/>
              </w:rPr>
              <w:t>均在有效压力范围内。</w:t>
            </w:r>
            <w:r>
              <w:rPr>
                <w:rFonts w:hint="eastAsia" w:ascii="Times New Roman" w:hAnsi="Times New Roman" w:eastAsia="宋体" w:cs="Times New Roman"/>
                <w:sz w:val="21"/>
                <w:szCs w:val="21"/>
                <w:lang w:eastAsia="zh-CN"/>
              </w:rPr>
              <w:t>提供了《</w:t>
            </w:r>
            <w:r>
              <w:rPr>
                <w:rFonts w:hint="eastAsia" w:ascii="Times New Roman" w:hAnsi="Times New Roman" w:eastAsia="宋体" w:cs="Times New Roman"/>
                <w:sz w:val="21"/>
                <w:szCs w:val="21"/>
              </w:rPr>
              <w:t>消防安全检查记录表</w:t>
            </w:r>
            <w:r>
              <w:rPr>
                <w:rFonts w:hint="eastAsia" w:ascii="Times New Roman" w:hAnsi="Times New Roman" w:eastAsia="宋体" w:cs="Times New Roman"/>
                <w:sz w:val="21"/>
                <w:szCs w:val="21"/>
                <w:lang w:eastAsia="zh-CN"/>
              </w:rPr>
              <w:t>》</w:t>
            </w:r>
            <w:r>
              <w:rPr>
                <w:rFonts w:hint="eastAsia" w:cs="Times New Roman"/>
                <w:sz w:val="21"/>
                <w:szCs w:val="21"/>
                <w:lang w:eastAsia="zh-CN"/>
              </w:rPr>
              <w:t>，每季度检查一次</w:t>
            </w:r>
            <w:r>
              <w:rPr>
                <w:rFonts w:hint="eastAsia" w:ascii="Times New Roman" w:hAnsi="Times New Roman" w:eastAsia="宋体" w:cs="Times New Roman"/>
                <w:sz w:val="21"/>
                <w:szCs w:val="21"/>
              </w:rPr>
              <w:t>。</w:t>
            </w:r>
          </w:p>
          <w:p>
            <w:pPr>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eastAsia="zh-CN"/>
              </w:rPr>
              <w:t>废气排放：办公</w:t>
            </w:r>
            <w:r>
              <w:rPr>
                <w:rFonts w:hint="eastAsia" w:ascii="宋体" w:hAnsi="宋体" w:eastAsia="宋体" w:cs="宋体"/>
                <w:sz w:val="21"/>
                <w:szCs w:val="21"/>
              </w:rPr>
              <w:t xml:space="preserve">过程不产生粉尘排放。 </w:t>
            </w:r>
          </w:p>
          <w:p>
            <w:pPr>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办公过程产生的固废（如纸张、外包装等）按办公室要求放到指定地点，现场无混放现象；生活办公垃圾按照规定放置指定区域</w:t>
            </w:r>
            <w:r>
              <w:rPr>
                <w:rFonts w:hint="eastAsia" w:ascii="宋体" w:hAnsi="宋体" w:cs="宋体"/>
                <w:sz w:val="21"/>
                <w:szCs w:val="21"/>
                <w:lang w:eastAsia="zh-CN"/>
              </w:rPr>
              <w:t>，交由环卫统一处理</w:t>
            </w:r>
            <w:r>
              <w:rPr>
                <w:rFonts w:hint="eastAsia" w:ascii="宋体" w:hAnsi="宋体" w:eastAsia="宋体" w:cs="宋体"/>
                <w:sz w:val="21"/>
                <w:szCs w:val="21"/>
              </w:rPr>
              <w:t>。废弃的防疫物质有专用垃圾桶。提供了</w:t>
            </w:r>
            <w:r>
              <w:rPr>
                <w:rFonts w:hint="eastAsia" w:ascii="宋体" w:hAnsi="宋体" w:eastAsia="宋体" w:cs="宋体"/>
                <w:sz w:val="21"/>
                <w:szCs w:val="21"/>
                <w:lang w:eastAsia="zh-CN"/>
              </w:rPr>
              <w:t>《</w:t>
            </w:r>
            <w:r>
              <w:rPr>
                <w:rFonts w:hint="eastAsia" w:ascii="宋体" w:hAnsi="宋体" w:eastAsia="宋体" w:cs="宋体"/>
                <w:sz w:val="21"/>
                <w:szCs w:val="21"/>
              </w:rPr>
              <w:t>废弃物</w:t>
            </w:r>
            <w:r>
              <w:rPr>
                <w:rFonts w:hint="eastAsia" w:ascii="宋体" w:hAnsi="宋体" w:eastAsia="宋体" w:cs="宋体"/>
                <w:sz w:val="21"/>
                <w:szCs w:val="21"/>
                <w:lang w:eastAsia="zh-CN"/>
              </w:rPr>
              <w:t>分类</w:t>
            </w:r>
            <w:r>
              <w:rPr>
                <w:rFonts w:hint="eastAsia" w:ascii="宋体" w:hAnsi="宋体" w:eastAsia="宋体" w:cs="宋体"/>
                <w:sz w:val="21"/>
                <w:szCs w:val="21"/>
              </w:rPr>
              <w:t>处置记录》，打印纸、包装、纸箱等进行了变卖，办公室废弃灯管等交由厂家回收。</w:t>
            </w:r>
          </w:p>
          <w:p>
            <w:pPr>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汽车尾气：使用高标号燃油降低汽车尾气有害气体的排放，定期对车辆进行检定，避免事故、尾气达标排放等。</w:t>
            </w:r>
          </w:p>
          <w:p>
            <w:pPr>
              <w:pStyle w:val="13"/>
              <w:ind w:left="0" w:leftChars="0" w:firstLine="0" w:firstLineChars="0"/>
              <w:rPr>
                <w:rFonts w:hint="eastAsia" w:ascii="宋体" w:hAnsi="宋体" w:eastAsia="宋体" w:cs="宋体"/>
                <w:lang w:val="en-US" w:eastAsia="zh-CN"/>
              </w:rPr>
            </w:pPr>
            <w:r>
              <w:rPr>
                <w:rFonts w:hint="eastAsia" w:ascii="宋体" w:hAnsi="宋体" w:eastAsia="宋体" w:cs="宋体"/>
                <w:sz w:val="21"/>
                <w:szCs w:val="21"/>
              </w:rPr>
              <w:t>交通事故控制：车辆司机均持证上岗，不酒驾、醉驾、毒驾、疲劳驾驶，目前未发生过该类伤害。</w:t>
            </w:r>
          </w:p>
          <w:p>
            <w:pPr>
              <w:numPr>
                <w:ilvl w:val="0"/>
                <w:numId w:val="5"/>
              </w:numPr>
              <w:rPr>
                <w:rFonts w:hint="eastAsia" w:ascii="宋体" w:hAnsi="宋体" w:eastAsia="宋体" w:cs="宋体"/>
                <w:sz w:val="21"/>
                <w:szCs w:val="21"/>
                <w:lang w:eastAsia="zh-CN"/>
              </w:rPr>
            </w:pPr>
            <w:r>
              <w:rPr>
                <w:rFonts w:hint="eastAsia" w:ascii="宋体" w:hAnsi="宋体" w:eastAsia="宋体" w:cs="宋体"/>
                <w:sz w:val="21"/>
                <w:szCs w:val="21"/>
              </w:rPr>
              <w:t>高空坠物控制：</w:t>
            </w:r>
            <w:r>
              <w:rPr>
                <w:rFonts w:hint="eastAsia" w:ascii="宋体" w:hAnsi="宋体" w:eastAsia="宋体" w:cs="宋体"/>
                <w:sz w:val="21"/>
                <w:szCs w:val="21"/>
                <w:lang w:eastAsia="zh-CN"/>
              </w:rPr>
              <w:t>送货车辆装卸货物注意防护，未发生过此类伤害；</w:t>
            </w:r>
          </w:p>
          <w:p>
            <w:pPr>
              <w:numPr>
                <w:ilvl w:val="0"/>
                <w:numId w:val="5"/>
              </w:numPr>
              <w:ind w:left="0" w:leftChars="0" w:firstLine="0" w:firstLineChars="0"/>
              <w:rPr>
                <w:rFonts w:hint="eastAsia" w:ascii="宋体" w:hAnsi="宋体" w:cs="宋体"/>
                <w:sz w:val="21"/>
                <w:szCs w:val="21"/>
                <w:lang w:val="en-US" w:eastAsia="zh-CN"/>
              </w:rPr>
            </w:pPr>
            <w:r>
              <w:rPr>
                <w:rFonts w:hint="eastAsia" w:ascii="宋体" w:hAnsi="宋体" w:eastAsia="宋体" w:cs="宋体"/>
                <w:sz w:val="21"/>
                <w:szCs w:val="21"/>
              </w:rPr>
              <w:t>相关方施加影响：办公室</w:t>
            </w:r>
            <w:r>
              <w:rPr>
                <w:rFonts w:hint="eastAsia" w:ascii="宋体" w:hAnsi="宋体" w:eastAsia="宋体" w:cs="宋体"/>
                <w:sz w:val="21"/>
                <w:szCs w:val="21"/>
                <w:lang w:eastAsia="zh-CN"/>
              </w:rPr>
              <w:t>负责对相关方施加环境、安全影响</w:t>
            </w:r>
            <w:r>
              <w:rPr>
                <w:rFonts w:hint="eastAsia" w:ascii="宋体" w:hAnsi="宋体" w:eastAsia="宋体" w:cs="宋体"/>
                <w:sz w:val="21"/>
                <w:szCs w:val="21"/>
              </w:rPr>
              <w:t>，对供方、客户</w:t>
            </w:r>
            <w:r>
              <w:rPr>
                <w:rFonts w:hint="eastAsia" w:ascii="宋体" w:hAnsi="宋体" w:eastAsia="宋体" w:cs="宋体"/>
                <w:sz w:val="21"/>
                <w:szCs w:val="21"/>
                <w:lang w:eastAsia="zh-CN"/>
              </w:rPr>
              <w:t>、来访人员，</w:t>
            </w:r>
            <w:r>
              <w:rPr>
                <w:rFonts w:hint="eastAsia" w:ascii="宋体" w:hAnsi="宋体" w:eastAsia="宋体" w:cs="宋体"/>
                <w:sz w:val="21"/>
                <w:szCs w:val="21"/>
              </w:rPr>
              <w:t>以邮件、传真、现场告知进行了相关方告知的发放，</w:t>
            </w:r>
            <w:r>
              <w:rPr>
                <w:rFonts w:hint="eastAsia" w:ascii="宋体" w:hAnsi="宋体" w:cs="宋体"/>
                <w:sz w:val="21"/>
                <w:szCs w:val="21"/>
                <w:lang w:eastAsia="zh-CN"/>
              </w:rPr>
              <w:t>提供《施加影响相关方一览表》《相关方告知书》</w:t>
            </w:r>
            <w:r>
              <w:rPr>
                <w:rFonts w:hint="eastAsia" w:ascii="宋体" w:hAnsi="宋体" w:cs="宋体"/>
                <w:sz w:val="21"/>
                <w:szCs w:val="21"/>
                <w:lang w:val="en-US" w:eastAsia="zh-CN"/>
              </w:rPr>
              <w:t>.</w:t>
            </w:r>
          </w:p>
          <w:p>
            <w:pPr>
              <w:rPr>
                <w:rFonts w:hint="eastAsia" w:ascii="宋体" w:hAnsi="Times New Roman" w:eastAsia="宋体" w:cs="宋体"/>
                <w:color w:val="000000"/>
                <w:sz w:val="21"/>
                <w:szCs w:val="21"/>
                <w:lang w:val="en-US" w:eastAsia="zh-CN" w:bidi="ar-SA"/>
              </w:rPr>
            </w:pPr>
            <w:r>
              <w:rPr>
                <w:rFonts w:hint="eastAsia" w:ascii="Times New Roman" w:hAnsi="Times New Roman" w:eastAsia="宋体" w:cs="Times New Roman"/>
                <w:sz w:val="21"/>
                <w:szCs w:val="21"/>
              </w:rPr>
              <w:t>办公区域的环境、职业健康安全的控制基本满足要求。</w:t>
            </w:r>
          </w:p>
        </w:tc>
        <w:tc>
          <w:tcPr>
            <w:tcW w:w="1009" w:type="dxa"/>
          </w:tcPr>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default" w:eastAsia="宋体"/>
                <w:sz w:val="21"/>
                <w:szCs w:val="21"/>
                <w:lang w:val="en-US" w:eastAsia="zh-CN"/>
              </w:rPr>
            </w:pPr>
            <w:r>
              <w:rPr>
                <w:rFonts w:hint="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14" w:type="dxa"/>
            <w:vAlign w:val="top"/>
          </w:tcPr>
          <w:p>
            <w:pPr>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应急准备及响应</w:t>
            </w:r>
          </w:p>
        </w:tc>
        <w:tc>
          <w:tcPr>
            <w:tcW w:w="1093"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EO8.2</w:t>
            </w:r>
          </w:p>
        </w:tc>
        <w:tc>
          <w:tcPr>
            <w:tcW w:w="11093" w:type="dxa"/>
            <w:vAlign w:val="top"/>
          </w:tcPr>
          <w:p>
            <w:pPr>
              <w:numPr>
                <w:ilvl w:val="0"/>
                <w:numId w:val="6"/>
              </w:numPr>
              <w:ind w:left="420" w:leftChars="0" w:hanging="42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公司建立了《应急准备</w:t>
            </w:r>
            <w:r>
              <w:rPr>
                <w:rFonts w:hint="eastAsia" w:cs="Times New Roman"/>
                <w:sz w:val="21"/>
                <w:szCs w:val="21"/>
                <w:lang w:eastAsia="zh-CN"/>
              </w:rPr>
              <w:t>和</w:t>
            </w:r>
            <w:r>
              <w:rPr>
                <w:rFonts w:hint="eastAsia" w:ascii="Times New Roman" w:hAnsi="Times New Roman" w:eastAsia="宋体" w:cs="Times New Roman"/>
                <w:sz w:val="21"/>
                <w:szCs w:val="21"/>
              </w:rPr>
              <w:t>响应控制程序》，确定可能对环境、职业健康安全造成影响的潜在的紧急情况或事故、事件，规定响应措施，以便防止和减少可能随之引发的有害的环境影响和相关的职业健康安全不良后果。</w:t>
            </w:r>
          </w:p>
          <w:p>
            <w:pPr>
              <w:numPr>
                <w:ilvl w:val="0"/>
                <w:numId w:val="6"/>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编制了《潜在的事故和紧急情况一览表》，紧急情况有火灾事故、触电事故</w:t>
            </w:r>
            <w:r>
              <w:rPr>
                <w:rFonts w:hint="eastAsia" w:cs="Times New Roman"/>
                <w:sz w:val="21"/>
                <w:szCs w:val="21"/>
                <w:lang w:eastAsia="zh-CN"/>
              </w:rPr>
              <w:t>等</w:t>
            </w:r>
            <w:r>
              <w:rPr>
                <w:rFonts w:hint="eastAsia" w:ascii="Times New Roman" w:hAnsi="Times New Roman" w:eastAsia="宋体" w:cs="Times New Roman"/>
                <w:sz w:val="21"/>
                <w:szCs w:val="21"/>
                <w:lang w:eastAsia="zh-CN"/>
              </w:rPr>
              <w:t>。</w:t>
            </w:r>
          </w:p>
          <w:p>
            <w:pPr>
              <w:numPr>
                <w:ilvl w:val="0"/>
                <w:numId w:val="6"/>
              </w:numPr>
              <w:ind w:left="420" w:leftChars="0" w:hanging="420" w:firstLineChars="0"/>
              <w:rPr>
                <w:rFonts w:hint="eastAsia" w:ascii="Times New Roman" w:hAnsi="Times New Roman" w:eastAsia="宋体" w:cs="Times New Roman"/>
                <w:sz w:val="21"/>
                <w:szCs w:val="21"/>
                <w:lang w:eastAsia="zh-CN"/>
              </w:rPr>
            </w:pPr>
            <w:r>
              <w:rPr>
                <w:rFonts w:hint="eastAsia" w:cs="Times New Roman"/>
                <w:sz w:val="21"/>
                <w:szCs w:val="21"/>
                <w:lang w:val="en-US" w:eastAsia="zh-CN"/>
              </w:rPr>
              <w:t>部门参与了公司综合部主导的</w:t>
            </w:r>
            <w:r>
              <w:rPr>
                <w:rFonts w:hint="eastAsia" w:ascii="Times New Roman" w:hAnsi="Times New Roman" w:eastAsia="宋体" w:cs="Times New Roman"/>
                <w:sz w:val="21"/>
                <w:szCs w:val="21"/>
                <w:lang w:eastAsia="zh-CN"/>
              </w:rPr>
              <w:t>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26</w:t>
            </w:r>
            <w:r>
              <w:rPr>
                <w:rFonts w:hint="eastAsia" w:ascii="Times New Roman" w:hAnsi="Times New Roman" w:eastAsia="宋体" w:cs="Times New Roman"/>
                <w:sz w:val="21"/>
                <w:szCs w:val="21"/>
                <w:lang w:eastAsia="zh-CN"/>
              </w:rPr>
              <w:t>日进行了火灾应急演练</w:t>
            </w:r>
            <w:r>
              <w:rPr>
                <w:rFonts w:hint="eastAsia" w:cs="Times New Roman"/>
                <w:sz w:val="21"/>
                <w:szCs w:val="21"/>
                <w:lang w:eastAsia="zh-CN"/>
              </w:rPr>
              <w:t>，</w:t>
            </w:r>
            <w:r>
              <w:rPr>
                <w:rFonts w:hint="eastAsia" w:ascii="Times New Roman" w:hAnsi="Times New Roman" w:eastAsia="宋体" w:cs="Times New Roman"/>
                <w:sz w:val="21"/>
                <w:szCs w:val="21"/>
                <w:lang w:eastAsia="zh-CN"/>
              </w:rPr>
              <w:t>效果良好，全体人员消防意识有所提高，到目前无火灾事故发生。</w:t>
            </w:r>
          </w:p>
          <w:p>
            <w:pPr>
              <w:numPr>
                <w:ilvl w:val="0"/>
                <w:numId w:val="6"/>
              </w:numPr>
              <w:ind w:left="420" w:leftChars="0" w:hanging="420" w:firstLineChars="0"/>
              <w:rPr>
                <w:rFonts w:hint="eastAsia"/>
                <w:sz w:val="21"/>
                <w:szCs w:val="21"/>
                <w:lang w:val="en-US" w:eastAsia="zh-CN"/>
              </w:rPr>
            </w:pPr>
            <w:r>
              <w:rPr>
                <w:rFonts w:hint="eastAsia" w:cs="Times New Roman"/>
                <w:sz w:val="21"/>
                <w:szCs w:val="21"/>
                <w:lang w:val="en-US" w:eastAsia="zh-CN"/>
              </w:rPr>
              <w:t>部门参与了公司综合部主导的</w:t>
            </w:r>
            <w:r>
              <w:rPr>
                <w:rFonts w:hint="eastAsia" w:ascii="Times New Roman" w:hAnsi="Times New Roman" w:eastAsia="宋体" w:cs="Times New Roman"/>
                <w:sz w:val="21"/>
                <w:szCs w:val="21"/>
              </w:rPr>
              <w:t>2022年</w:t>
            </w:r>
            <w:r>
              <w:rPr>
                <w:rFonts w:hint="eastAsia" w:ascii="Times New Roman" w:hAnsi="Times New Roman" w:eastAsia="宋体" w:cs="Times New Roman"/>
                <w:sz w:val="21"/>
                <w:szCs w:val="21"/>
                <w:lang w:val="en-US"/>
              </w:rPr>
              <w:t>7</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rPr>
              <w:t>10日</w:t>
            </w:r>
            <w:r>
              <w:rPr>
                <w:rFonts w:hint="eastAsia" w:ascii="Times New Roman" w:hAnsi="Times New Roman" w:eastAsia="宋体" w:cs="Times New Roman"/>
                <w:sz w:val="21"/>
                <w:szCs w:val="21"/>
                <w:lang w:eastAsia="zh-CN"/>
              </w:rPr>
              <w:t>，进行了</w:t>
            </w:r>
            <w:r>
              <w:rPr>
                <w:rFonts w:hint="eastAsia" w:cs="Times New Roman"/>
                <w:sz w:val="21"/>
                <w:szCs w:val="21"/>
                <w:lang w:val="en-US" w:eastAsia="zh-CN"/>
              </w:rPr>
              <w:t>触电</w:t>
            </w:r>
            <w:r>
              <w:rPr>
                <w:rFonts w:hint="eastAsia" w:ascii="Times New Roman" w:hAnsi="Times New Roman" w:eastAsia="宋体" w:cs="Times New Roman"/>
                <w:sz w:val="21"/>
                <w:szCs w:val="21"/>
                <w:lang w:eastAsia="zh-CN"/>
              </w:rPr>
              <w:t>演练效果良好</w:t>
            </w:r>
            <w:r>
              <w:rPr>
                <w:rFonts w:hint="eastAsia" w:ascii="Times New Roman" w:hAnsi="Times New Roman" w:cs="Times New Roman"/>
                <w:sz w:val="21"/>
                <w:szCs w:val="21"/>
                <w:lang w:eastAsia="zh-CN"/>
              </w:rPr>
              <w:t>。</w:t>
            </w:r>
          </w:p>
          <w:p>
            <w:pPr>
              <w:numPr>
                <w:ilvl w:val="0"/>
                <w:numId w:val="6"/>
              </w:numPr>
              <w:ind w:left="420" w:leftChars="0" w:hanging="420" w:firstLineChars="0"/>
              <w:rPr>
                <w:rFonts w:hint="eastAsia"/>
                <w:sz w:val="21"/>
                <w:szCs w:val="21"/>
                <w:lang w:val="en-US" w:eastAsia="zh-CN"/>
              </w:rPr>
            </w:pPr>
            <w:r>
              <w:rPr>
                <w:rFonts w:hint="eastAsia" w:cs="Times New Roman"/>
                <w:color w:val="000000"/>
                <w:sz w:val="21"/>
                <w:szCs w:val="21"/>
                <w:lang w:eastAsia="zh-CN"/>
              </w:rPr>
              <w:t>应急预案适宜，演练</w:t>
            </w:r>
            <w:r>
              <w:rPr>
                <w:rFonts w:hint="eastAsia" w:cs="Times New Roman"/>
                <w:color w:val="000000"/>
                <w:sz w:val="21"/>
                <w:szCs w:val="21"/>
                <w:lang w:val="en-US" w:eastAsia="zh-CN"/>
              </w:rPr>
              <w:t>达</w:t>
            </w:r>
            <w:r>
              <w:rPr>
                <w:rFonts w:hint="eastAsia" w:cs="Times New Roman"/>
                <w:color w:val="000000"/>
                <w:sz w:val="21"/>
                <w:szCs w:val="21"/>
                <w:lang w:eastAsia="zh-CN"/>
              </w:rPr>
              <w:t>到预期目的。</w:t>
            </w:r>
          </w:p>
        </w:tc>
        <w:tc>
          <w:tcPr>
            <w:tcW w:w="1009" w:type="dxa"/>
          </w:tcPr>
          <w:p>
            <w:pPr>
              <w:pStyle w:val="2"/>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4"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顾客沟通</w:t>
            </w:r>
          </w:p>
        </w:tc>
        <w:tc>
          <w:tcPr>
            <w:tcW w:w="1093" w:type="dxa"/>
            <w:vAlign w:val="center"/>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8.2.1</w:t>
            </w:r>
          </w:p>
        </w:tc>
        <w:tc>
          <w:tcPr>
            <w:tcW w:w="11093" w:type="dxa"/>
            <w:vAlign w:val="center"/>
          </w:tcPr>
          <w:p>
            <w:pPr>
              <w:numPr>
                <w:ilvl w:val="0"/>
                <w:numId w:val="6"/>
              </w:numPr>
              <w:ind w:left="420" w:leftChars="0" w:hanging="42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公司通过走访、电话、邮件等方式与顾客交流，主要进行以下沟通：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1、在产品交付中向顾客提供保证产品品质的有关信息。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2、接受顾客问询、询价、合同的处理。</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3、根据合同要求进行有关的事宜，对顾客的投诉或意见进行及时处理和答复。到目前为止，未发生顾客不满意及投诉现象。</w:t>
            </w:r>
          </w:p>
        </w:tc>
        <w:tc>
          <w:tcPr>
            <w:tcW w:w="1009"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4"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与产品有关要求的确定</w:t>
            </w:r>
          </w:p>
        </w:tc>
        <w:tc>
          <w:tcPr>
            <w:tcW w:w="1093" w:type="dxa"/>
            <w:vAlign w:val="center"/>
          </w:tcPr>
          <w:p>
            <w:pP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8.2.2</w:t>
            </w:r>
          </w:p>
        </w:tc>
        <w:tc>
          <w:tcPr>
            <w:tcW w:w="11093" w:type="dxa"/>
            <w:vAlign w:val="center"/>
          </w:tcPr>
          <w:p>
            <w:pPr>
              <w:numPr>
                <w:ilvl w:val="0"/>
                <w:numId w:val="6"/>
              </w:numPr>
              <w:ind w:left="420" w:leftChars="0" w:hanging="420" w:firstLine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查公司产品销售情况</w:t>
            </w:r>
          </w:p>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市场部负责共</w:t>
            </w:r>
            <w:r>
              <w:rPr>
                <w:rFonts w:hint="eastAsia" w:ascii="Times New Roman" w:hAnsi="Times New Roman" w:eastAsia="宋体" w:cs="Times New Roman"/>
                <w:sz w:val="21"/>
                <w:szCs w:val="21"/>
                <w:lang w:val="en-US" w:eastAsia="zh-CN"/>
              </w:rPr>
              <w:t>销售</w:t>
            </w:r>
            <w:r>
              <w:rPr>
                <w:rFonts w:hint="eastAsia" w:cs="Times New Roman"/>
                <w:sz w:val="21"/>
                <w:szCs w:val="21"/>
                <w:lang w:val="en-US" w:eastAsia="zh-CN"/>
              </w:rPr>
              <w:t>工作</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负责人</w:t>
            </w:r>
            <w:r>
              <w:rPr>
                <w:rFonts w:hint="eastAsia" w:ascii="Times New Roman" w:hAnsi="Times New Roman" w:eastAsia="宋体" w:cs="Times New Roman"/>
                <w:sz w:val="21"/>
                <w:szCs w:val="21"/>
                <w:lang w:val="en-US" w:eastAsia="zh-CN"/>
              </w:rPr>
              <w:t>介绍，公司主要通过投标和签订合同方式进行销售。</w:t>
            </w:r>
            <w:r>
              <w:rPr>
                <w:rFonts w:hint="eastAsia" w:cs="Times New Roman"/>
                <w:sz w:val="21"/>
                <w:szCs w:val="21"/>
                <w:lang w:val="en-US" w:eastAsia="zh-CN"/>
              </w:rPr>
              <w:t>公司成立不久，查见</w:t>
            </w:r>
            <w:r>
              <w:rPr>
                <w:rFonts w:hint="eastAsia" w:ascii="Times New Roman" w:hAnsi="Times New Roman" w:eastAsia="宋体" w:cs="Times New Roman"/>
                <w:sz w:val="21"/>
                <w:szCs w:val="21"/>
                <w:lang w:val="en-US" w:eastAsia="zh-CN"/>
              </w:rPr>
              <w:t>提供了《合同台帐》</w:t>
            </w:r>
            <w:r>
              <w:rPr>
                <w:rFonts w:hint="eastAsia" w:cs="Times New Roman"/>
                <w:sz w:val="21"/>
                <w:szCs w:val="21"/>
                <w:lang w:val="en-US" w:eastAsia="zh-CN"/>
              </w:rPr>
              <w:t>，体系运行以来，受疫情影响，目前只有一个在执行的合同。</w:t>
            </w:r>
          </w:p>
          <w:p>
            <w:pPr>
              <w:numPr>
                <w:ilvl w:val="0"/>
                <w:numId w:val="6"/>
              </w:numPr>
              <w:ind w:left="420" w:leftChars="0" w:hanging="420" w:firstLineChars="0"/>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查公司产品销售合同</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合同签订</w:t>
            </w:r>
            <w:r>
              <w:rPr>
                <w:rFonts w:hint="eastAsia" w:ascii="Times New Roman" w:hAnsi="Times New Roman" w:cs="Times New Roman"/>
                <w:sz w:val="21"/>
                <w:szCs w:val="21"/>
                <w:lang w:val="en-US" w:eastAsia="zh-CN"/>
              </w:rPr>
              <w:t>日期为2022-04-20</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客户：四川登量科技开发有限公司</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产品名称：工业煤气数字精准计量平台建设（含数字精准计量应用软件系统开发；工业终端在线计量校准软件系统开发；）</w:t>
            </w:r>
          </w:p>
          <w:p>
            <w:pPr>
              <w:rPr>
                <w:rFonts w:hint="eastAsia" w:eastAsia="宋体" w:cs="Times New Roman"/>
                <w:sz w:val="21"/>
                <w:szCs w:val="21"/>
                <w:lang w:val="en-US" w:eastAsia="zh-CN"/>
              </w:rPr>
            </w:pPr>
            <w:r>
              <w:rPr>
                <w:rFonts w:hint="eastAsia" w:ascii="Times New Roman" w:hAnsi="Times New Roman" w:cs="Times New Roman"/>
                <w:sz w:val="21"/>
                <w:szCs w:val="21"/>
                <w:lang w:val="en-US" w:eastAsia="zh-CN"/>
              </w:rPr>
              <w:t>技术要求、交货期限，维保期限等齐全。</w:t>
            </w:r>
          </w:p>
        </w:tc>
        <w:tc>
          <w:tcPr>
            <w:tcW w:w="1009"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4"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产品有关要求的评审及变更</w:t>
            </w:r>
          </w:p>
        </w:tc>
        <w:tc>
          <w:tcPr>
            <w:tcW w:w="1093" w:type="dxa"/>
            <w:vAlign w:val="center"/>
          </w:tcPr>
          <w:p>
            <w:pPr>
              <w:rPr>
                <w:rFonts w:hint="eastAsia" w:ascii="Times New Roman" w:hAnsi="Times New Roman" w:eastAsia="宋体" w:cs="Times New Roman"/>
                <w:sz w:val="21"/>
                <w:szCs w:val="21"/>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8.2.3</w:t>
            </w:r>
          </w:p>
          <w:p>
            <w:pP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8.2.4</w:t>
            </w:r>
          </w:p>
        </w:tc>
        <w:tc>
          <w:tcPr>
            <w:tcW w:w="11093" w:type="dxa"/>
            <w:vAlign w:val="center"/>
          </w:tcPr>
          <w:p>
            <w:pPr>
              <w:numPr>
                <w:ilvl w:val="0"/>
                <w:numId w:val="6"/>
              </w:numPr>
              <w:ind w:left="420" w:leftChars="0" w:hanging="420" w:firstLineChars="0"/>
              <w:rPr>
                <w:rFonts w:hint="eastAsia" w:ascii="Times New Roman" w:hAnsi="Times New Roman" w:eastAsia="宋体" w:cs="Times New Roman"/>
                <w:sz w:val="21"/>
                <w:szCs w:val="21"/>
                <w:lang w:val="en-US" w:eastAsia="zh-CN"/>
              </w:rPr>
            </w:pPr>
            <w:r>
              <w:rPr>
                <w:rFonts w:hint="eastAsia" w:cs="Times New Roman"/>
                <w:sz w:val="21"/>
                <w:szCs w:val="21"/>
                <w:lang w:val="en-US" w:eastAsia="zh-CN"/>
              </w:rPr>
              <w:t>负责人</w:t>
            </w:r>
            <w:r>
              <w:rPr>
                <w:rFonts w:hint="eastAsia" w:ascii="Times New Roman" w:hAnsi="Times New Roman" w:eastAsia="宋体" w:cs="Times New Roman"/>
                <w:sz w:val="21"/>
                <w:szCs w:val="21"/>
                <w:lang w:val="en-US" w:eastAsia="zh-CN"/>
              </w:rPr>
              <w:t>介绍销售订单/合同签订前，由市场部组织各部门进行评审。</w:t>
            </w:r>
          </w:p>
          <w:p>
            <w:pPr>
              <w:numPr>
                <w:ilvl w:val="0"/>
                <w:numId w:val="6"/>
              </w:numPr>
              <w:ind w:left="420" w:leftChars="0" w:hanging="420" w:firstLine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提供了《合同/订单评审记录 》，以上合同均进行了评审，评审日期分别为：</w:t>
            </w:r>
            <w:r>
              <w:rPr>
                <w:rFonts w:hint="eastAsia" w:ascii="Times New Roman" w:hAnsi="Times New Roman" w:cs="Times New Roman"/>
                <w:sz w:val="21"/>
                <w:szCs w:val="21"/>
                <w:lang w:val="en-US" w:eastAsia="zh-CN"/>
              </w:rPr>
              <w:t>2022.4.20</w:t>
            </w:r>
            <w:r>
              <w:rPr>
                <w:rFonts w:hint="eastAsia" w:ascii="Times New Roman" w:hAnsi="Times New Roman" w:eastAsia="宋体" w:cs="Times New Roman"/>
                <w:sz w:val="21"/>
                <w:szCs w:val="21"/>
                <w:lang w:val="en-US" w:eastAsia="zh-CN"/>
              </w:rPr>
              <w:t>。</w:t>
            </w:r>
          </w:p>
          <w:p>
            <w:pPr>
              <w:numPr>
                <w:ilvl w:val="0"/>
                <w:numId w:val="0"/>
              </w:numPr>
              <w:ind w:left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评审内容包括客户的技术要求、质量要求、支持服务、价格等，交付及售后服务能力</w:t>
            </w:r>
            <w:r>
              <w:rPr>
                <w:rFonts w:hint="eastAsia" w:cs="Times New Roman"/>
                <w:sz w:val="21"/>
                <w:szCs w:val="21"/>
                <w:lang w:val="en-US" w:eastAsia="zh-CN"/>
              </w:rPr>
              <w:t>等</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评审结果：全部通过。</w:t>
            </w:r>
          </w:p>
          <w:p>
            <w:pPr>
              <w:numPr>
                <w:ilvl w:val="0"/>
                <w:numId w:val="6"/>
              </w:numPr>
              <w:ind w:left="420" w:leftChars="0" w:hanging="420" w:firstLineChars="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公司目前暂无合同更改情况。</w:t>
            </w:r>
          </w:p>
        </w:tc>
        <w:tc>
          <w:tcPr>
            <w:tcW w:w="1009" w:type="dxa"/>
          </w:tcPr>
          <w:p>
            <w:pP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4" w:type="dxa"/>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顾客满意</w:t>
            </w:r>
          </w:p>
        </w:tc>
        <w:tc>
          <w:tcPr>
            <w:tcW w:w="1093"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Q9.1.2</w:t>
            </w:r>
          </w:p>
        </w:tc>
        <w:tc>
          <w:tcPr>
            <w:tcW w:w="11093" w:type="dxa"/>
          </w:tcPr>
          <w:p>
            <w:pPr>
              <w:numPr>
                <w:ilvl w:val="0"/>
                <w:numId w:val="6"/>
              </w:numPr>
              <w:ind w:left="420" w:leftChars="0" w:hanging="420" w:firstLineChars="0"/>
              <w:rPr>
                <w:rFonts w:hint="eastAsia" w:ascii="Times New Roman" w:hAnsi="Times New Roman" w:eastAsia="宋体" w:cs="Times New Roman"/>
                <w:sz w:val="21"/>
                <w:szCs w:val="21"/>
                <w:lang w:val="zh-CN"/>
              </w:rPr>
            </w:pPr>
            <w:r>
              <w:rPr>
                <w:rFonts w:hint="eastAsia" w:cs="Times New Roman"/>
                <w:sz w:val="21"/>
                <w:szCs w:val="21"/>
                <w:lang w:val="zh-CN"/>
              </w:rPr>
              <w:t>负责人</w:t>
            </w:r>
            <w:r>
              <w:rPr>
                <w:rFonts w:hint="eastAsia" w:ascii="Times New Roman" w:hAnsi="Times New Roman" w:eastAsia="宋体" w:cs="Times New Roman"/>
                <w:sz w:val="21"/>
                <w:szCs w:val="21"/>
                <w:lang w:val="zh-CN"/>
              </w:rPr>
              <w:t>介绍，公司通过电话，走访等形式，接受顾客反馈，了解顾客满意度信息，发放调查表对顾客满意度进行定量测量。</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rPr>
              <w:t>制定了《顾客投诉处理与满意度调查控制程序》，</w:t>
            </w:r>
            <w:r>
              <w:rPr>
                <w:rFonts w:hint="eastAsia" w:ascii="Times New Roman" w:hAnsi="Times New Roman" w:eastAsia="宋体" w:cs="Times New Roman"/>
                <w:sz w:val="21"/>
                <w:szCs w:val="21"/>
                <w:lang w:val="zh-CN" w:eastAsia="zh-CN"/>
              </w:rPr>
              <w:t>每年</w:t>
            </w:r>
            <w:r>
              <w:rPr>
                <w:rFonts w:hint="eastAsia" w:cs="Times New Roman"/>
                <w:sz w:val="21"/>
                <w:szCs w:val="21"/>
                <w:lang w:val="zh-CN" w:eastAsia="zh-CN"/>
              </w:rPr>
              <w:t>定期由</w:t>
            </w:r>
            <w:r>
              <w:rPr>
                <w:rFonts w:hint="eastAsia" w:ascii="Times New Roman" w:hAnsi="Times New Roman" w:eastAsia="宋体" w:cs="Times New Roman"/>
                <w:sz w:val="21"/>
                <w:szCs w:val="21"/>
                <w:lang w:val="zh-CN" w:eastAsia="zh-CN"/>
              </w:rPr>
              <w:t>办公室向顾客发送《顾客满意度调查表》，调查顾客对公司产品、服务的满意程度，收集相关意见和建议。</w:t>
            </w:r>
          </w:p>
          <w:p>
            <w:pPr>
              <w:numPr>
                <w:ilvl w:val="0"/>
                <w:numId w:val="6"/>
              </w:numPr>
              <w:ind w:left="420" w:leftChars="0" w:hanging="420" w:firstLineChars="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rPr>
              <w:t>查</w:t>
            </w:r>
            <w:r>
              <w:rPr>
                <w:rFonts w:hint="eastAsia" w:ascii="宋体" w:hAnsi="Courier New"/>
                <w:sz w:val="24"/>
              </w:rPr>
              <w:t>2022.8.20</w:t>
            </w:r>
            <w:r>
              <w:rPr>
                <w:rFonts w:hint="eastAsia" w:cs="Times New Roman"/>
                <w:sz w:val="21"/>
                <w:szCs w:val="21"/>
                <w:lang w:val="en-US" w:eastAsia="zh-CN"/>
              </w:rPr>
              <w:t>进行了顾客满意调查：</w:t>
            </w:r>
          </w:p>
          <w:p>
            <w:pPr>
              <w:rPr>
                <w:rFonts w:hint="eastAsia" w:ascii="Times New Roman" w:hAnsi="Times New Roman" w:cs="Times New Roman"/>
                <w:sz w:val="21"/>
                <w:szCs w:val="21"/>
                <w:lang w:val="zh-CN" w:eastAsia="zh-CN"/>
              </w:rPr>
            </w:pPr>
            <w:r>
              <w:rPr>
                <w:rFonts w:hint="eastAsia" w:cs="Times New Roman"/>
                <w:sz w:val="21"/>
                <w:szCs w:val="21"/>
                <w:lang w:val="zh-CN"/>
              </w:rPr>
              <w:t>发放了</w:t>
            </w:r>
            <w:r>
              <w:rPr>
                <w:rFonts w:hint="eastAsia" w:ascii="Times New Roman" w:hAnsi="Times New Roman" w:eastAsia="宋体" w:cs="Times New Roman"/>
                <w:sz w:val="21"/>
                <w:szCs w:val="21"/>
                <w:lang w:val="zh-CN"/>
              </w:rPr>
              <w:t>“顾客满意程度调查表”</w:t>
            </w:r>
            <w:r>
              <w:rPr>
                <w:rFonts w:hint="eastAsia" w:cs="Times New Roman"/>
                <w:sz w:val="21"/>
                <w:szCs w:val="21"/>
                <w:lang w:val="en-US" w:eastAsia="zh-CN"/>
              </w:rPr>
              <w:t>1</w:t>
            </w:r>
            <w:r>
              <w:rPr>
                <w:rFonts w:hint="eastAsia" w:ascii="Times New Roman" w:hAnsi="Times New Roman" w:cs="Times New Roman"/>
                <w:sz w:val="21"/>
                <w:szCs w:val="21"/>
                <w:lang w:val="en-US" w:eastAsia="zh-CN"/>
              </w:rPr>
              <w:t>份，回收1份；四川登量科技开发有限公司</w:t>
            </w:r>
            <w:r>
              <w:rPr>
                <w:rFonts w:hint="eastAsia" w:ascii="Times New Roman" w:hAnsi="Times New Roman" w:cs="Times New Roman"/>
                <w:sz w:val="21"/>
                <w:szCs w:val="21"/>
                <w:lang w:val="zh-CN" w:eastAsia="zh-CN"/>
              </w:rPr>
              <w:t>满意度调查。调查主要内容：</w:t>
            </w:r>
            <w:r>
              <w:rPr>
                <w:rFonts w:hint="eastAsia" w:ascii="Times New Roman" w:hAnsi="Times New Roman" w:cs="Times New Roman"/>
                <w:sz w:val="21"/>
                <w:szCs w:val="21"/>
                <w:lang w:val="en-US" w:eastAsia="zh-CN"/>
              </w:rPr>
              <w:t>质量、价格、售后服务等方面的满意程度</w:t>
            </w:r>
            <w:r>
              <w:rPr>
                <w:rFonts w:hint="eastAsia" w:ascii="Times New Roman" w:hAnsi="Times New Roman" w:cs="Times New Roman"/>
                <w:sz w:val="21"/>
                <w:szCs w:val="21"/>
                <w:lang w:val="zh-CN" w:eastAsia="zh-CN"/>
              </w:rPr>
              <w:t>等，</w:t>
            </w:r>
            <w:r>
              <w:rPr>
                <w:rFonts w:hint="eastAsia" w:ascii="Times New Roman" w:hAnsi="Times New Roman" w:cs="Times New Roman"/>
                <w:sz w:val="21"/>
                <w:szCs w:val="21"/>
                <w:lang w:val="en-US" w:eastAsia="zh-CN"/>
              </w:rPr>
              <w:t>调查得分94分</w:t>
            </w:r>
            <w:r>
              <w:rPr>
                <w:rFonts w:hint="eastAsia" w:ascii="Times New Roman" w:hAnsi="Times New Roman" w:cs="Times New Roman"/>
                <w:sz w:val="21"/>
                <w:szCs w:val="21"/>
                <w:lang w:val="zh-CN" w:eastAsia="zh-CN"/>
              </w:rPr>
              <w:t>。</w:t>
            </w:r>
          </w:p>
          <w:p>
            <w:pPr>
              <w:numPr>
                <w:ilvl w:val="0"/>
                <w:numId w:val="6"/>
              </w:numPr>
              <w:ind w:left="420" w:leftChars="0" w:hanging="42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zh-CN" w:eastAsia="zh-CN"/>
              </w:rPr>
              <w:t>提供了“</w:t>
            </w:r>
            <w:r>
              <w:rPr>
                <w:rFonts w:hint="eastAsia" w:ascii="Times New Roman" w:hAnsi="Times New Roman" w:cs="Times New Roman"/>
                <w:sz w:val="21"/>
                <w:szCs w:val="21"/>
                <w:lang w:val="en-US" w:eastAsia="zh-CN"/>
              </w:rPr>
              <w:t>年度顾客满意度调查情况分析表</w:t>
            </w:r>
            <w:r>
              <w:rPr>
                <w:rFonts w:hint="eastAsia" w:ascii="Times New Roman" w:hAnsi="Times New Roman" w:cs="Times New Roman"/>
                <w:sz w:val="21"/>
                <w:szCs w:val="21"/>
                <w:lang w:val="zh-CN" w:eastAsia="zh-CN"/>
              </w:rPr>
              <w:t>”，自体系运行以来，</w:t>
            </w:r>
            <w:r>
              <w:rPr>
                <w:rFonts w:hint="eastAsia" w:ascii="Times New Roman" w:hAnsi="Times New Roman" w:cs="Times New Roman"/>
                <w:sz w:val="21"/>
                <w:szCs w:val="21"/>
                <w:lang w:val="en-US" w:eastAsia="zh-CN"/>
              </w:rPr>
              <w:t>2022年8月20日，进行了满意度调查，本次调查发放1份，回收1份，最终顾客满意率94%。。</w:t>
            </w:r>
          </w:p>
          <w:p>
            <w:pPr>
              <w:rPr>
                <w:rFonts w:hint="default"/>
                <w:sz w:val="21"/>
                <w:szCs w:val="21"/>
                <w:lang w:val="en-US" w:eastAsia="zh-CN"/>
              </w:rPr>
            </w:pPr>
            <w:r>
              <w:rPr>
                <w:rFonts w:hint="eastAsia" w:ascii="Times New Roman" w:hAnsi="Times New Roman" w:cs="Times New Roman"/>
                <w:sz w:val="21"/>
                <w:szCs w:val="21"/>
                <w:lang w:val="en-US" w:eastAsia="zh-CN"/>
              </w:rPr>
              <w:t>暂无估计反馈和顾客建议。</w:t>
            </w:r>
          </w:p>
        </w:tc>
        <w:tc>
          <w:tcPr>
            <w:tcW w:w="1009"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4" w:type="dxa"/>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监视和测量</w:t>
            </w:r>
          </w:p>
        </w:tc>
        <w:tc>
          <w:tcPr>
            <w:tcW w:w="1093" w:type="dxa"/>
          </w:tcPr>
          <w:p>
            <w:pPr>
              <w:rPr>
                <w:rFonts w:hint="eastAsia"/>
                <w:lang w:val="en-US" w:eastAsia="zh-CN"/>
              </w:rPr>
            </w:pPr>
            <w:r>
              <w:rPr>
                <w:rFonts w:hint="eastAsia"/>
                <w:lang w:val="en-US" w:eastAsia="zh-CN"/>
              </w:rPr>
              <w:t>QEO9.1.1</w:t>
            </w:r>
          </w:p>
          <w:p>
            <w:pPr>
              <w:pStyle w:val="18"/>
              <w:rPr>
                <w:rFonts w:hint="eastAsia" w:ascii="Times New Roman" w:hAnsi="Times New Roman" w:eastAsia="宋体" w:cs="Times New Roman"/>
                <w:sz w:val="21"/>
                <w:szCs w:val="21"/>
                <w:lang w:val="en-US" w:eastAsia="zh-CN"/>
              </w:rPr>
            </w:pPr>
          </w:p>
          <w:p>
            <w:pPr>
              <w:pStyle w:val="18"/>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Q9.1.3</w:t>
            </w:r>
          </w:p>
        </w:tc>
        <w:tc>
          <w:tcPr>
            <w:tcW w:w="11093" w:type="dxa"/>
          </w:tcPr>
          <w:p>
            <w:pPr>
              <w:numPr>
                <w:ilvl w:val="0"/>
                <w:numId w:val="6"/>
              </w:numPr>
              <w:ind w:left="420" w:leftChars="0" w:hanging="420" w:firstLineChars="0"/>
              <w:rPr>
                <w:rFonts w:hint="eastAsia" w:ascii="Times New Roman" w:hAnsi="Times New Roman" w:cs="Times New Roman"/>
                <w:lang w:eastAsia="zh-CN"/>
              </w:rPr>
            </w:pPr>
            <w:r>
              <w:rPr>
                <w:rFonts w:hint="eastAsia"/>
                <w:lang w:eastAsia="zh-CN"/>
              </w:rPr>
              <w:t>查企业编</w:t>
            </w:r>
            <w:r>
              <w:rPr>
                <w:rFonts w:hint="eastAsia" w:ascii="Times New Roman" w:hAnsi="Times New Roman" w:cs="Times New Roman"/>
                <w:lang w:eastAsia="zh-CN"/>
              </w:rPr>
              <w:t>制有《环境和职业健康安全绩效监测控制程序》《绩效监测数据分析控制程序》，通过以下几种方式对运行过程绩效进行监视和测量：</w:t>
            </w:r>
          </w:p>
          <w:p>
            <w:pPr>
              <w:numPr>
                <w:ilvl w:val="0"/>
                <w:numId w:val="6"/>
              </w:numPr>
              <w:ind w:left="420" w:leftChars="0" w:hanging="420" w:firstLineChars="0"/>
              <w:rPr>
                <w:rFonts w:hint="eastAsia"/>
                <w:lang w:eastAsia="zh-CN"/>
              </w:rPr>
            </w:pPr>
            <w:r>
              <w:rPr>
                <w:rFonts w:hint="eastAsia" w:ascii="Times New Roman" w:hAnsi="Times New Roman" w:cs="Times New Roman"/>
                <w:lang w:eastAsia="zh-CN"/>
              </w:rPr>
              <w:t>公司建立了《</w:t>
            </w:r>
            <w:r>
              <w:rPr>
                <w:rFonts w:hint="eastAsia" w:ascii="宋体" w:hAnsi="宋体"/>
              </w:rPr>
              <w:t>顾客满意度测量控制程序》，规定了顾客满意检测的体制、内容、途经、方法、时间和频率、监测、信息汇集/分析和增强措施等要求。</w:t>
            </w:r>
          </w:p>
          <w:p>
            <w:pPr>
              <w:numPr>
                <w:ilvl w:val="0"/>
                <w:numId w:val="6"/>
              </w:numPr>
              <w:ind w:left="420" w:leftChars="0" w:hanging="420" w:firstLineChars="0"/>
              <w:rPr>
                <w:rFonts w:hint="default"/>
                <w:lang w:val="en-US" w:eastAsia="zh-CN"/>
              </w:rPr>
            </w:pPr>
            <w:r>
              <w:rPr>
                <w:rFonts w:hint="eastAsia"/>
                <w:lang w:eastAsia="zh-CN"/>
              </w:rPr>
              <w:t>公司对管理体系过程进行监视和测量的方法包括：内审、管理评审、目标考核、过程的监视和测量检查等。</w:t>
            </w:r>
            <w:r>
              <w:rPr>
                <w:rFonts w:hint="eastAsia"/>
                <w:lang w:val="en-US" w:eastAsia="zh-CN"/>
              </w:rPr>
              <w:t>详见：9.2、9.3、6.3条款审核记录。</w:t>
            </w:r>
          </w:p>
          <w:p>
            <w:pPr>
              <w:numPr>
                <w:ilvl w:val="0"/>
                <w:numId w:val="6"/>
              </w:numPr>
              <w:spacing w:line="380" w:lineRule="exact"/>
              <w:ind w:left="420" w:leftChars="0" w:hanging="420" w:firstLineChars="0"/>
              <w:rPr>
                <w:rFonts w:hint="eastAsia" w:ascii="宋体" w:hAnsi="宋体"/>
              </w:rPr>
            </w:pPr>
            <w:r>
              <w:rPr>
                <w:rFonts w:hint="eastAsia" w:ascii="宋体" w:hAnsi="宋体"/>
              </w:rPr>
              <w:t>公司建立了《内部审核控制程序》，规定了审核的策划、实施、报告、纠正措施与验证、记录保存和持续改进等要求。</w:t>
            </w:r>
          </w:p>
          <w:p>
            <w:pPr>
              <w:numPr>
                <w:ilvl w:val="0"/>
                <w:numId w:val="7"/>
              </w:numPr>
              <w:spacing w:line="380" w:lineRule="exact"/>
              <w:rPr>
                <w:rFonts w:hint="eastAsia" w:ascii="宋体" w:hAnsi="宋体"/>
              </w:rPr>
            </w:pPr>
            <w:r>
              <w:rPr>
                <w:rFonts w:hint="eastAsia" w:ascii="宋体" w:hAnsi="宋体"/>
              </w:rPr>
              <w:t>原材料进货验收由</w:t>
            </w:r>
            <w:r>
              <w:rPr>
                <w:rFonts w:hint="eastAsia" w:ascii="宋体" w:hAnsi="宋体"/>
                <w:lang w:val="en-US" w:eastAsia="zh-CN"/>
              </w:rPr>
              <w:t>综合部</w:t>
            </w:r>
            <w:r>
              <w:rPr>
                <w:rFonts w:hint="eastAsia" w:ascii="宋体" w:hAnsi="宋体"/>
              </w:rPr>
              <w:t>负责检验，并保留其验收记录。</w:t>
            </w:r>
          </w:p>
          <w:p>
            <w:pPr>
              <w:numPr>
                <w:ilvl w:val="0"/>
                <w:numId w:val="7"/>
              </w:numPr>
              <w:spacing w:line="380" w:lineRule="exact"/>
              <w:ind w:left="420" w:leftChars="0" w:hanging="420" w:firstLineChars="0"/>
              <w:rPr>
                <w:rFonts w:hint="eastAsia" w:ascii="宋体" w:hAnsi="宋体" w:cs="Times New Roman"/>
                <w:lang w:eastAsia="zh-CN"/>
              </w:rPr>
            </w:pPr>
            <w:r>
              <w:rPr>
                <w:rFonts w:hint="eastAsia" w:ascii="宋体" w:hAnsi="宋体"/>
              </w:rPr>
              <w:t>产品</w:t>
            </w:r>
            <w:r>
              <w:rPr>
                <w:rFonts w:hint="eastAsia" w:ascii="宋体" w:hAnsi="宋体"/>
                <w:lang w:val="en-US" w:eastAsia="zh-CN"/>
              </w:rPr>
              <w:t>软件开发</w:t>
            </w:r>
            <w:r>
              <w:rPr>
                <w:rFonts w:hint="eastAsia" w:ascii="宋体" w:hAnsi="宋体"/>
              </w:rPr>
              <w:t>资料由</w:t>
            </w:r>
            <w:r>
              <w:rPr>
                <w:rFonts w:hint="eastAsia" w:ascii="宋体" w:hAnsi="宋体"/>
                <w:lang w:val="en-US" w:eastAsia="zh-CN"/>
              </w:rPr>
              <w:t>计量</w:t>
            </w:r>
            <w:r>
              <w:rPr>
                <w:rFonts w:hint="eastAsia" w:ascii="宋体" w:hAnsi="宋体"/>
              </w:rPr>
              <w:t>技术部</w:t>
            </w:r>
            <w:r>
              <w:rPr>
                <w:rFonts w:hint="eastAsia" w:ascii="宋体" w:hAnsi="宋体"/>
                <w:lang w:val="en-US" w:eastAsia="zh-CN"/>
              </w:rPr>
              <w:t>和</w:t>
            </w:r>
            <w:r>
              <w:rPr>
                <w:rFonts w:hint="eastAsia" w:ascii="宋体" w:hAnsi="宋体" w:cs="Times New Roman"/>
                <w:lang w:val="en-US" w:eastAsia="zh-CN"/>
              </w:rPr>
              <w:t>软件技术部</w:t>
            </w:r>
            <w:r>
              <w:rPr>
                <w:rFonts w:hint="eastAsia" w:ascii="宋体" w:hAnsi="宋体" w:cs="Times New Roman"/>
              </w:rPr>
              <w:t>负责开发，并保留其记录。</w:t>
            </w:r>
          </w:p>
          <w:p>
            <w:pPr>
              <w:numPr>
                <w:ilvl w:val="0"/>
                <w:numId w:val="7"/>
              </w:numPr>
              <w:spacing w:line="380" w:lineRule="exact"/>
              <w:ind w:left="420" w:leftChars="0" w:hanging="420" w:firstLineChars="0"/>
              <w:rPr>
                <w:rFonts w:hint="eastAsia" w:ascii="宋体" w:hAnsi="宋体" w:cs="Times New Roman"/>
              </w:rPr>
            </w:pPr>
            <w:r>
              <w:rPr>
                <w:rFonts w:hint="eastAsia" w:ascii="宋体" w:hAnsi="宋体" w:cs="Times New Roman"/>
              </w:rPr>
              <w:t>查见顾客满意度分析报告：</w:t>
            </w:r>
            <w:r>
              <w:rPr>
                <w:rFonts w:hint="eastAsia" w:ascii="宋体" w:hAnsi="宋体" w:cs="Times New Roman"/>
                <w:lang w:val="en-US" w:eastAsia="zh-CN"/>
              </w:rPr>
              <w:t>2022年8月</w:t>
            </w:r>
            <w:r>
              <w:rPr>
                <w:rFonts w:hint="eastAsia" w:ascii="宋体" w:hAnsi="宋体" w:cs="Times New Roman"/>
              </w:rPr>
              <w:t>公司对满意度调查结果为</w:t>
            </w:r>
            <w:r>
              <w:rPr>
                <w:rFonts w:hint="eastAsia" w:ascii="宋体" w:hAnsi="宋体" w:cs="Times New Roman"/>
                <w:lang w:val="en-US" w:eastAsia="zh-CN"/>
              </w:rPr>
              <w:t>94</w:t>
            </w:r>
            <w:r>
              <w:rPr>
                <w:rFonts w:hint="eastAsia" w:ascii="宋体" w:hAnsi="宋体" w:cs="Times New Roman"/>
              </w:rPr>
              <w:t>分，对顾客不够满意的情况进行了汇总分析，得出：………,进一步加强与顾客的沟通保持顾客的持续满意。</w:t>
            </w:r>
          </w:p>
          <w:p>
            <w:pPr>
              <w:numPr>
                <w:ilvl w:val="0"/>
                <w:numId w:val="7"/>
              </w:numPr>
              <w:spacing w:line="380" w:lineRule="exact"/>
              <w:ind w:left="420" w:leftChars="0" w:hanging="420" w:firstLineChars="0"/>
              <w:rPr>
                <w:rFonts w:hint="eastAsia" w:ascii="宋体" w:hAnsi="宋体" w:cs="Times New Roman"/>
                <w:lang w:eastAsia="zh-CN"/>
              </w:rPr>
            </w:pPr>
            <w:r>
              <w:rPr>
                <w:rFonts w:hint="eastAsia" w:ascii="宋体" w:hAnsi="宋体" w:cs="Times New Roman"/>
                <w:lang w:val="en-US" w:eastAsia="zh-CN"/>
              </w:rPr>
              <w:t>查见目标、指标完成情况的分析报告。</w:t>
            </w:r>
          </w:p>
          <w:p>
            <w:pPr>
              <w:numPr>
                <w:ilvl w:val="0"/>
                <w:numId w:val="7"/>
              </w:numPr>
              <w:spacing w:line="380" w:lineRule="exact"/>
              <w:ind w:left="420" w:leftChars="0" w:hanging="420" w:firstLineChars="0"/>
              <w:rPr>
                <w:rFonts w:hint="eastAsia" w:ascii="宋体" w:hAnsi="宋体" w:cs="Times New Roman"/>
                <w:lang w:eastAsia="zh-CN"/>
              </w:rPr>
            </w:pPr>
            <w:r>
              <w:rPr>
                <w:rFonts w:hint="eastAsia" w:ascii="宋体" w:hAnsi="宋体" w:cs="Times New Roman"/>
              </w:rPr>
              <w:t>分析和评价的结果所提供的信息被用于确定质量管理体系的绩效和有效性以及需要的改进。</w:t>
            </w:r>
          </w:p>
          <w:p>
            <w:pPr>
              <w:numPr>
                <w:ilvl w:val="0"/>
                <w:numId w:val="0"/>
              </w:numPr>
              <w:spacing w:line="380" w:lineRule="exact"/>
              <w:ind w:leftChars="0"/>
              <w:rPr>
                <w:rFonts w:hint="eastAsia" w:ascii="宋体" w:hAnsi="宋体" w:cs="Times New Roman"/>
                <w:lang w:eastAsia="zh-CN"/>
              </w:rPr>
            </w:pPr>
            <w:r>
              <w:rPr>
                <w:rFonts w:hint="eastAsia" w:ascii="宋体" w:hAnsi="宋体" w:cs="Times New Roman"/>
                <w:lang w:eastAsia="zh-CN"/>
              </w:rPr>
              <w:t>●每</w:t>
            </w:r>
            <w:r>
              <w:rPr>
                <w:rFonts w:hint="eastAsia" w:ascii="宋体" w:hAnsi="宋体" w:cs="Times New Roman"/>
                <w:lang w:val="en-US" w:eastAsia="zh-CN"/>
              </w:rPr>
              <w:t>月</w:t>
            </w:r>
            <w:r>
              <w:rPr>
                <w:rFonts w:hint="eastAsia" w:ascii="宋体" w:hAnsi="宋体" w:cs="Times New Roman"/>
                <w:lang w:eastAsia="zh-CN"/>
              </w:rPr>
              <w:t>进行一次</w:t>
            </w:r>
            <w:r>
              <w:rPr>
                <w:rFonts w:hint="eastAsia" w:ascii="宋体" w:hAnsi="宋体" w:cs="Times New Roman"/>
                <w:lang w:val="en-US" w:eastAsia="zh-CN"/>
              </w:rPr>
              <w:t>环境、安全</w:t>
            </w:r>
            <w:r>
              <w:rPr>
                <w:rFonts w:hint="eastAsia" w:ascii="宋体" w:hAnsi="宋体" w:cs="Times New Roman"/>
                <w:lang w:eastAsia="zh-CN"/>
              </w:rPr>
              <w:t>的监视和测量的检查，发现问题立即整改。</w:t>
            </w:r>
          </w:p>
          <w:p>
            <w:pPr>
              <w:numPr>
                <w:ilvl w:val="0"/>
                <w:numId w:val="0"/>
              </w:numPr>
              <w:spacing w:line="380" w:lineRule="exact"/>
              <w:ind w:leftChars="0"/>
              <w:rPr>
                <w:rFonts w:hint="default" w:ascii="宋体" w:hAnsi="宋体" w:cs="Times New Roman"/>
                <w:lang w:val="en-US" w:eastAsia="zh-CN"/>
              </w:rPr>
            </w:pPr>
            <w:r>
              <w:rPr>
                <w:rFonts w:hint="eastAsia" w:ascii="宋体" w:hAnsi="宋体" w:cs="Times New Roman"/>
                <w:lang w:eastAsia="zh-CN"/>
              </w:rPr>
              <w:t>提供有《管理体系运行检查和监督记录》，监督检查内容包括各部门质量环境职业健康安全体系运行控制情况。查</w:t>
            </w:r>
            <w:r>
              <w:rPr>
                <w:rFonts w:hint="eastAsia" w:ascii="宋体" w:hAnsi="宋体" w:cs="Times New Roman"/>
                <w:lang w:val="en-US" w:eastAsia="zh-CN"/>
              </w:rPr>
              <w:t>2022年2季度和3季度检查情况，均符合要求。</w:t>
            </w:r>
          </w:p>
          <w:p>
            <w:pPr>
              <w:numPr>
                <w:ilvl w:val="0"/>
                <w:numId w:val="0"/>
              </w:numPr>
              <w:spacing w:line="380" w:lineRule="exact"/>
              <w:ind w:leftChars="0"/>
              <w:rPr>
                <w:rFonts w:hint="eastAsia"/>
                <w:lang w:eastAsia="zh-CN"/>
              </w:rPr>
            </w:pPr>
            <w:r>
              <w:rPr>
                <w:rFonts w:hint="eastAsia" w:ascii="宋体" w:hAnsi="宋体" w:cs="Times New Roman"/>
                <w:lang w:eastAsia="zh-CN"/>
              </w:rPr>
              <w:t>●日常监督检查：管代负责对各部门的行为进行不定期的巡检。巡检内容包括：办公现场管理情</w:t>
            </w:r>
            <w:r>
              <w:rPr>
                <w:rFonts w:hint="eastAsia"/>
                <w:lang w:eastAsia="zh-CN"/>
              </w:rPr>
              <w:t>况、防护用品的使用情况、消防设施状况等。对发现的问题提出整改要求，责任部门整改，办公室验证整改效果。</w:t>
            </w:r>
          </w:p>
          <w:p>
            <w:pPr>
              <w:rPr>
                <w:rFonts w:hint="eastAsia"/>
                <w:lang w:eastAsia="zh-CN"/>
              </w:rPr>
            </w:pPr>
            <w:r>
              <w:rPr>
                <w:rFonts w:hint="eastAsia"/>
                <w:lang w:eastAsia="zh-CN"/>
              </w:rPr>
              <w:t>●环境绩效监测：</w:t>
            </w:r>
          </w:p>
          <w:p>
            <w:pPr>
              <w:rPr>
                <w:rFonts w:hint="eastAsia"/>
                <w:lang w:eastAsia="zh-CN"/>
              </w:rPr>
            </w:pPr>
            <w:r>
              <w:rPr>
                <w:rFonts w:hint="eastAsia"/>
                <w:lang w:eastAsia="zh-CN"/>
              </w:rPr>
              <w:t>废水：</w:t>
            </w:r>
            <w:r>
              <w:rPr>
                <w:rFonts w:hint="eastAsia"/>
                <w:lang w:val="en-US" w:eastAsia="zh-CN"/>
              </w:rPr>
              <w:t>办公</w:t>
            </w:r>
            <w:r>
              <w:rPr>
                <w:rFonts w:hint="eastAsia"/>
                <w:lang w:eastAsia="zh-CN"/>
              </w:rPr>
              <w:t>生活废水</w:t>
            </w:r>
            <w:r>
              <w:rPr>
                <w:rFonts w:hint="eastAsia"/>
                <w:lang w:val="en-US" w:eastAsia="zh-CN"/>
              </w:rPr>
              <w:t>排入市政管网</w:t>
            </w:r>
            <w:r>
              <w:rPr>
                <w:rFonts w:hint="eastAsia"/>
                <w:lang w:eastAsia="zh-CN"/>
              </w:rPr>
              <w:t>。</w:t>
            </w:r>
          </w:p>
          <w:p>
            <w:pPr>
              <w:rPr>
                <w:rFonts w:hint="eastAsia"/>
                <w:lang w:eastAsia="zh-CN"/>
              </w:rPr>
            </w:pPr>
            <w:r>
              <w:rPr>
                <w:rFonts w:hint="eastAsia"/>
                <w:lang w:eastAsia="zh-CN"/>
              </w:rPr>
              <w:t>固废：</w:t>
            </w:r>
            <w:r>
              <w:rPr>
                <w:rFonts w:hint="eastAsia"/>
                <w:lang w:val="en-US" w:eastAsia="zh-CN"/>
              </w:rPr>
              <w:t>办公固废，一般固废可回收物变卖给物回公司，不可回收生活垃圾，交由物业，最终环卫处置，墨盒、含汞日光灯等危废，由供应商回收</w:t>
            </w:r>
            <w:r>
              <w:rPr>
                <w:rFonts w:hint="eastAsia"/>
                <w:lang w:eastAsia="zh-CN"/>
              </w:rPr>
              <w:t>；</w:t>
            </w:r>
          </w:p>
          <w:p>
            <w:pPr>
              <w:rPr>
                <w:rFonts w:hint="eastAsia"/>
                <w:lang w:eastAsia="zh-CN"/>
              </w:rPr>
            </w:pPr>
            <w:r>
              <w:rPr>
                <w:rFonts w:hint="eastAsia"/>
                <w:lang w:eastAsia="zh-CN"/>
              </w:rPr>
              <w:t>生活固废、废弃防疫物资等，交由当地环卫部门统一清理；</w:t>
            </w:r>
          </w:p>
          <w:p>
            <w:pPr>
              <w:jc w:val="left"/>
              <w:rPr>
                <w:rFonts w:hint="eastAsia"/>
                <w:lang w:eastAsia="zh-CN"/>
              </w:rPr>
            </w:pPr>
            <w:r>
              <w:rPr>
                <w:rFonts w:hint="eastAsia"/>
                <w:lang w:val="en-US" w:eastAsia="zh-CN"/>
              </w:rPr>
              <w:t>公司</w:t>
            </w:r>
            <w:r>
              <w:rPr>
                <w:rFonts w:hint="eastAsia"/>
                <w:lang w:eastAsia="zh-CN"/>
              </w:rPr>
              <w:t>无</w:t>
            </w:r>
            <w:r>
              <w:rPr>
                <w:rFonts w:hint="eastAsia"/>
                <w:lang w:val="en-US" w:eastAsia="zh-CN"/>
              </w:rPr>
              <w:t>环境、</w:t>
            </w:r>
            <w:r>
              <w:rPr>
                <w:rFonts w:hint="eastAsia"/>
                <w:lang w:eastAsia="zh-CN"/>
              </w:rPr>
              <w:t>职业健康安全监测设备。</w:t>
            </w:r>
          </w:p>
          <w:p>
            <w:pPr>
              <w:jc w:val="left"/>
              <w:rPr>
                <w:rFonts w:hint="eastAsia"/>
                <w:lang w:eastAsia="zh-CN"/>
              </w:rPr>
            </w:pPr>
            <w:r>
              <w:rPr>
                <w:rFonts w:hint="eastAsia"/>
                <w:lang w:val="en-US" w:eastAsia="zh-CN"/>
              </w:rPr>
              <w:t>每月定期进行环境、消防安全检查，自体系建立以来没有</w:t>
            </w:r>
            <w:r>
              <w:rPr>
                <w:rFonts w:hint="eastAsia"/>
                <w:lang w:eastAsia="zh-CN"/>
              </w:rPr>
              <w:t>发生过</w:t>
            </w:r>
            <w:r>
              <w:rPr>
                <w:rFonts w:hint="eastAsia"/>
                <w:lang w:val="en-US" w:eastAsia="zh-CN"/>
              </w:rPr>
              <w:t>环境、</w:t>
            </w:r>
            <w:r>
              <w:rPr>
                <w:rFonts w:hint="eastAsia"/>
                <w:lang w:eastAsia="zh-CN"/>
              </w:rPr>
              <w:t>安全事故。</w:t>
            </w:r>
          </w:p>
          <w:p>
            <w:pPr>
              <w:jc w:val="left"/>
              <w:rPr>
                <w:rFonts w:hint="eastAsia"/>
              </w:rPr>
            </w:pPr>
          </w:p>
        </w:tc>
        <w:tc>
          <w:tcPr>
            <w:tcW w:w="1009"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607" w:type="dxa"/>
            <w:gridSpan w:val="2"/>
          </w:tcPr>
          <w:p>
            <w:pPr>
              <w:pStyle w:val="18"/>
              <w:rPr>
                <w:rFonts w:hint="default" w:ascii="Times New Roman" w:cs="Times New Roman"/>
                <w:sz w:val="21"/>
                <w:szCs w:val="21"/>
                <w:lang w:val="en-US" w:eastAsia="zh-CN"/>
              </w:rPr>
            </w:pPr>
            <w:r>
              <w:rPr>
                <w:rFonts w:hint="eastAsia" w:ascii="Times New Roman" w:cs="Times New Roman"/>
                <w:sz w:val="21"/>
                <w:szCs w:val="21"/>
                <w:lang w:val="en-US" w:eastAsia="zh-CN"/>
              </w:rPr>
              <w:t>远程审核证据</w:t>
            </w:r>
          </w:p>
        </w:tc>
        <w:tc>
          <w:tcPr>
            <w:tcW w:w="11093" w:type="dxa"/>
          </w:tcPr>
          <w:p>
            <w:pPr>
              <w:jc w:val="left"/>
              <w:rPr>
                <w:rFonts w:hint="eastAsia"/>
              </w:rPr>
            </w:pPr>
            <w:bookmarkStart w:id="0" w:name="_GoBack"/>
            <w:r>
              <w:drawing>
                <wp:inline distT="0" distB="0" distL="114300" distR="114300">
                  <wp:extent cx="2540000" cy="2197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2540000" cy="2197100"/>
                          </a:xfrm>
                          <a:prstGeom prst="rect">
                            <a:avLst/>
                          </a:prstGeom>
                          <a:noFill/>
                          <a:ln>
                            <a:noFill/>
                          </a:ln>
                        </pic:spPr>
                      </pic:pic>
                    </a:graphicData>
                  </a:graphic>
                </wp:inline>
              </w:drawing>
            </w:r>
            <w:bookmarkEnd w:id="0"/>
          </w:p>
        </w:tc>
        <w:tc>
          <w:tcPr>
            <w:tcW w:w="1009" w:type="dxa"/>
          </w:tcPr>
          <w:p>
            <w:pPr>
              <w:rPr>
                <w:rFonts w:hint="eastAsia"/>
                <w:sz w:val="21"/>
                <w:szCs w:val="21"/>
                <w:lang w:val="en-US" w:eastAsia="zh-CN"/>
              </w:rPr>
            </w:pPr>
          </w:p>
        </w:tc>
      </w:tr>
    </w:tbl>
    <w:p>
      <w:pPr>
        <w:pStyle w:val="6"/>
      </w:pPr>
      <w:r>
        <w:rPr>
          <w:rFonts w:hint="eastAsia"/>
        </w:rPr>
        <w:t>说明：不符合标注N</w:t>
      </w:r>
    </w:p>
    <w:p>
      <w:pPr>
        <w:pStyle w:val="6"/>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4412E"/>
    <w:multiLevelType w:val="singleLevel"/>
    <w:tmpl w:val="C274412E"/>
    <w:lvl w:ilvl="0" w:tentative="0">
      <w:start w:val="1"/>
      <w:numFmt w:val="bullet"/>
      <w:lvlText w:val=""/>
      <w:lvlJc w:val="left"/>
      <w:pPr>
        <w:ind w:left="420" w:hanging="420"/>
      </w:pPr>
      <w:rPr>
        <w:rFonts w:hint="default" w:ascii="Wingdings" w:hAnsi="Wingdings"/>
      </w:rPr>
    </w:lvl>
  </w:abstractNum>
  <w:abstractNum w:abstractNumId="1">
    <w:nsid w:val="F5596CAD"/>
    <w:multiLevelType w:val="singleLevel"/>
    <w:tmpl w:val="F5596CAD"/>
    <w:lvl w:ilvl="0" w:tentative="0">
      <w:start w:val="1"/>
      <w:numFmt w:val="bullet"/>
      <w:lvlText w:val=""/>
      <w:lvlJc w:val="left"/>
      <w:pPr>
        <w:ind w:left="420" w:hanging="420"/>
      </w:pPr>
      <w:rPr>
        <w:rFonts w:hint="default" w:ascii="Wingdings" w:hAnsi="Wingdings"/>
      </w:rPr>
    </w:lvl>
  </w:abstractNum>
  <w:abstractNum w:abstractNumId="2">
    <w:nsid w:val="31C89AC6"/>
    <w:multiLevelType w:val="singleLevel"/>
    <w:tmpl w:val="31C89AC6"/>
    <w:lvl w:ilvl="0" w:tentative="0">
      <w:start w:val="9"/>
      <w:numFmt w:val="decimal"/>
      <w:suff w:val="nothing"/>
      <w:lvlText w:val="%1、"/>
      <w:lvlJc w:val="left"/>
    </w:lvl>
  </w:abstractNum>
  <w:abstractNum w:abstractNumId="3">
    <w:nsid w:val="489334CA"/>
    <w:multiLevelType w:val="singleLevel"/>
    <w:tmpl w:val="489334CA"/>
    <w:lvl w:ilvl="0" w:tentative="0">
      <w:start w:val="1"/>
      <w:numFmt w:val="decimal"/>
      <w:suff w:val="nothing"/>
      <w:lvlText w:val="%1、"/>
      <w:lvlJc w:val="left"/>
    </w:lvl>
  </w:abstractNum>
  <w:abstractNum w:abstractNumId="4">
    <w:nsid w:val="4F866819"/>
    <w:multiLevelType w:val="singleLevel"/>
    <w:tmpl w:val="4F866819"/>
    <w:lvl w:ilvl="0" w:tentative="0">
      <w:start w:val="1"/>
      <w:numFmt w:val="bullet"/>
      <w:lvlText w:val=""/>
      <w:lvlJc w:val="left"/>
      <w:pPr>
        <w:ind w:left="420" w:hanging="420"/>
      </w:pPr>
      <w:rPr>
        <w:rFonts w:hint="default" w:ascii="Wingdings" w:hAnsi="Wingdings"/>
      </w:rPr>
    </w:lvl>
  </w:abstractNum>
  <w:abstractNum w:abstractNumId="5">
    <w:nsid w:val="57FF110C"/>
    <w:multiLevelType w:val="singleLevel"/>
    <w:tmpl w:val="57FF110C"/>
    <w:lvl w:ilvl="0" w:tentative="0">
      <w:start w:val="1"/>
      <w:numFmt w:val="bullet"/>
      <w:lvlText w:val=""/>
      <w:lvlJc w:val="left"/>
      <w:pPr>
        <w:ind w:left="420" w:hanging="420"/>
      </w:pPr>
      <w:rPr>
        <w:rFonts w:hint="default" w:ascii="Wingdings" w:hAnsi="Wingdings"/>
      </w:rPr>
    </w:lvl>
  </w:abstractNum>
  <w:abstractNum w:abstractNumId="6">
    <w:nsid w:val="58AE4ADC"/>
    <w:multiLevelType w:val="singleLevel"/>
    <w:tmpl w:val="58AE4ADC"/>
    <w:lvl w:ilvl="0" w:tentative="0">
      <w:start w:val="1"/>
      <w:numFmt w:val="bullet"/>
      <w:lvlText w:val=""/>
      <w:lvlJc w:val="left"/>
      <w:pPr>
        <w:ind w:left="420" w:hanging="420"/>
      </w:pPr>
      <w:rPr>
        <w:rFonts w:hint="default" w:ascii="Wingdings" w:hAnsi="Wingdings"/>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Y2MxNWJjNGRmNzZlOGE1ZDgyZDcwMDg5YTkyNGEifQ=="/>
  </w:docVars>
  <w:rsids>
    <w:rsidRoot w:val="00000000"/>
    <w:rsid w:val="001F1D2C"/>
    <w:rsid w:val="005714C6"/>
    <w:rsid w:val="011078C7"/>
    <w:rsid w:val="013E61E2"/>
    <w:rsid w:val="018362EB"/>
    <w:rsid w:val="01981933"/>
    <w:rsid w:val="01D11448"/>
    <w:rsid w:val="0233386D"/>
    <w:rsid w:val="025B2DC4"/>
    <w:rsid w:val="028D1F0F"/>
    <w:rsid w:val="032000D3"/>
    <w:rsid w:val="03C54999"/>
    <w:rsid w:val="03E65F01"/>
    <w:rsid w:val="053472A6"/>
    <w:rsid w:val="055F63AE"/>
    <w:rsid w:val="05DD06BF"/>
    <w:rsid w:val="0607573C"/>
    <w:rsid w:val="06366B6E"/>
    <w:rsid w:val="06420522"/>
    <w:rsid w:val="07C66F31"/>
    <w:rsid w:val="08513A4A"/>
    <w:rsid w:val="087D5842"/>
    <w:rsid w:val="092A7093"/>
    <w:rsid w:val="09F204B1"/>
    <w:rsid w:val="0A5E78F5"/>
    <w:rsid w:val="0AD96F7B"/>
    <w:rsid w:val="0B446AEB"/>
    <w:rsid w:val="0B6131F9"/>
    <w:rsid w:val="0BB315A1"/>
    <w:rsid w:val="0BF7590B"/>
    <w:rsid w:val="0C3B7EEE"/>
    <w:rsid w:val="0CAA5073"/>
    <w:rsid w:val="0DEB76F2"/>
    <w:rsid w:val="0E30553A"/>
    <w:rsid w:val="0E9E29B6"/>
    <w:rsid w:val="0F364782"/>
    <w:rsid w:val="0F713C26"/>
    <w:rsid w:val="0FBA3760"/>
    <w:rsid w:val="0FFD54BA"/>
    <w:rsid w:val="1070092E"/>
    <w:rsid w:val="11052B5A"/>
    <w:rsid w:val="1122167C"/>
    <w:rsid w:val="112C486E"/>
    <w:rsid w:val="11397E1D"/>
    <w:rsid w:val="117614BA"/>
    <w:rsid w:val="119737B9"/>
    <w:rsid w:val="126F08F1"/>
    <w:rsid w:val="12E76701"/>
    <w:rsid w:val="1340228E"/>
    <w:rsid w:val="1424261C"/>
    <w:rsid w:val="14DC2CD6"/>
    <w:rsid w:val="15086DDB"/>
    <w:rsid w:val="15923292"/>
    <w:rsid w:val="165C2BD9"/>
    <w:rsid w:val="168801D3"/>
    <w:rsid w:val="16BF34C9"/>
    <w:rsid w:val="16D36F75"/>
    <w:rsid w:val="1787048B"/>
    <w:rsid w:val="17A26252"/>
    <w:rsid w:val="18196493"/>
    <w:rsid w:val="182B350C"/>
    <w:rsid w:val="183323C1"/>
    <w:rsid w:val="185F79E5"/>
    <w:rsid w:val="18747E3D"/>
    <w:rsid w:val="18C96881"/>
    <w:rsid w:val="19561F96"/>
    <w:rsid w:val="19FD1CEF"/>
    <w:rsid w:val="1A1F513E"/>
    <w:rsid w:val="1A8635C8"/>
    <w:rsid w:val="1BCA6B98"/>
    <w:rsid w:val="1BE0460E"/>
    <w:rsid w:val="1BEA0FE8"/>
    <w:rsid w:val="1CEF2EC2"/>
    <w:rsid w:val="1D344C11"/>
    <w:rsid w:val="1DB25B36"/>
    <w:rsid w:val="1DC51585"/>
    <w:rsid w:val="1DFE521F"/>
    <w:rsid w:val="1E890F8D"/>
    <w:rsid w:val="1F740D38"/>
    <w:rsid w:val="1FBE6A14"/>
    <w:rsid w:val="205F63D2"/>
    <w:rsid w:val="20F46465"/>
    <w:rsid w:val="21947BAF"/>
    <w:rsid w:val="219519F6"/>
    <w:rsid w:val="21961A0B"/>
    <w:rsid w:val="21CF4F08"/>
    <w:rsid w:val="22BF6717"/>
    <w:rsid w:val="22D31BB0"/>
    <w:rsid w:val="234C2589"/>
    <w:rsid w:val="238D507B"/>
    <w:rsid w:val="24656C1B"/>
    <w:rsid w:val="24FD1D8D"/>
    <w:rsid w:val="250336C8"/>
    <w:rsid w:val="251C7F7B"/>
    <w:rsid w:val="254738DA"/>
    <w:rsid w:val="259A75DB"/>
    <w:rsid w:val="25AA523A"/>
    <w:rsid w:val="25E92311"/>
    <w:rsid w:val="26792A64"/>
    <w:rsid w:val="26FB22FC"/>
    <w:rsid w:val="277976C4"/>
    <w:rsid w:val="27D05536"/>
    <w:rsid w:val="27D112AE"/>
    <w:rsid w:val="28170541"/>
    <w:rsid w:val="28E74AAC"/>
    <w:rsid w:val="2A1D74B6"/>
    <w:rsid w:val="2A685EFA"/>
    <w:rsid w:val="2A9156A2"/>
    <w:rsid w:val="2A9A1E2C"/>
    <w:rsid w:val="2B483095"/>
    <w:rsid w:val="2C2A302A"/>
    <w:rsid w:val="2C772424"/>
    <w:rsid w:val="2CC633AC"/>
    <w:rsid w:val="2D3E167E"/>
    <w:rsid w:val="2D7D2598"/>
    <w:rsid w:val="2D8A262B"/>
    <w:rsid w:val="2E2C723F"/>
    <w:rsid w:val="2E961178"/>
    <w:rsid w:val="2EF82EA4"/>
    <w:rsid w:val="2F6A44C2"/>
    <w:rsid w:val="2F805A94"/>
    <w:rsid w:val="2F8B1E73"/>
    <w:rsid w:val="2FD7142C"/>
    <w:rsid w:val="2FD858D0"/>
    <w:rsid w:val="30246C81"/>
    <w:rsid w:val="30B52203"/>
    <w:rsid w:val="31353B3B"/>
    <w:rsid w:val="323D71D6"/>
    <w:rsid w:val="32A72670"/>
    <w:rsid w:val="32A74481"/>
    <w:rsid w:val="32D85BE7"/>
    <w:rsid w:val="33095DA0"/>
    <w:rsid w:val="33CC5F8E"/>
    <w:rsid w:val="34B9286C"/>
    <w:rsid w:val="34F565DC"/>
    <w:rsid w:val="35FB40C6"/>
    <w:rsid w:val="367D0F7F"/>
    <w:rsid w:val="36AB40E2"/>
    <w:rsid w:val="36EC6E3D"/>
    <w:rsid w:val="36FB00F6"/>
    <w:rsid w:val="373D42AF"/>
    <w:rsid w:val="37411FAD"/>
    <w:rsid w:val="37865C12"/>
    <w:rsid w:val="379522F8"/>
    <w:rsid w:val="38807E5C"/>
    <w:rsid w:val="388F4AC7"/>
    <w:rsid w:val="38E36B3A"/>
    <w:rsid w:val="391334D5"/>
    <w:rsid w:val="39A14F85"/>
    <w:rsid w:val="39FD5F33"/>
    <w:rsid w:val="3A2C579E"/>
    <w:rsid w:val="3A56723A"/>
    <w:rsid w:val="3A842BE0"/>
    <w:rsid w:val="3B1E3282"/>
    <w:rsid w:val="3B334302"/>
    <w:rsid w:val="3BB371F1"/>
    <w:rsid w:val="3BE01CC8"/>
    <w:rsid w:val="3C147E29"/>
    <w:rsid w:val="3C847155"/>
    <w:rsid w:val="3CB40EF3"/>
    <w:rsid w:val="3D7B789B"/>
    <w:rsid w:val="3DC21146"/>
    <w:rsid w:val="3E66679D"/>
    <w:rsid w:val="3F051FA5"/>
    <w:rsid w:val="3F0D6C18"/>
    <w:rsid w:val="3F3B5533"/>
    <w:rsid w:val="412F7925"/>
    <w:rsid w:val="41463C47"/>
    <w:rsid w:val="417411D1"/>
    <w:rsid w:val="418A27A2"/>
    <w:rsid w:val="42167AB4"/>
    <w:rsid w:val="42415ACC"/>
    <w:rsid w:val="42507548"/>
    <w:rsid w:val="42884DEA"/>
    <w:rsid w:val="42CD1E63"/>
    <w:rsid w:val="42D31F27"/>
    <w:rsid w:val="445552E9"/>
    <w:rsid w:val="4461660D"/>
    <w:rsid w:val="45B24076"/>
    <w:rsid w:val="45BC2AC4"/>
    <w:rsid w:val="45C73FC5"/>
    <w:rsid w:val="4674757D"/>
    <w:rsid w:val="47061B43"/>
    <w:rsid w:val="480A3EF4"/>
    <w:rsid w:val="48141018"/>
    <w:rsid w:val="484E644F"/>
    <w:rsid w:val="48512608"/>
    <w:rsid w:val="486D24D6"/>
    <w:rsid w:val="498875C7"/>
    <w:rsid w:val="49D75781"/>
    <w:rsid w:val="49E54A1A"/>
    <w:rsid w:val="4A1A3609"/>
    <w:rsid w:val="4A396B13"/>
    <w:rsid w:val="4A4D25BF"/>
    <w:rsid w:val="4B2B4789"/>
    <w:rsid w:val="4B93440D"/>
    <w:rsid w:val="4C0F3FD0"/>
    <w:rsid w:val="4C672A37"/>
    <w:rsid w:val="4CDB65A8"/>
    <w:rsid w:val="4D0E4287"/>
    <w:rsid w:val="4D3C320F"/>
    <w:rsid w:val="4DFA5872"/>
    <w:rsid w:val="4E3272FE"/>
    <w:rsid w:val="4E4E2408"/>
    <w:rsid w:val="51087240"/>
    <w:rsid w:val="514209A3"/>
    <w:rsid w:val="519A6FAF"/>
    <w:rsid w:val="525A3ACB"/>
    <w:rsid w:val="529D0C02"/>
    <w:rsid w:val="535B5D4C"/>
    <w:rsid w:val="538F3C48"/>
    <w:rsid w:val="53B84F4D"/>
    <w:rsid w:val="54CE3AA7"/>
    <w:rsid w:val="54F2189F"/>
    <w:rsid w:val="55CD2D3D"/>
    <w:rsid w:val="56243ACD"/>
    <w:rsid w:val="562F1DA1"/>
    <w:rsid w:val="56B714EC"/>
    <w:rsid w:val="56D95B7F"/>
    <w:rsid w:val="572528F9"/>
    <w:rsid w:val="57623B4D"/>
    <w:rsid w:val="57F55B48"/>
    <w:rsid w:val="583C23E5"/>
    <w:rsid w:val="5895585D"/>
    <w:rsid w:val="58D2260D"/>
    <w:rsid w:val="58F46A27"/>
    <w:rsid w:val="58FD5C01"/>
    <w:rsid w:val="59407EBE"/>
    <w:rsid w:val="5A074538"/>
    <w:rsid w:val="5A64198B"/>
    <w:rsid w:val="5AB75F5E"/>
    <w:rsid w:val="5B7756EE"/>
    <w:rsid w:val="5B7C2D04"/>
    <w:rsid w:val="5C0E6052"/>
    <w:rsid w:val="5CAD7D38"/>
    <w:rsid w:val="5D6C2870"/>
    <w:rsid w:val="5DAA1DAA"/>
    <w:rsid w:val="5E281158"/>
    <w:rsid w:val="5E535813"/>
    <w:rsid w:val="5E912F6A"/>
    <w:rsid w:val="5EBD3D5F"/>
    <w:rsid w:val="5F132B6E"/>
    <w:rsid w:val="60553502"/>
    <w:rsid w:val="608F01E6"/>
    <w:rsid w:val="60F56A97"/>
    <w:rsid w:val="60FF41BB"/>
    <w:rsid w:val="61204131"/>
    <w:rsid w:val="618C33ED"/>
    <w:rsid w:val="61A42FB4"/>
    <w:rsid w:val="628A03FC"/>
    <w:rsid w:val="633769A9"/>
    <w:rsid w:val="635D069E"/>
    <w:rsid w:val="63E94CAF"/>
    <w:rsid w:val="64393E88"/>
    <w:rsid w:val="6485002B"/>
    <w:rsid w:val="64AF7CA6"/>
    <w:rsid w:val="64BA3F18"/>
    <w:rsid w:val="65856C59"/>
    <w:rsid w:val="65D11E9E"/>
    <w:rsid w:val="66037DD5"/>
    <w:rsid w:val="66285F62"/>
    <w:rsid w:val="66344907"/>
    <w:rsid w:val="665A078F"/>
    <w:rsid w:val="670E33AA"/>
    <w:rsid w:val="67786A75"/>
    <w:rsid w:val="67A1421E"/>
    <w:rsid w:val="680F6B7F"/>
    <w:rsid w:val="683F57E5"/>
    <w:rsid w:val="69277AD1"/>
    <w:rsid w:val="69992CD3"/>
    <w:rsid w:val="69C9180A"/>
    <w:rsid w:val="6A4315BC"/>
    <w:rsid w:val="6A7A520B"/>
    <w:rsid w:val="6BDF70C3"/>
    <w:rsid w:val="6BEF1186"/>
    <w:rsid w:val="6C3D4C22"/>
    <w:rsid w:val="6D0D7DE6"/>
    <w:rsid w:val="6E292877"/>
    <w:rsid w:val="6E494CC8"/>
    <w:rsid w:val="6F5979D7"/>
    <w:rsid w:val="6F7B6AA3"/>
    <w:rsid w:val="6FA84376"/>
    <w:rsid w:val="70087110"/>
    <w:rsid w:val="70D17DAD"/>
    <w:rsid w:val="71037581"/>
    <w:rsid w:val="71070737"/>
    <w:rsid w:val="716D5171"/>
    <w:rsid w:val="71AF7537"/>
    <w:rsid w:val="72DE0805"/>
    <w:rsid w:val="735071F1"/>
    <w:rsid w:val="73702CF6"/>
    <w:rsid w:val="74324450"/>
    <w:rsid w:val="74CE5F27"/>
    <w:rsid w:val="75242237"/>
    <w:rsid w:val="752537A3"/>
    <w:rsid w:val="75330030"/>
    <w:rsid w:val="75610B49"/>
    <w:rsid w:val="76275304"/>
    <w:rsid w:val="765B5EE0"/>
    <w:rsid w:val="76901DB2"/>
    <w:rsid w:val="76FB1E6F"/>
    <w:rsid w:val="775070C7"/>
    <w:rsid w:val="78216CB5"/>
    <w:rsid w:val="785250C1"/>
    <w:rsid w:val="78882890"/>
    <w:rsid w:val="78911745"/>
    <w:rsid w:val="78E57CE3"/>
    <w:rsid w:val="78EB3317"/>
    <w:rsid w:val="7936053E"/>
    <w:rsid w:val="79D33FDF"/>
    <w:rsid w:val="79F0693F"/>
    <w:rsid w:val="7A186697"/>
    <w:rsid w:val="7A2931E5"/>
    <w:rsid w:val="7A9B4AFD"/>
    <w:rsid w:val="7AD50ECB"/>
    <w:rsid w:val="7B931C78"/>
    <w:rsid w:val="7BDD535C"/>
    <w:rsid w:val="7CAA2823"/>
    <w:rsid w:val="7CC16371"/>
    <w:rsid w:val="7CDE6F23"/>
    <w:rsid w:val="7CF46746"/>
    <w:rsid w:val="7D8A0E59"/>
    <w:rsid w:val="7DE7443E"/>
    <w:rsid w:val="7E0E1A8A"/>
    <w:rsid w:val="7E3C2153"/>
    <w:rsid w:val="7E3F39F1"/>
    <w:rsid w:val="7E555ACA"/>
    <w:rsid w:val="7ECE4181"/>
    <w:rsid w:val="7EFC3D40"/>
    <w:rsid w:val="7F1F3593"/>
    <w:rsid w:val="7F9935D5"/>
    <w:rsid w:val="7F9E4FC7"/>
    <w:rsid w:val="7FD97F52"/>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Plain Text"/>
    <w:basedOn w:val="1"/>
    <w:qFormat/>
    <w:uiPriority w:val="0"/>
    <w:rPr>
      <w:rFonts w:ascii="宋体" w:hAnsi="Courier New"/>
      <w:sz w:val="32"/>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338DE6"/>
      <w:u w:val="none"/>
    </w:rPr>
  </w:style>
  <w:style w:type="paragraph" w:customStyle="1" w:styleId="13">
    <w:name w:val="正文 首行缩进:  2 字符"/>
    <w:basedOn w:val="1"/>
    <w:qFormat/>
    <w:uiPriority w:val="0"/>
    <w:pPr>
      <w:ind w:firstLine="200" w:firstLineChars="200"/>
    </w:pPr>
    <w:rPr>
      <w:rFonts w:cs="宋体"/>
      <w:sz w:val="24"/>
      <w:szCs w:val="20"/>
    </w:rPr>
  </w:style>
  <w:style w:type="character" w:customStyle="1" w:styleId="14">
    <w:name w:val="页眉 Char"/>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qFormat/>
    <w:uiPriority w:val="99"/>
    <w:pPr>
      <w:ind w:firstLine="420" w:firstLineChars="200"/>
    </w:pPr>
  </w:style>
  <w:style w:type="character" w:customStyle="1" w:styleId="20">
    <w:name w:val="textcontents"/>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4974</Words>
  <Characters>5262</Characters>
  <Lines>1</Lines>
  <Paragraphs>1</Paragraphs>
  <TotalTime>7</TotalTime>
  <ScaleCrop>false</ScaleCrop>
  <LinksUpToDate>false</LinksUpToDate>
  <CharactersWithSpaces>5306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2022-11-24T02:27:27Z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