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受审核部门：产品管理部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罗辉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：于文杰</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2022.11.22-23</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default" w:asciiTheme="minorEastAsia" w:hAnsiTheme="minorEastAsia" w:eastAsiaTheme="minorEastAsia" w:cstheme="minorEastAsia"/>
                <w:sz w:val="24"/>
                <w:szCs w:val="24"/>
              </w:rPr>
              <w:t>Q</w:t>
            </w:r>
            <w:r>
              <w:rPr>
                <w:rFonts w:hint="default"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lang w:val="en-US" w:eastAsia="zh-CN"/>
              </w:rPr>
              <w:t>6.2/8.6/8.7/10</w:t>
            </w:r>
          </w:p>
          <w:p>
            <w:pPr>
              <w:keepNext w:val="0"/>
              <w:keepLines w:val="0"/>
              <w:pageBreakBefore w:val="0"/>
              <w:widowControl w:val="0"/>
              <w:kinsoku/>
              <w:wordWrap/>
              <w:overflowPunct/>
              <w:topLinePunct w:val="0"/>
              <w:autoSpaceDE/>
              <w:autoSpaceDN/>
              <w:bidi w:val="0"/>
              <w:spacing w:line="300" w:lineRule="exac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rPr>
              <w:t>E</w:t>
            </w:r>
            <w:r>
              <w:rPr>
                <w:rFonts w:hint="eastAsia" w:asciiTheme="minorEastAsia" w:hAnsiTheme="minorEastAsia" w:eastAsiaTheme="minorEastAsia" w:cstheme="minorEastAsia"/>
                <w:sz w:val="24"/>
                <w:szCs w:val="24"/>
                <w:lang w:val="en-US" w:eastAsia="zh-CN"/>
              </w:rPr>
              <w:t>O</w:t>
            </w:r>
            <w:r>
              <w:rPr>
                <w:rFonts w:hint="default"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lang w:val="en-US" w:eastAsia="zh-CN"/>
              </w:rPr>
              <w:t>6.2/6.1.2/</w:t>
            </w:r>
            <w:r>
              <w:rPr>
                <w:rFonts w:hint="default" w:asciiTheme="minorEastAsia" w:hAnsiTheme="minorEastAsia" w:eastAsiaTheme="minorEastAsia" w:cstheme="minorEastAsia"/>
                <w:sz w:val="24"/>
                <w:szCs w:val="24"/>
              </w:rPr>
              <w:t>8.1/8.2</w:t>
            </w:r>
            <w:r>
              <w:rPr>
                <w:rFonts w:hint="eastAsia" w:asciiTheme="minorEastAsia" w:hAnsiTheme="minorEastAsia" w:eastAsiaTheme="minorEastAsia" w:cstheme="minorEastAsia"/>
                <w:sz w:val="24"/>
                <w:szCs w:val="24"/>
                <w:lang w:val="en-US" w:eastAsia="zh-CN"/>
              </w:rPr>
              <w:t>/10</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default" w:cs="楷体" w:asciiTheme="minorEastAsia" w:hAnsiTheme="minorEastAsia" w:eastAsiaTheme="minorEastAsia"/>
                <w:sz w:val="24"/>
                <w:szCs w:val="24"/>
              </w:rPr>
              <w:t>QEO</w:t>
            </w:r>
            <w:r>
              <w:rPr>
                <w:rFonts w:hint="eastAsia" w:cs="楷体" w:asciiTheme="minorEastAsia" w:hAnsiTheme="minorEastAsia" w:eastAsiaTheme="minorEastAsia"/>
                <w:sz w:val="24"/>
                <w:szCs w:val="24"/>
              </w:rPr>
              <w:t>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产品管理部</w:t>
            </w:r>
            <w:r>
              <w:rPr>
                <w:rFonts w:hint="eastAsia" w:asciiTheme="minorEastAsia" w:hAnsiTheme="minorEastAsia" w:eastAsiaTheme="minorEastAsia" w:cstheme="minorEastAsia"/>
                <w:sz w:val="24"/>
                <w:szCs w:val="20"/>
              </w:rPr>
              <w:t>在公</w:t>
            </w:r>
            <w:r>
              <w:rPr>
                <w:rFonts w:hint="eastAsia" w:asciiTheme="minorEastAsia" w:hAnsiTheme="minorEastAsia" w:eastAsiaTheme="minorEastAsia" w:cstheme="minorEastAsia"/>
                <w:sz w:val="24"/>
                <w:szCs w:val="20"/>
                <w:lang w:val="en-US" w:eastAsia="zh-CN"/>
              </w:rPr>
              <w:t>司质量</w:t>
            </w:r>
            <w:r>
              <w:rPr>
                <w:rFonts w:hint="eastAsia" w:asciiTheme="minorEastAsia" w:hAnsiTheme="minorEastAsia" w:eastAsiaTheme="minorEastAsia" w:cstheme="minorEastAsia"/>
                <w:sz w:val="24"/>
                <w:szCs w:val="20"/>
                <w:lang w:val="en-US" w:eastAsia="zh-CN"/>
              </w:rPr>
              <w:t>环境职业健康安全管理体系中的职责及权限在管理手册职能分配表中进行了明确规定。主要负责</w:t>
            </w:r>
            <w:r>
              <w:rPr>
                <w:rFonts w:hint="default" w:asciiTheme="minorEastAsia" w:hAnsiTheme="minorEastAsia" w:eastAsiaTheme="minorEastAsia" w:cstheme="minorEastAsia"/>
                <w:sz w:val="24"/>
                <w:szCs w:val="20"/>
                <w:lang w:val="en-US" w:eastAsia="zh-CN"/>
              </w:rPr>
              <w:t>组织的岗位、职责权限；目标、方案；环境因素/危险源识别评价；</w:t>
            </w:r>
            <w:r>
              <w:rPr>
                <w:rFonts w:hint="eastAsia" w:asciiTheme="minorEastAsia" w:hAnsiTheme="minorEastAsia" w:eastAsiaTheme="minorEastAsia" w:cstheme="minorEastAsia"/>
                <w:sz w:val="24"/>
                <w:szCs w:val="20"/>
                <w:lang w:val="en-US" w:eastAsia="zh-CN"/>
              </w:rPr>
              <w:t>产品和服务的放行；不合格输出的控制；改进；</w:t>
            </w:r>
            <w:r>
              <w:rPr>
                <w:rFonts w:hint="default" w:asciiTheme="minorEastAsia" w:hAnsiTheme="minorEastAsia" w:eastAsiaTheme="minorEastAsia" w:cstheme="minorEastAsia"/>
                <w:sz w:val="24"/>
                <w:szCs w:val="20"/>
                <w:lang w:val="en-US" w:eastAsia="zh-CN"/>
              </w:rPr>
              <w:t>事件、不合格及纠正和预防措施控制</w:t>
            </w:r>
            <w:r>
              <w:rPr>
                <w:rFonts w:hint="eastAsia" w:asciiTheme="minorEastAsia" w:hAnsiTheme="minorEastAsia" w:eastAsiaTheme="minorEastAsia" w:cstheme="minorEastAsia"/>
                <w:sz w:val="24"/>
                <w:szCs w:val="20"/>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经交流，部门主管人员对部门分管的过程及管理要求理解正确，部门内部职责分工明确，经培训及内部沟通，部门员工对本岗位的职责已理解，并有明确的考核机制，</w:t>
            </w:r>
            <w:r>
              <w:rPr>
                <w:rFonts w:hint="eastAsia" w:asciiTheme="minorEastAsia" w:hAnsiTheme="minorEastAsia" w:eastAsiaTheme="minorEastAsia" w:cstheme="minorEastAsia"/>
                <w:sz w:val="24"/>
                <w:szCs w:val="20"/>
              </w:rPr>
              <w:t xml:space="preserve">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管理</w:t>
            </w:r>
          </w:p>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目标</w:t>
            </w:r>
          </w:p>
        </w:tc>
        <w:tc>
          <w:tcPr>
            <w:tcW w:w="960" w:type="dxa"/>
            <w:vAlign w:val="center"/>
          </w:tcPr>
          <w:p>
            <w:pPr>
              <w:keepNext w:val="0"/>
              <w:keepLines w:val="0"/>
              <w:suppressLineNumbers w:val="0"/>
              <w:spacing w:before="25" w:beforeAutospacing="0" w:after="25" w:afterAutospacing="0" w:line="360" w:lineRule="auto"/>
              <w:ind w:left="0" w:right="0"/>
              <w:rPr>
                <w:rFonts w:hint="default" w:cs="Times New Roman" w:asciiTheme="minorEastAsia" w:hAnsiTheme="minorEastAsia" w:eastAsiaTheme="minorEastAsia"/>
                <w:bCs/>
                <w:spacing w:val="10"/>
                <w:kern w:val="2"/>
                <w:sz w:val="21"/>
                <w:szCs w:val="20"/>
                <w:lang w:val="en-US" w:eastAsia="zh-CN" w:bidi="ar-SA"/>
              </w:rPr>
            </w:pPr>
            <w:r>
              <w:rPr>
                <w:rFonts w:hint="default" w:cs="楷体" w:asciiTheme="minorEastAsia" w:hAnsiTheme="minorEastAsia" w:eastAsiaTheme="minorEastAsia"/>
                <w:sz w:val="24"/>
                <w:szCs w:val="24"/>
              </w:rPr>
              <w:t>Q</w:t>
            </w:r>
            <w:r>
              <w:rPr>
                <w:rFonts w:hint="eastAsia" w:cs="楷体" w:asciiTheme="minorEastAsia" w:hAnsiTheme="minorEastAsia" w:eastAsiaTheme="minorEastAsia"/>
                <w:sz w:val="24"/>
                <w:szCs w:val="24"/>
                <w:lang w:val="en-US" w:eastAsia="zh-CN"/>
              </w:rPr>
              <w:t>EO</w:t>
            </w:r>
            <w:r>
              <w:rPr>
                <w:rFonts w:hint="eastAsia" w:cs="楷体" w:asciiTheme="minorEastAsia" w:hAnsiTheme="minorEastAsia" w:eastAsiaTheme="minorEastAsia"/>
                <w:sz w:val="24"/>
                <w:szCs w:val="24"/>
              </w:rPr>
              <w:t xml:space="preserve"> 6.2</w:t>
            </w:r>
          </w:p>
        </w:tc>
        <w:tc>
          <w:tcPr>
            <w:tcW w:w="10004" w:type="dxa"/>
            <w:vAlign w:val="center"/>
          </w:tcPr>
          <w:p>
            <w:pPr>
              <w:keepNext w:val="0"/>
              <w:keepLines w:val="0"/>
              <w:suppressLineNumbers w:val="0"/>
              <w:spacing w:before="0" w:beforeAutospacing="0" w:after="0"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分解到该部门的质量目标及完成情况如下：</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技术开发交付验收合格率100%</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100%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固体废弃物收集处理率100%</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100%</w:t>
            </w:r>
          </w:p>
          <w:p>
            <w:pPr>
              <w:keepNext w:val="0"/>
              <w:keepLines w:val="0"/>
              <w:suppressLineNumbers w:val="0"/>
              <w:spacing w:before="25" w:beforeAutospacing="0" w:after="25" w:afterAutospacing="0" w:line="360" w:lineRule="auto"/>
              <w:ind w:left="0" w:right="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无火灾、触电事故</w:t>
            </w:r>
            <w:r>
              <w:rPr>
                <w:rFonts w:hint="eastAsia" w:cs="楷体" w:asciiTheme="minorEastAsia" w:hAnsiTheme="minorEastAsia" w:eastAsiaTheme="minorEastAsia"/>
                <w:sz w:val="24"/>
                <w:szCs w:val="24"/>
                <w:lang w:val="en-US" w:eastAsia="zh-CN"/>
              </w:rPr>
              <w:t xml:space="preserve">                </w:t>
            </w:r>
            <w:r>
              <w:rPr>
                <w:rFonts w:hint="eastAsia" w:cs="楷体" w:asciiTheme="minorEastAsia" w:hAnsiTheme="minorEastAsia" w:eastAsiaTheme="minorEastAsia"/>
                <w:sz w:val="24"/>
                <w:szCs w:val="24"/>
              </w:rPr>
              <w:t>0</w:t>
            </w:r>
          </w:p>
          <w:p>
            <w:pPr>
              <w:keepNext w:val="0"/>
              <w:keepLines w:val="0"/>
              <w:suppressLineNumbers w:val="0"/>
              <w:spacing w:before="25" w:beforeAutospacing="0" w:after="25" w:afterAutospacing="0" w:line="360" w:lineRule="auto"/>
              <w:ind w:left="0" w:right="0"/>
              <w:rPr>
                <w:rFonts w:hint="eastAsia" w:cs="楷体" w:asciiTheme="minorEastAsia" w:hAnsiTheme="minorEastAsia" w:eastAsiaTheme="minorEastAsia"/>
                <w:bCs/>
                <w:spacing w:val="10"/>
                <w:kern w:val="2"/>
                <w:sz w:val="24"/>
                <w:szCs w:val="24"/>
                <w:lang w:val="en-US" w:eastAsia="zh-CN" w:bidi="ar-SA"/>
              </w:rPr>
            </w:pPr>
            <w:r>
              <w:rPr>
                <w:rFonts w:hint="eastAsia" w:cs="楷体" w:asciiTheme="minorEastAsia" w:hAnsiTheme="minorEastAsia" w:eastAsiaTheme="minorEastAsia"/>
                <w:sz w:val="24"/>
                <w:szCs w:val="24"/>
              </w:rPr>
              <w:t xml:space="preserve">编制：孙江和    审批：敬溪量    每月27号对目标进行考核统计，目标全部完成。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cs="Arial" w:asciiTheme="minorEastAsia" w:hAnsiTheme="minorEastAsia" w:eastAsiaTheme="minorEastAsia"/>
                <w:szCs w:val="21"/>
              </w:rPr>
              <w:t>环境因素/危险源的辨识与评价</w:t>
            </w:r>
          </w:p>
        </w:tc>
        <w:tc>
          <w:tcPr>
            <w:tcW w:w="9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1"/>
                <w:szCs w:val="21"/>
                <w:lang w:val="en-US" w:eastAsia="zh-CN"/>
              </w:rPr>
            </w:pPr>
            <w:r>
              <w:rPr>
                <w:rFonts w:hint="default" w:cs="楷体" w:asciiTheme="minorEastAsia" w:hAnsiTheme="minorEastAsia" w:eastAsiaTheme="minorEastAsia"/>
                <w:sz w:val="24"/>
                <w:szCs w:val="24"/>
              </w:rPr>
              <w:t>EO:6.1.2</w:t>
            </w:r>
          </w:p>
        </w:tc>
        <w:tc>
          <w:tcPr>
            <w:tcW w:w="10004" w:type="dxa"/>
            <w:vAlign w:val="center"/>
          </w:tcPr>
          <w:p>
            <w:pPr>
              <w:keepNext w:val="0"/>
              <w:keepLines w:val="0"/>
              <w:suppressLineNumbers w:val="0"/>
              <w:spacing w:before="0" w:beforeAutospacing="0" w:after="0" w:afterAutospacing="0" w:line="360" w:lineRule="auto"/>
              <w:ind w:left="0" w:right="0" w:firstLine="480" w:firstLineChars="200"/>
              <w:rPr>
                <w:rFonts w:hint="default" w:cs="楷体" w:asciiTheme="minorEastAsia" w:hAnsiTheme="minorEastAsia" w:eastAsiaTheme="minorEastAsia"/>
                <w:sz w:val="24"/>
                <w:szCs w:val="24"/>
              </w:rPr>
            </w:pPr>
            <w:r>
              <w:rPr>
                <w:rFonts w:hint="default" w:cs="楷体" w:asciiTheme="minorEastAsia" w:hAnsiTheme="minorEastAsia" w:eastAsiaTheme="minorEastAsia"/>
                <w:sz w:val="24"/>
                <w:szCs w:val="24"/>
              </w:rPr>
              <w:t>制定《</w:t>
            </w:r>
            <w:r>
              <w:rPr>
                <w:rFonts w:hint="eastAsia" w:cs="楷体" w:asciiTheme="minorEastAsia" w:hAnsiTheme="minorEastAsia" w:eastAsiaTheme="minorEastAsia"/>
                <w:sz w:val="24"/>
                <w:szCs w:val="24"/>
              </w:rPr>
              <w:t>环境因素识别与评价控制程序</w:t>
            </w:r>
            <w:r>
              <w:rPr>
                <w:rFonts w:hint="default" w:cs="楷体" w:asciiTheme="minorEastAsia" w:hAnsiTheme="minorEastAsia" w:eastAsiaTheme="minorEastAsia"/>
                <w:sz w:val="24"/>
                <w:szCs w:val="24"/>
              </w:rPr>
              <w:t>》、《</w:t>
            </w:r>
            <w:r>
              <w:rPr>
                <w:rFonts w:hint="eastAsia" w:cs="楷体" w:asciiTheme="minorEastAsia" w:hAnsiTheme="minorEastAsia" w:eastAsiaTheme="minorEastAsia"/>
                <w:sz w:val="24"/>
                <w:szCs w:val="24"/>
              </w:rPr>
              <w:t>危险源辨识及风险评估与风险控制程序</w:t>
            </w:r>
            <w:r>
              <w:rPr>
                <w:rFonts w:hint="default" w:cs="楷体" w:asciiTheme="minorEastAsia" w:hAnsiTheme="minorEastAsia" w:eastAsiaTheme="minorEastAsia"/>
                <w:sz w:val="24"/>
                <w:szCs w:val="24"/>
              </w:rPr>
              <w:t>》。策划的方法为打分法、调查表等。</w:t>
            </w:r>
          </w:p>
          <w:p>
            <w:pPr>
              <w:keepNext w:val="0"/>
              <w:keepLines w:val="0"/>
              <w:suppressLineNumbers w:val="0"/>
              <w:spacing w:before="0" w:beforeAutospacing="0" w:after="0" w:afterAutospacing="0" w:line="360" w:lineRule="auto"/>
              <w:ind w:left="0" w:right="0" w:firstLine="480" w:firstLineChars="200"/>
              <w:rPr>
                <w:rFonts w:hint="eastAsia" w:cs="楷体" w:asciiTheme="minorEastAsia" w:hAnsiTheme="minorEastAsia" w:eastAsiaTheme="minorEastAsia"/>
                <w:sz w:val="24"/>
                <w:szCs w:val="24"/>
              </w:rPr>
            </w:pPr>
            <w:r>
              <w:rPr>
                <w:rFonts w:hint="default" w:cs="楷体" w:asciiTheme="minorEastAsia" w:hAnsiTheme="minorEastAsia" w:eastAsiaTheme="minorEastAsia"/>
                <w:sz w:val="24"/>
                <w:szCs w:val="24"/>
              </w:rPr>
              <w:t>主要是对</w:t>
            </w:r>
            <w:r>
              <w:rPr>
                <w:rFonts w:hint="eastAsia" w:cs="楷体" w:asciiTheme="minorEastAsia" w:hAnsiTheme="minorEastAsia" w:eastAsiaTheme="minorEastAsia"/>
                <w:sz w:val="24"/>
                <w:szCs w:val="24"/>
                <w:lang w:val="en-US" w:eastAsia="zh-CN"/>
              </w:rPr>
              <w:t>软件研发</w:t>
            </w:r>
            <w:r>
              <w:rPr>
                <w:rFonts w:hint="default" w:cs="楷体" w:asciiTheme="minorEastAsia" w:hAnsiTheme="minorEastAsia" w:eastAsiaTheme="minorEastAsia"/>
                <w:sz w:val="24"/>
                <w:szCs w:val="24"/>
              </w:rPr>
              <w:t>活动及业务过程进行了识别和评价，2022.</w:t>
            </w:r>
            <w:r>
              <w:rPr>
                <w:rFonts w:hint="eastAsia" w:cs="楷体" w:asciiTheme="minorEastAsia" w:hAnsiTheme="minorEastAsia" w:eastAsiaTheme="minorEastAsia"/>
                <w:sz w:val="24"/>
                <w:szCs w:val="24"/>
                <w:lang w:val="en-US" w:eastAsia="zh-CN"/>
              </w:rPr>
              <w:t>3</w:t>
            </w:r>
            <w:r>
              <w:rPr>
                <w:rFonts w:hint="default" w:cs="楷体" w:asciiTheme="minorEastAsia" w:hAnsiTheme="minorEastAsia" w:eastAsiaTheme="minorEastAsia"/>
                <w:sz w:val="24"/>
                <w:szCs w:val="24"/>
              </w:rPr>
              <w:t>.</w:t>
            </w:r>
            <w:r>
              <w:rPr>
                <w:rFonts w:hint="eastAsia" w:cs="楷体" w:asciiTheme="minorEastAsia" w:hAnsiTheme="minorEastAsia" w:eastAsiaTheme="minorEastAsia"/>
                <w:sz w:val="24"/>
                <w:szCs w:val="24"/>
                <w:lang w:val="en-US" w:eastAsia="zh-CN"/>
              </w:rPr>
              <w:t>20</w:t>
            </w:r>
            <w:r>
              <w:rPr>
                <w:rFonts w:hint="default" w:cs="楷体" w:asciiTheme="minorEastAsia" w:hAnsiTheme="minorEastAsia" w:eastAsiaTheme="minorEastAsia"/>
                <w:sz w:val="24"/>
                <w:szCs w:val="24"/>
              </w:rPr>
              <w:t>进行识别和评价</w:t>
            </w:r>
            <w:r>
              <w:rPr>
                <w:rFonts w:hint="eastAsia" w:cs="楷体" w:asciiTheme="minorEastAsia" w:hAnsiTheme="minorEastAsia" w:eastAsiaTheme="minorEastAsia"/>
                <w:sz w:val="24"/>
                <w:szCs w:val="24"/>
              </w:rPr>
              <w:t>，提供“环境因素清单”</w:t>
            </w:r>
            <w:r>
              <w:rPr>
                <w:rFonts w:hint="default" w:cs="楷体" w:asciiTheme="minorEastAsia" w:hAnsiTheme="minorEastAsia" w:eastAsiaTheme="minorEastAsia"/>
                <w:sz w:val="24"/>
                <w:szCs w:val="24"/>
              </w:rPr>
              <w:t>共</w:t>
            </w:r>
            <w:r>
              <w:rPr>
                <w:rFonts w:hint="eastAsia" w:cs="楷体" w:asciiTheme="minorEastAsia" w:hAnsiTheme="minorEastAsia" w:eastAsiaTheme="minorEastAsia"/>
                <w:sz w:val="24"/>
                <w:szCs w:val="24"/>
                <w:lang w:val="en-US" w:eastAsia="zh-CN"/>
              </w:rPr>
              <w:t>52</w:t>
            </w:r>
            <w:r>
              <w:rPr>
                <w:rFonts w:hint="default" w:cs="楷体" w:asciiTheme="minorEastAsia" w:hAnsiTheme="minorEastAsia" w:eastAsiaTheme="minorEastAsia"/>
                <w:sz w:val="24"/>
                <w:szCs w:val="24"/>
              </w:rPr>
              <w:t>项。按照办公区域、活动和过程的予以了识别和评价，经查包括空调使用、电脑使用</w:t>
            </w:r>
            <w:r>
              <w:rPr>
                <w:rFonts w:hint="eastAsia" w:cs="楷体" w:asciiTheme="minorEastAsia" w:hAnsiTheme="minorEastAsia" w:eastAsiaTheme="minorEastAsia"/>
                <w:sz w:val="24"/>
                <w:szCs w:val="24"/>
              </w:rPr>
              <w:t>、打印机使用等</w:t>
            </w:r>
            <w:r>
              <w:rPr>
                <w:rFonts w:hint="default" w:cs="楷体" w:asciiTheme="minorEastAsia" w:hAnsiTheme="minorEastAsia" w:eastAsiaTheme="minorEastAsia"/>
                <w:sz w:val="24"/>
                <w:szCs w:val="24"/>
              </w:rPr>
              <w:t>办公过程固体废弃物排放、废弃灯管、墨盒、色带等对环境的影响等。策划的方法主要是管理制度。经评价重大环境因素2 项：</w:t>
            </w:r>
            <w:r>
              <w:rPr>
                <w:rFonts w:hint="eastAsia" w:cs="楷体" w:asciiTheme="minorEastAsia" w:hAnsiTheme="minorEastAsia" w:eastAsiaTheme="minorEastAsia"/>
                <w:sz w:val="24"/>
                <w:szCs w:val="24"/>
              </w:rPr>
              <w:t>潜在火灾和固废排放，</w:t>
            </w:r>
            <w:r>
              <w:rPr>
                <w:rFonts w:hint="default" w:cs="楷体" w:asciiTheme="minorEastAsia" w:hAnsiTheme="minorEastAsia" w:eastAsiaTheme="minorEastAsia"/>
                <w:sz w:val="24"/>
                <w:szCs w:val="24"/>
              </w:rPr>
              <w:t>制定应急准备与响应程序进行控制</w:t>
            </w:r>
            <w:r>
              <w:rPr>
                <w:rFonts w:hint="eastAsia" w:cs="楷体" w:asciiTheme="minorEastAsia" w:hAnsiTheme="minorEastAsia" w:eastAsia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default" w:cs="楷体" w:asciiTheme="minorEastAsia" w:hAnsiTheme="minorEastAsia" w:eastAsiaTheme="minorEastAsia"/>
                <w:sz w:val="24"/>
                <w:szCs w:val="24"/>
              </w:rPr>
              <w:t>提供“危险源识别评价表”共</w:t>
            </w:r>
            <w:r>
              <w:rPr>
                <w:rFonts w:hint="eastAsia" w:cs="楷体" w:asciiTheme="minorEastAsia" w:hAnsiTheme="minorEastAsia" w:eastAsiaTheme="minorEastAsia"/>
                <w:sz w:val="24"/>
                <w:szCs w:val="24"/>
                <w:lang w:val="en-US" w:eastAsia="zh-CN"/>
              </w:rPr>
              <w:t>54</w:t>
            </w:r>
            <w:r>
              <w:rPr>
                <w:rFonts w:hint="default" w:cs="楷体" w:asciiTheme="minorEastAsia" w:hAnsiTheme="minorEastAsia" w:eastAsiaTheme="minorEastAsia"/>
                <w:sz w:val="24"/>
                <w:szCs w:val="24"/>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Pr>
                <w:rFonts w:hint="eastAsia" w:cs="楷体" w:asciiTheme="minorEastAsia" w:hAnsiTheme="minorEastAsia" w:eastAsiaTheme="minorEastAsia"/>
                <w:sz w:val="24"/>
                <w:szCs w:val="24"/>
                <w:lang w:val="en-US" w:eastAsia="zh-CN"/>
              </w:rPr>
              <w:t>4</w:t>
            </w:r>
            <w:r>
              <w:rPr>
                <w:rFonts w:hint="default" w:cs="楷体" w:asciiTheme="minorEastAsia" w:hAnsiTheme="minorEastAsia" w:eastAsiaTheme="minorEastAsia"/>
                <w:sz w:val="24"/>
                <w:szCs w:val="24"/>
              </w:rPr>
              <w:t>项：</w:t>
            </w:r>
            <w:r>
              <w:rPr>
                <w:rFonts w:hint="eastAsia" w:cs="楷体" w:asciiTheme="minorEastAsia" w:hAnsiTheme="minorEastAsia" w:eastAsiaTheme="minorEastAsia"/>
                <w:sz w:val="24"/>
                <w:szCs w:val="24"/>
              </w:rPr>
              <w:t>潜在</w:t>
            </w:r>
            <w:r>
              <w:rPr>
                <w:rFonts w:hint="default" w:cs="楷体" w:asciiTheme="minorEastAsia" w:hAnsiTheme="minorEastAsia" w:eastAsiaTheme="minorEastAsia"/>
                <w:sz w:val="24"/>
                <w:szCs w:val="24"/>
              </w:rPr>
              <w:t>火灾</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触电</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外出办公交通事故、新冠疫情</w:t>
            </w:r>
            <w:r>
              <w:rPr>
                <w:rFonts w:hint="default" w:cs="楷体" w:asciiTheme="minorEastAsia" w:hAnsiTheme="minorEastAsia" w:eastAsiaTheme="minorEastAsia"/>
                <w:sz w:val="24"/>
                <w:szCs w:val="24"/>
              </w:rPr>
              <w:t>。制定管理方案应急准备与响应程序进行控制</w:t>
            </w:r>
            <w:r>
              <w:rPr>
                <w:rFonts w:hint="eastAsia" w:cs="楷体" w:asciiTheme="minorEastAsia" w:hAnsiTheme="minorEastAsia" w:eastAsiaTheme="minorEastAsia"/>
                <w:sz w:val="24"/>
                <w:szCs w:val="24"/>
              </w:rPr>
              <w:t>，</w:t>
            </w:r>
            <w:r>
              <w:rPr>
                <w:rFonts w:hint="default" w:cs="楷体" w:asciiTheme="minorEastAsia" w:hAnsiTheme="minorEastAsia" w:eastAsiaTheme="minorEastAsia"/>
                <w:sz w:val="24"/>
                <w:szCs w:val="24"/>
              </w:rPr>
              <w:t>现场观察环境因素和危险源识别评价基本有效。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tabs>
                <w:tab w:val="left" w:pos="6597"/>
              </w:tabs>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进货检验，</w:t>
            </w:r>
            <w:r>
              <w:rPr>
                <w:rFonts w:hint="eastAsia" w:asciiTheme="minorEastAsia" w:hAnsiTheme="minorEastAsia" w:eastAsiaTheme="minorEastAsia" w:cstheme="minorEastAsia"/>
                <w:sz w:val="24"/>
                <w:szCs w:val="24"/>
                <w:lang w:val="en-US" w:eastAsia="zh-CN"/>
              </w:rPr>
              <w:t>详见综合部8.4检查表</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检验，</w:t>
            </w:r>
          </w:p>
          <w:p>
            <w:pPr>
              <w:keepNext w:val="0"/>
              <w:keepLines w:val="0"/>
              <w:numPr>
                <w:ilvl w:val="0"/>
                <w:numId w:val="0"/>
              </w:numPr>
              <w:suppressLineNumbers w:val="0"/>
              <w:spacing w:before="0" w:beforeAutospacing="0" w:after="0" w:afterAutospacing="0" w:line="360" w:lineRule="auto"/>
              <w:ind w:left="420" w:leftChars="20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在运行软件研发的适当阶段安排了相关检查环节，参见8.3审核</w:t>
            </w:r>
            <w:r>
              <w:rPr>
                <w:rFonts w:hint="eastAsia" w:asciiTheme="minorEastAsia" w:hAnsiTheme="minorEastAsia" w:eastAsiaTheme="minorEastAsia" w:cstheme="minorEastAsia"/>
                <w:sz w:val="24"/>
                <w:szCs w:val="24"/>
              </w:rPr>
              <w:t>记录单。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最终验收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抽查了《项目验收单》：对在线计量诊断软件系统，交付给客户四川登量科技开发有限公司，验收结论：改项软件的开发已达到预定目标，能够持续稳定运行，公司对该项目予以验收。验收日期：2022年9月21日。</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sz w:val="24"/>
                <w:szCs w:val="24"/>
                <w:lang w:val="en-US" w:eastAsia="zh-CN"/>
              </w:rPr>
            </w:pPr>
            <w:r>
              <w:rPr>
                <w:rFonts w:hint="default"/>
                <w:szCs w:val="20"/>
              </w:rPr>
              <w:drawing>
                <wp:anchor distT="0" distB="0" distL="114300" distR="114300" simplePos="0" relativeHeight="251659264" behindDoc="0" locked="0" layoutInCell="1" allowOverlap="1">
                  <wp:simplePos x="0" y="0"/>
                  <wp:positionH relativeFrom="column">
                    <wp:posOffset>1263650</wp:posOffset>
                  </wp:positionH>
                  <wp:positionV relativeFrom="paragraph">
                    <wp:posOffset>99060</wp:posOffset>
                  </wp:positionV>
                  <wp:extent cx="2460625" cy="2806700"/>
                  <wp:effectExtent l="0" t="0" r="3175"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2460625" cy="2806700"/>
                          </a:xfrm>
                          <a:prstGeom prst="rect">
                            <a:avLst/>
                          </a:prstGeom>
                          <a:noFill/>
                          <a:ln>
                            <a:noFill/>
                          </a:ln>
                        </pic:spPr>
                      </pic:pic>
                    </a:graphicData>
                  </a:graphic>
                </wp:anchor>
              </w:drawing>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不合格输出的控制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7</w:t>
            </w:r>
          </w:p>
        </w:tc>
        <w:tc>
          <w:tcPr>
            <w:tcW w:w="10004" w:type="dxa"/>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cs="Times New Roman"/>
                <w:sz w:val="24"/>
                <w:szCs w:val="24"/>
                <w:lang w:eastAsia="zh-TW"/>
              </w:rPr>
            </w:pPr>
            <w:r>
              <w:rPr>
                <w:rFonts w:hint="eastAsia" w:ascii="宋体" w:hAnsi="宋体" w:cs="Times New Roman"/>
                <w:sz w:val="24"/>
                <w:szCs w:val="24"/>
                <w:lang w:eastAsia="zh-TW"/>
              </w:rPr>
              <w:t>公司制定并执行了《不合格输出控制程序》，文件对不合格品的识别、控制方法、职责权限作出了具体规定，基本符合标准要求。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cs="Times New Roman"/>
                <w:sz w:val="24"/>
                <w:szCs w:val="24"/>
              </w:rPr>
            </w:pPr>
            <w:r>
              <w:rPr>
                <w:rFonts w:hint="eastAsia" w:ascii="宋体" w:hAnsi="宋体" w:cs="Times New Roman"/>
                <w:sz w:val="24"/>
                <w:szCs w:val="24"/>
                <w:lang w:eastAsia="zh-TW"/>
              </w:rPr>
              <w:t>设计</w:t>
            </w:r>
            <w:r>
              <w:rPr>
                <w:rFonts w:hint="eastAsia" w:ascii="宋体" w:hAnsi="宋体" w:cs="Times New Roman"/>
                <w:sz w:val="24"/>
                <w:szCs w:val="24"/>
                <w:lang w:eastAsia="zh-CN"/>
              </w:rPr>
              <w:t>、</w:t>
            </w:r>
            <w:r>
              <w:rPr>
                <w:rFonts w:hint="eastAsia" w:ascii="宋体" w:hAnsi="宋体" w:cs="Times New Roman"/>
                <w:sz w:val="24"/>
                <w:szCs w:val="24"/>
                <w:lang w:val="en-US" w:eastAsia="zh-CN"/>
              </w:rPr>
              <w:t>检测</w:t>
            </w:r>
            <w:r>
              <w:rPr>
                <w:rFonts w:hint="eastAsia" w:ascii="宋体" w:hAnsi="宋体" w:cs="Times New Roman"/>
                <w:sz w:val="24"/>
                <w:szCs w:val="24"/>
                <w:lang w:eastAsia="zh-TW"/>
              </w:rPr>
              <w:t>过程中的不合格品即校审、评审、验证、确认各阶段的不符合，通常采用设计更改的方式进行。经了解，暂无设计过程的不合格品发生进行更改。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lang w:val="en-US" w:eastAsia="zh-CN"/>
              </w:rPr>
              <w:t>环境和职业健康安全运行控制</w:t>
            </w:r>
          </w:p>
        </w:tc>
        <w:tc>
          <w:tcPr>
            <w:tcW w:w="9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0"/>
                <w:lang w:val="en-US" w:eastAsia="zh-CN"/>
              </w:rPr>
            </w:pPr>
            <w:r>
              <w:rPr>
                <w:rFonts w:hint="eastAsia" w:ascii="宋体" w:hAnsi="宋体" w:eastAsia="宋体" w:cs="Times New Roman"/>
                <w:sz w:val="24"/>
                <w:szCs w:val="20"/>
              </w:rPr>
              <w:t>E</w:t>
            </w:r>
            <w:r>
              <w:rPr>
                <w:rFonts w:hint="eastAsia" w:ascii="宋体" w:hAnsi="宋体" w:eastAsia="宋体" w:cs="Times New Roman"/>
                <w:sz w:val="24"/>
                <w:szCs w:val="20"/>
                <w:lang w:val="en-US" w:eastAsia="zh-CN"/>
              </w:rPr>
              <w:t>O</w:t>
            </w:r>
            <w:r>
              <w:rPr>
                <w:rFonts w:hint="eastAsia" w:ascii="宋体" w:hAnsi="宋体" w:eastAsia="宋体" w:cs="Times New Roman"/>
                <w:sz w:val="24"/>
                <w:szCs w:val="20"/>
              </w:rPr>
              <w:t>8.1</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本部门应执行的运行控制文件包括：环境及职业健康安全运行控制程序、</w:t>
            </w:r>
            <w:r>
              <w:rPr>
                <w:rFonts w:hint="eastAsia" w:ascii="宋体" w:hAnsi="宋体" w:eastAsia="宋体" w:cs="Times New Roman"/>
                <w:sz w:val="24"/>
                <w:szCs w:val="20"/>
                <w:lang w:val="en-US" w:eastAsia="zh-CN"/>
              </w:rPr>
              <w:t>实验室管理制度、检验规程</w:t>
            </w:r>
            <w:r>
              <w:rPr>
                <w:rFonts w:hint="eastAsia" w:ascii="宋体" w:hAnsi="宋体" w:eastAsia="宋体" w:cs="Times New Roman"/>
                <w:sz w:val="24"/>
                <w:szCs w:val="20"/>
              </w:rPr>
              <w:t>等。</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查运行控制情况：</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办公过程注意节约用电，</w:t>
            </w:r>
            <w:r>
              <w:rPr>
                <w:rFonts w:hint="eastAsia" w:ascii="宋体" w:hAnsi="宋体" w:eastAsia="宋体" w:cs="Times New Roman"/>
                <w:sz w:val="24"/>
                <w:szCs w:val="20"/>
                <w:lang w:val="en-US" w:eastAsia="zh-CN"/>
              </w:rPr>
              <w:t>质检</w:t>
            </w:r>
            <w:r>
              <w:rPr>
                <w:rFonts w:hint="eastAsia" w:ascii="宋体" w:hAnsi="宋体" w:eastAsia="宋体" w:cs="Times New Roman"/>
                <w:sz w:val="24"/>
                <w:szCs w:val="20"/>
              </w:rPr>
              <w:t>部做到人走灯灭，电脑长时间不用时关机，下班前要关闭电源；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办公过程产生的固废按</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要求放到指定地点，现场查看无混放现象；办公用品按要求由</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 xml:space="preserve">负责发放，作好记录；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工作时间平均每天不超过8小时，公司为员工办理了意外伤害等保险；</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rPr>
              <w:t>外出办公要求遵守道路交通安全法，不违章行驶，驾驶证和车辆定期年审，确保出行安全；</w:t>
            </w:r>
          </w:p>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Times New Roman"/>
                <w:sz w:val="24"/>
                <w:szCs w:val="20"/>
                <w:lang w:val="en-US" w:eastAsia="zh-CN"/>
              </w:rPr>
            </w:pPr>
            <w:r>
              <w:rPr>
                <w:rFonts w:hint="eastAsia" w:cs="楷体" w:asciiTheme="minorEastAsia" w:hAnsiTheme="minorEastAsia" w:eastAsiaTheme="minorEastAsia"/>
                <w:sz w:val="24"/>
                <w:szCs w:val="24"/>
              </w:rPr>
              <w:t>火灾控制：公司定期检查，在公司区域全面禁烟，公司各部门管理人员通过培训，树立安全防火意识，在平时的日常工作中防止火灾的发生。</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sz w:val="24"/>
                <w:szCs w:val="20"/>
              </w:rPr>
            </w:pPr>
            <w:r>
              <w:rPr>
                <w:rFonts w:hint="eastAsia" w:ascii="宋体" w:hAnsi="宋体" w:eastAsia="宋体" w:cs="Times New Roman"/>
                <w:sz w:val="24"/>
                <w:szCs w:val="20"/>
                <w:lang w:val="en-US" w:eastAsia="zh-CN"/>
              </w:rPr>
              <w:t>视频</w:t>
            </w:r>
            <w:r>
              <w:rPr>
                <w:rFonts w:hint="eastAsia" w:ascii="宋体" w:hAnsi="宋体" w:eastAsia="宋体" w:cs="Times New Roman"/>
                <w:sz w:val="24"/>
                <w:szCs w:val="20"/>
              </w:rPr>
              <w:t>查看</w:t>
            </w:r>
            <w:r>
              <w:rPr>
                <w:rFonts w:hint="eastAsia" w:ascii="宋体" w:hAnsi="宋体" w:eastAsia="宋体" w:cs="Times New Roman"/>
                <w:sz w:val="24"/>
                <w:szCs w:val="20"/>
                <w:lang w:eastAsia="zh-CN"/>
              </w:rPr>
              <w:t>综合部</w:t>
            </w:r>
            <w:r>
              <w:rPr>
                <w:rFonts w:hint="eastAsia" w:ascii="宋体" w:hAnsi="宋体" w:eastAsia="宋体" w:cs="Times New Roman"/>
                <w:sz w:val="24"/>
                <w:szCs w:val="20"/>
              </w:rPr>
              <w:t>设备、电器状态良好，配置了灭火器，无火灾、触电隐患，废弃物无混放现象。</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应急准备和响应</w:t>
            </w:r>
          </w:p>
        </w:tc>
        <w:tc>
          <w:tcPr>
            <w:tcW w:w="960" w:type="dxa"/>
            <w:vAlign w:val="center"/>
          </w:tcPr>
          <w:p>
            <w:pPr>
              <w:keepNext w:val="0"/>
              <w:keepLines w:val="0"/>
              <w:suppressLineNumbers w:val="0"/>
              <w:spacing w:before="0" w:beforeAutospacing="0" w:after="0" w:afterAutospacing="0" w:line="360" w:lineRule="auto"/>
              <w:ind w:left="0" w:right="0"/>
              <w:rPr>
                <w:rFonts w:hint="eastAsia" w:cs="楷体" w:asciiTheme="minorEastAsia" w:hAnsiTheme="minorEastAsia" w:eastAsiaTheme="minorEastAsia"/>
                <w:kern w:val="2"/>
                <w:sz w:val="24"/>
                <w:szCs w:val="24"/>
                <w:lang w:val="en-US" w:eastAsia="zh-CN" w:bidi="ar-SA"/>
              </w:rPr>
            </w:pPr>
            <w:r>
              <w:rPr>
                <w:rFonts w:hint="eastAsia" w:cs="楷体" w:asciiTheme="minorEastAsia" w:hAnsiTheme="minorEastAsia" w:eastAsiaTheme="minorEastAsia"/>
                <w:sz w:val="24"/>
                <w:szCs w:val="24"/>
              </w:rPr>
              <w:t>E</w:t>
            </w:r>
            <w:r>
              <w:rPr>
                <w:rFonts w:hint="default" w:cs="楷体" w:asciiTheme="minorEastAsia" w:hAnsiTheme="minorEastAsia" w:eastAsiaTheme="minorEastAsia"/>
                <w:sz w:val="24"/>
                <w:szCs w:val="24"/>
              </w:rPr>
              <w:t>O:8.2</w:t>
            </w:r>
          </w:p>
        </w:tc>
        <w:tc>
          <w:tcPr>
            <w:tcW w:w="10004" w:type="dxa"/>
            <w:vAlign w:val="center"/>
          </w:tcPr>
          <w:p>
            <w:pPr>
              <w:keepNext w:val="0"/>
              <w:keepLines w:val="0"/>
              <w:suppressLineNumbers w:val="0"/>
              <w:spacing w:before="78" w:beforeLines="25" w:beforeAutospacing="0" w:after="78" w:afterLines="25" w:afterAutospacing="0" w:line="360" w:lineRule="auto"/>
              <w:ind w:left="0" w:right="0" w:firstLine="480" w:firstLineChars="200"/>
              <w:rPr>
                <w:rFonts w:hint="default" w:cs="楷体" w:asciiTheme="minorEastAsia" w:hAnsiTheme="minorEastAsia" w:eastAsiaTheme="minorEastAsia"/>
                <w:sz w:val="24"/>
                <w:szCs w:val="24"/>
              </w:rPr>
            </w:pPr>
            <w:r>
              <w:rPr>
                <w:rFonts w:hint="eastAsia" w:cs="楷体" w:asciiTheme="minorEastAsia" w:hAnsiTheme="minorEastAsia" w:eastAsiaTheme="minorEastAsia"/>
                <w:sz w:val="24"/>
                <w:szCs w:val="24"/>
              </w:rPr>
              <w:t>公司编制针对不同的紧急情况或潜在的事故，按《触电应急预案》、《火灾应急预案》和《</w:t>
            </w:r>
            <w:r>
              <w:rPr>
                <w:rFonts w:hint="eastAsia" w:cs="楷体" w:asciiTheme="minorEastAsia" w:hAnsiTheme="minorEastAsia" w:eastAsiaTheme="minorEastAsia"/>
                <w:sz w:val="24"/>
                <w:szCs w:val="24"/>
                <w:lang w:val="en-US" w:eastAsia="zh-CN"/>
              </w:rPr>
              <w:t>工伤</w:t>
            </w:r>
            <w:r>
              <w:rPr>
                <w:rFonts w:hint="eastAsia" w:cs="楷体" w:asciiTheme="minorEastAsia" w:hAnsiTheme="minorEastAsia" w:eastAsiaTheme="minorEastAsia"/>
                <w:sz w:val="24"/>
                <w:szCs w:val="24"/>
              </w:rPr>
              <w:t>应急预案》等制定应急预案，定期演练。现场观察，规定了应急小组成员、成立应急救援队、小组分工、应急演练等内容。经查符合要求。</w:t>
            </w:r>
          </w:p>
          <w:p>
            <w:pPr>
              <w:keepNext w:val="0"/>
              <w:keepLines w:val="0"/>
              <w:suppressLineNumbers w:val="0"/>
              <w:spacing w:before="120" w:beforeAutospacing="0" w:after="0" w:afterAutospacing="0" w:line="360" w:lineRule="auto"/>
              <w:ind w:left="0" w:right="0"/>
              <w:rPr>
                <w:rFonts w:hint="eastAsia" w:cs="Times New Roman" w:asciiTheme="minorEastAsia" w:hAnsiTheme="minorEastAsia" w:eastAsiaTheme="minorEastAsia"/>
                <w:b/>
                <w:kern w:val="2"/>
                <w:sz w:val="21"/>
                <w:szCs w:val="24"/>
                <w:lang w:val="en-US" w:eastAsia="zh-CN" w:bidi="ar-SA"/>
              </w:rPr>
            </w:pPr>
            <w:r>
              <w:rPr>
                <w:rFonts w:hint="eastAsia" w:cs="楷体" w:asciiTheme="minorEastAsia" w:hAnsiTheme="minorEastAsia" w:eastAsiaTheme="minorEastAsia"/>
                <w:sz w:val="24"/>
                <w:szCs w:val="24"/>
              </w:rPr>
              <w:t>提供了火灾应急演练实施记录，查：公司</w:t>
            </w:r>
            <w:r>
              <w:rPr>
                <w:rFonts w:hint="eastAsia" w:ascii="宋体"/>
                <w:sz w:val="24"/>
                <w:szCs w:val="20"/>
              </w:rPr>
              <w:t>2022年6月26日</w:t>
            </w:r>
            <w:r>
              <w:rPr>
                <w:rFonts w:hint="eastAsia" w:cs="楷体" w:asciiTheme="minorEastAsia" w:hAnsiTheme="minorEastAsia" w:eastAsiaTheme="minorEastAsia"/>
                <w:sz w:val="24"/>
                <w:szCs w:val="24"/>
              </w:rPr>
              <w:t>组织进行了消防救援应急演练，提供了现场演练记录等资料，提供</w:t>
            </w:r>
            <w:r>
              <w:rPr>
                <w:rFonts w:hint="eastAsia" w:cs="楷体" w:asciiTheme="minorEastAsia" w:hAnsiTheme="minorEastAsia" w:eastAsiaTheme="minorEastAsia"/>
                <w:sz w:val="24"/>
                <w:szCs w:val="24"/>
                <w:lang w:val="en-US" w:eastAsia="zh-CN"/>
              </w:rPr>
              <w:t>了</w:t>
            </w:r>
            <w:r>
              <w:rPr>
                <w:rFonts w:hint="eastAsia" w:cs="楷体" w:asciiTheme="minorEastAsia" w:hAnsiTheme="minorEastAsia" w:eastAsiaTheme="minorEastAsia"/>
                <w:sz w:val="24"/>
                <w:szCs w:val="24"/>
              </w:rPr>
              <w:t>对演练效果和应急预案进行评价的证据。</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不合格与纠正措施</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QEO</w:t>
            </w:r>
            <w:r>
              <w:rPr>
                <w:rFonts w:hint="eastAsia" w:asciiTheme="minorEastAsia" w:hAnsiTheme="minorEastAsia" w:eastAsiaTheme="minorEastAsia" w:cstheme="minorEastAsia"/>
                <w:sz w:val="24"/>
                <w:szCs w:val="24"/>
                <w:highlight w:val="none"/>
              </w:rPr>
              <w:t>10.2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抽查内审《不符合报告》，针对内审中发现的不合格事实，责任部门进行了原因分析，制定了纠正措施并实施，经验证整改有效。</w:t>
            </w:r>
          </w:p>
          <w:p>
            <w:pPr>
              <w:keepNext w:val="0"/>
              <w:keepLines w:val="0"/>
              <w:suppressLineNumbers w:val="0"/>
              <w:spacing w:before="0" w:beforeAutospacing="0" w:after="0" w:afterAutospacing="0" w:line="460" w:lineRule="exact"/>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8"/>
        <w:rPr>
          <w:rFonts w:hint="eastAsia"/>
        </w:rPr>
      </w:pPr>
    </w:p>
    <w:p>
      <w:pPr>
        <w:pStyle w:val="8"/>
        <w:rPr>
          <w:rFonts w:hint="eastAsia"/>
        </w:rPr>
      </w:pPr>
      <w:r>
        <w:rPr>
          <w:rFonts w:hint="eastAsia"/>
        </w:rPr>
        <w:t>说明：不符合标注N</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201C46"/>
    <w:rsid w:val="002C35E9"/>
    <w:rsid w:val="00674E7A"/>
    <w:rsid w:val="008C662D"/>
    <w:rsid w:val="009D0EA3"/>
    <w:rsid w:val="00B03F83"/>
    <w:rsid w:val="00C57A77"/>
    <w:rsid w:val="00DF0EAC"/>
    <w:rsid w:val="00F64645"/>
    <w:rsid w:val="00FA1AF1"/>
    <w:rsid w:val="01064F86"/>
    <w:rsid w:val="01150EF3"/>
    <w:rsid w:val="011647F9"/>
    <w:rsid w:val="012308D5"/>
    <w:rsid w:val="01656A6A"/>
    <w:rsid w:val="017224FF"/>
    <w:rsid w:val="017C2B43"/>
    <w:rsid w:val="01FE22C2"/>
    <w:rsid w:val="0217296C"/>
    <w:rsid w:val="021D229B"/>
    <w:rsid w:val="02212C92"/>
    <w:rsid w:val="02A878FA"/>
    <w:rsid w:val="02AB77FA"/>
    <w:rsid w:val="02AD35B5"/>
    <w:rsid w:val="02BD34E1"/>
    <w:rsid w:val="02E40E3C"/>
    <w:rsid w:val="02F01038"/>
    <w:rsid w:val="02FF5E45"/>
    <w:rsid w:val="03784CB1"/>
    <w:rsid w:val="039378B3"/>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994A59"/>
    <w:rsid w:val="08B32B55"/>
    <w:rsid w:val="08C82907"/>
    <w:rsid w:val="08E5299A"/>
    <w:rsid w:val="08F4537E"/>
    <w:rsid w:val="092704E6"/>
    <w:rsid w:val="09730F62"/>
    <w:rsid w:val="09A85CE4"/>
    <w:rsid w:val="09C26D5A"/>
    <w:rsid w:val="09D5537D"/>
    <w:rsid w:val="09E356A1"/>
    <w:rsid w:val="0A0E69FD"/>
    <w:rsid w:val="0A7F6F7A"/>
    <w:rsid w:val="0AAC35C5"/>
    <w:rsid w:val="0AD007F3"/>
    <w:rsid w:val="0AF75F5E"/>
    <w:rsid w:val="0AFF004D"/>
    <w:rsid w:val="0B0359A9"/>
    <w:rsid w:val="0B255BA5"/>
    <w:rsid w:val="0B2C43A0"/>
    <w:rsid w:val="0B770BE8"/>
    <w:rsid w:val="0B9C72B1"/>
    <w:rsid w:val="0BA22397"/>
    <w:rsid w:val="0BD217E9"/>
    <w:rsid w:val="0C3E171F"/>
    <w:rsid w:val="0C410FA9"/>
    <w:rsid w:val="0C442F8F"/>
    <w:rsid w:val="0C62668C"/>
    <w:rsid w:val="0C6509A7"/>
    <w:rsid w:val="0C9C485E"/>
    <w:rsid w:val="0CC479DF"/>
    <w:rsid w:val="0CF52948"/>
    <w:rsid w:val="0CF767BA"/>
    <w:rsid w:val="0CFE6451"/>
    <w:rsid w:val="0D540B08"/>
    <w:rsid w:val="0DB8670A"/>
    <w:rsid w:val="0E157897"/>
    <w:rsid w:val="0E4B178C"/>
    <w:rsid w:val="0E4C507F"/>
    <w:rsid w:val="0E643B61"/>
    <w:rsid w:val="0F805860"/>
    <w:rsid w:val="0F872BC2"/>
    <w:rsid w:val="0F975DCF"/>
    <w:rsid w:val="0FA7713A"/>
    <w:rsid w:val="10581755"/>
    <w:rsid w:val="106554D2"/>
    <w:rsid w:val="107163AF"/>
    <w:rsid w:val="110F780B"/>
    <w:rsid w:val="114B1966"/>
    <w:rsid w:val="117A709E"/>
    <w:rsid w:val="11ED56F3"/>
    <w:rsid w:val="121559CA"/>
    <w:rsid w:val="12463FB9"/>
    <w:rsid w:val="125E1E6F"/>
    <w:rsid w:val="12727714"/>
    <w:rsid w:val="128A22C6"/>
    <w:rsid w:val="12904F23"/>
    <w:rsid w:val="12AB46D9"/>
    <w:rsid w:val="13035B81"/>
    <w:rsid w:val="143A371A"/>
    <w:rsid w:val="143B6641"/>
    <w:rsid w:val="14735C84"/>
    <w:rsid w:val="15330425"/>
    <w:rsid w:val="15996898"/>
    <w:rsid w:val="15DF06A2"/>
    <w:rsid w:val="15F778EA"/>
    <w:rsid w:val="163F5049"/>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30A1D"/>
    <w:rsid w:val="19BA61A4"/>
    <w:rsid w:val="1A5E62EF"/>
    <w:rsid w:val="1A74667E"/>
    <w:rsid w:val="1AA27698"/>
    <w:rsid w:val="1AE1297D"/>
    <w:rsid w:val="1BB94BB4"/>
    <w:rsid w:val="1C4C01FE"/>
    <w:rsid w:val="1C667031"/>
    <w:rsid w:val="1C7F3E78"/>
    <w:rsid w:val="1C990A33"/>
    <w:rsid w:val="1CE802AE"/>
    <w:rsid w:val="1CF55D8F"/>
    <w:rsid w:val="1D474298"/>
    <w:rsid w:val="1D7B40A7"/>
    <w:rsid w:val="1E4D237F"/>
    <w:rsid w:val="1E5C5B1A"/>
    <w:rsid w:val="1E603584"/>
    <w:rsid w:val="1E7B1BF8"/>
    <w:rsid w:val="1E8C3D8B"/>
    <w:rsid w:val="1E9B03A4"/>
    <w:rsid w:val="1EE1376D"/>
    <w:rsid w:val="1EE5332D"/>
    <w:rsid w:val="1EFF1300"/>
    <w:rsid w:val="1F72308D"/>
    <w:rsid w:val="1F7B3C30"/>
    <w:rsid w:val="1F8A3B16"/>
    <w:rsid w:val="1FB734E6"/>
    <w:rsid w:val="1FC66CAF"/>
    <w:rsid w:val="1FCE5BEC"/>
    <w:rsid w:val="1FDF7C8E"/>
    <w:rsid w:val="1FF96882"/>
    <w:rsid w:val="203F187A"/>
    <w:rsid w:val="20847E4C"/>
    <w:rsid w:val="20FA23AE"/>
    <w:rsid w:val="21054632"/>
    <w:rsid w:val="212C66F1"/>
    <w:rsid w:val="213E18E7"/>
    <w:rsid w:val="215E2431"/>
    <w:rsid w:val="21663AEF"/>
    <w:rsid w:val="217F0477"/>
    <w:rsid w:val="22207A4B"/>
    <w:rsid w:val="226E05D5"/>
    <w:rsid w:val="22873196"/>
    <w:rsid w:val="22C464B5"/>
    <w:rsid w:val="230D0BB8"/>
    <w:rsid w:val="23BC5D13"/>
    <w:rsid w:val="24535F51"/>
    <w:rsid w:val="2489415D"/>
    <w:rsid w:val="24B65F48"/>
    <w:rsid w:val="24CF7909"/>
    <w:rsid w:val="24FF0A8A"/>
    <w:rsid w:val="25B80390"/>
    <w:rsid w:val="25F021EB"/>
    <w:rsid w:val="25F9609A"/>
    <w:rsid w:val="261749A4"/>
    <w:rsid w:val="268D67A0"/>
    <w:rsid w:val="268F13D1"/>
    <w:rsid w:val="27005B64"/>
    <w:rsid w:val="27194F7C"/>
    <w:rsid w:val="276553A4"/>
    <w:rsid w:val="27891BCA"/>
    <w:rsid w:val="27A94797"/>
    <w:rsid w:val="28233D62"/>
    <w:rsid w:val="283A53DE"/>
    <w:rsid w:val="285128A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C355DA"/>
    <w:rsid w:val="2BE6131F"/>
    <w:rsid w:val="2C183653"/>
    <w:rsid w:val="2C276741"/>
    <w:rsid w:val="2C567A77"/>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716517"/>
    <w:rsid w:val="30C41872"/>
    <w:rsid w:val="30C6230A"/>
    <w:rsid w:val="30FA32F0"/>
    <w:rsid w:val="311112FE"/>
    <w:rsid w:val="311B79AE"/>
    <w:rsid w:val="31A31BD9"/>
    <w:rsid w:val="31D21FC2"/>
    <w:rsid w:val="31EF6025"/>
    <w:rsid w:val="31F51851"/>
    <w:rsid w:val="32707B65"/>
    <w:rsid w:val="327E3A05"/>
    <w:rsid w:val="32B87703"/>
    <w:rsid w:val="32C3461A"/>
    <w:rsid w:val="32CD7AC4"/>
    <w:rsid w:val="330D04B7"/>
    <w:rsid w:val="3318110B"/>
    <w:rsid w:val="33293C61"/>
    <w:rsid w:val="333C1AD8"/>
    <w:rsid w:val="333D5FCD"/>
    <w:rsid w:val="335C4541"/>
    <w:rsid w:val="335E0807"/>
    <w:rsid w:val="33765145"/>
    <w:rsid w:val="33B72112"/>
    <w:rsid w:val="33D8256D"/>
    <w:rsid w:val="34144AA3"/>
    <w:rsid w:val="343E082A"/>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41E44"/>
    <w:rsid w:val="360D38D6"/>
    <w:rsid w:val="36403E8D"/>
    <w:rsid w:val="366F0610"/>
    <w:rsid w:val="36F30D96"/>
    <w:rsid w:val="3734748D"/>
    <w:rsid w:val="37464DBC"/>
    <w:rsid w:val="38064FA4"/>
    <w:rsid w:val="38246375"/>
    <w:rsid w:val="382A1498"/>
    <w:rsid w:val="382F4D24"/>
    <w:rsid w:val="389B62D3"/>
    <w:rsid w:val="390A6B77"/>
    <w:rsid w:val="391D0CBF"/>
    <w:rsid w:val="39AB3B94"/>
    <w:rsid w:val="39D318E6"/>
    <w:rsid w:val="3A313D69"/>
    <w:rsid w:val="3A626C76"/>
    <w:rsid w:val="3AC839A8"/>
    <w:rsid w:val="3B001218"/>
    <w:rsid w:val="3C0A1726"/>
    <w:rsid w:val="3C2E5685"/>
    <w:rsid w:val="3C550E81"/>
    <w:rsid w:val="3C727309"/>
    <w:rsid w:val="3C871974"/>
    <w:rsid w:val="3C8E0A65"/>
    <w:rsid w:val="3C9F506B"/>
    <w:rsid w:val="3CA97DB1"/>
    <w:rsid w:val="3CBA7935"/>
    <w:rsid w:val="3D063022"/>
    <w:rsid w:val="3D287B17"/>
    <w:rsid w:val="3D540D21"/>
    <w:rsid w:val="3D691DF0"/>
    <w:rsid w:val="3DB12432"/>
    <w:rsid w:val="3DFA2594"/>
    <w:rsid w:val="3E034071"/>
    <w:rsid w:val="3E151DCC"/>
    <w:rsid w:val="3E1F0B6E"/>
    <w:rsid w:val="3E4652E7"/>
    <w:rsid w:val="3E9D0F05"/>
    <w:rsid w:val="3EA26746"/>
    <w:rsid w:val="3ED52E59"/>
    <w:rsid w:val="3F207230"/>
    <w:rsid w:val="3F612A86"/>
    <w:rsid w:val="3FCB31FB"/>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A43A57"/>
    <w:rsid w:val="49AD5B2D"/>
    <w:rsid w:val="49D8349A"/>
    <w:rsid w:val="4A1527E2"/>
    <w:rsid w:val="4A2D6242"/>
    <w:rsid w:val="4A9E092F"/>
    <w:rsid w:val="4AA74B10"/>
    <w:rsid w:val="4B2559CC"/>
    <w:rsid w:val="4B3E0B9D"/>
    <w:rsid w:val="4BC8441C"/>
    <w:rsid w:val="4BF31933"/>
    <w:rsid w:val="4C2D3B21"/>
    <w:rsid w:val="4C7A554B"/>
    <w:rsid w:val="4C7B60DD"/>
    <w:rsid w:val="4CBD3D40"/>
    <w:rsid w:val="4D09549B"/>
    <w:rsid w:val="4D1050C7"/>
    <w:rsid w:val="4D140660"/>
    <w:rsid w:val="4D2C3300"/>
    <w:rsid w:val="4D441B5E"/>
    <w:rsid w:val="4DCB2869"/>
    <w:rsid w:val="4DE12C08"/>
    <w:rsid w:val="4E1402DE"/>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307F0"/>
    <w:rsid w:val="516B2C3C"/>
    <w:rsid w:val="516E65BE"/>
    <w:rsid w:val="51B4565D"/>
    <w:rsid w:val="51B45F29"/>
    <w:rsid w:val="51DD64FC"/>
    <w:rsid w:val="51F677CD"/>
    <w:rsid w:val="52030B07"/>
    <w:rsid w:val="52136948"/>
    <w:rsid w:val="52190148"/>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571574"/>
    <w:rsid w:val="568D1D9A"/>
    <w:rsid w:val="56AC2AE7"/>
    <w:rsid w:val="56E552C6"/>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426043"/>
    <w:rsid w:val="595C777B"/>
    <w:rsid w:val="59B4214C"/>
    <w:rsid w:val="59B45720"/>
    <w:rsid w:val="59B568FC"/>
    <w:rsid w:val="59E45E46"/>
    <w:rsid w:val="5A290952"/>
    <w:rsid w:val="5A3806ED"/>
    <w:rsid w:val="5A5D2BBD"/>
    <w:rsid w:val="5A9432AE"/>
    <w:rsid w:val="5A9B12CE"/>
    <w:rsid w:val="5AD5218B"/>
    <w:rsid w:val="5AF209E1"/>
    <w:rsid w:val="5B0C65C3"/>
    <w:rsid w:val="5B245E50"/>
    <w:rsid w:val="5B4579C8"/>
    <w:rsid w:val="5B4909F4"/>
    <w:rsid w:val="5B4B3AF4"/>
    <w:rsid w:val="5B8F1373"/>
    <w:rsid w:val="5BCC1C70"/>
    <w:rsid w:val="5C726ADA"/>
    <w:rsid w:val="5CA44655"/>
    <w:rsid w:val="5CAB5822"/>
    <w:rsid w:val="5CB84D41"/>
    <w:rsid w:val="5CDD1B20"/>
    <w:rsid w:val="5D1A538E"/>
    <w:rsid w:val="5D1F3F7C"/>
    <w:rsid w:val="5D3341F7"/>
    <w:rsid w:val="5D7502E0"/>
    <w:rsid w:val="5D8605B2"/>
    <w:rsid w:val="5D9A73BE"/>
    <w:rsid w:val="5DB8286A"/>
    <w:rsid w:val="5E3F0F7A"/>
    <w:rsid w:val="5E491909"/>
    <w:rsid w:val="5E8158E5"/>
    <w:rsid w:val="5EBC4F14"/>
    <w:rsid w:val="5F06104F"/>
    <w:rsid w:val="5F1654F8"/>
    <w:rsid w:val="5F982084"/>
    <w:rsid w:val="5FDA170A"/>
    <w:rsid w:val="5FF42977"/>
    <w:rsid w:val="60065657"/>
    <w:rsid w:val="602709A1"/>
    <w:rsid w:val="60A30D33"/>
    <w:rsid w:val="60B00E1E"/>
    <w:rsid w:val="60B3541A"/>
    <w:rsid w:val="60CC1328"/>
    <w:rsid w:val="60D55CF6"/>
    <w:rsid w:val="61B408A3"/>
    <w:rsid w:val="61B643FC"/>
    <w:rsid w:val="6228361E"/>
    <w:rsid w:val="62657CD2"/>
    <w:rsid w:val="629E5DD8"/>
    <w:rsid w:val="62F318CA"/>
    <w:rsid w:val="630D6068"/>
    <w:rsid w:val="631E16AD"/>
    <w:rsid w:val="63253392"/>
    <w:rsid w:val="633650EE"/>
    <w:rsid w:val="63A55278"/>
    <w:rsid w:val="643E5829"/>
    <w:rsid w:val="64794093"/>
    <w:rsid w:val="64EC2F7E"/>
    <w:rsid w:val="64EF4A46"/>
    <w:rsid w:val="65215227"/>
    <w:rsid w:val="652F30CD"/>
    <w:rsid w:val="6539079F"/>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439B7"/>
    <w:rsid w:val="683C09FE"/>
    <w:rsid w:val="68B01655"/>
    <w:rsid w:val="68D34923"/>
    <w:rsid w:val="68E819D9"/>
    <w:rsid w:val="68E86BFA"/>
    <w:rsid w:val="691A3DDD"/>
    <w:rsid w:val="692D6E48"/>
    <w:rsid w:val="695741FE"/>
    <w:rsid w:val="697D69BD"/>
    <w:rsid w:val="69D122C8"/>
    <w:rsid w:val="6A4F6773"/>
    <w:rsid w:val="6A635E12"/>
    <w:rsid w:val="6A956138"/>
    <w:rsid w:val="6AF672B5"/>
    <w:rsid w:val="6AFB2694"/>
    <w:rsid w:val="6AFC6742"/>
    <w:rsid w:val="6B26178E"/>
    <w:rsid w:val="6B512ED7"/>
    <w:rsid w:val="6BDF65FE"/>
    <w:rsid w:val="6C136439"/>
    <w:rsid w:val="6CD333CF"/>
    <w:rsid w:val="6D365D55"/>
    <w:rsid w:val="6D555856"/>
    <w:rsid w:val="6D756370"/>
    <w:rsid w:val="6D871FF6"/>
    <w:rsid w:val="6D887920"/>
    <w:rsid w:val="6E066919"/>
    <w:rsid w:val="6E085B41"/>
    <w:rsid w:val="6E2C6D75"/>
    <w:rsid w:val="6E564D5F"/>
    <w:rsid w:val="6E57750F"/>
    <w:rsid w:val="6E7D320D"/>
    <w:rsid w:val="6EAE1D3D"/>
    <w:rsid w:val="6EC860BA"/>
    <w:rsid w:val="6ED22398"/>
    <w:rsid w:val="6EDA3F4E"/>
    <w:rsid w:val="6EF0143C"/>
    <w:rsid w:val="6EFA58B4"/>
    <w:rsid w:val="6F2225A2"/>
    <w:rsid w:val="6F8B6D6B"/>
    <w:rsid w:val="6F8D311E"/>
    <w:rsid w:val="6F8F5DE6"/>
    <w:rsid w:val="6FAE04BE"/>
    <w:rsid w:val="6FB0350B"/>
    <w:rsid w:val="6FE570D5"/>
    <w:rsid w:val="6FE87070"/>
    <w:rsid w:val="70427B87"/>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CE343D"/>
    <w:rsid w:val="74E212FF"/>
    <w:rsid w:val="751554CB"/>
    <w:rsid w:val="75250517"/>
    <w:rsid w:val="753D6821"/>
    <w:rsid w:val="75605995"/>
    <w:rsid w:val="75674477"/>
    <w:rsid w:val="7573595A"/>
    <w:rsid w:val="75895189"/>
    <w:rsid w:val="75AB7F36"/>
    <w:rsid w:val="75E82E37"/>
    <w:rsid w:val="760E3588"/>
    <w:rsid w:val="76190E04"/>
    <w:rsid w:val="7627135C"/>
    <w:rsid w:val="763A5AB1"/>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6A2416"/>
    <w:rsid w:val="7B79487F"/>
    <w:rsid w:val="7BB62FD7"/>
    <w:rsid w:val="7BB875AB"/>
    <w:rsid w:val="7BE96F8D"/>
    <w:rsid w:val="7C1D3726"/>
    <w:rsid w:val="7C5F1B82"/>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2">
    <w:name w:val="Default Paragraph Font"/>
    <w:semiHidden/>
    <w:unhideWhenUsed/>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2022-11-24T01:42:12Z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48694FE2B0984CFD993A22A95E6810E3</vt:lpwstr>
  </property>
</Properties>
</file>