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2"/>
        <w:rPr>
          <w:rFonts w:hint="eastAsia" w:ascii="隶书" w:hAnsi="宋体" w:eastAsia="隶书"/>
          <w:bCs/>
          <w:color w:val="000000"/>
          <w:sz w:val="36"/>
          <w:szCs w:val="36"/>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228"/>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2"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228"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943"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受审核部门：管理层    总经理</w:t>
            </w:r>
            <w:r>
              <w:rPr>
                <w:rFonts w:hint="eastAsia" w:ascii="宋体" w:hAnsi="宋体" w:eastAsia="宋体" w:cs="宋体"/>
                <w:sz w:val="21"/>
                <w:szCs w:val="21"/>
                <w:lang w:eastAsia="zh-CN"/>
              </w:rPr>
              <w:t>、</w:t>
            </w:r>
            <w:r>
              <w:rPr>
                <w:rFonts w:hint="eastAsia" w:ascii="宋体" w:hAnsi="宋体" w:eastAsia="宋体" w:cs="宋体"/>
                <w:sz w:val="21"/>
                <w:szCs w:val="21"/>
              </w:rPr>
              <w:t>管理者代表：</w:t>
            </w:r>
            <w:r>
              <w:rPr>
                <w:rFonts w:hint="eastAsia" w:ascii="宋体" w:hAnsi="宋体" w:eastAsia="宋体" w:cs="宋体"/>
                <w:sz w:val="21"/>
                <w:szCs w:val="21"/>
                <w:lang w:val="en-US" w:eastAsia="zh-CN"/>
              </w:rPr>
              <w:t xml:space="preserve">张振林   管代：冯霞     </w:t>
            </w:r>
            <w:r>
              <w:rPr>
                <w:rFonts w:hint="eastAsia" w:ascii="宋体" w:hAnsi="宋体" w:eastAsia="宋体" w:cs="宋体"/>
                <w:bCs/>
                <w:sz w:val="21"/>
                <w:szCs w:val="21"/>
              </w:rPr>
              <w:t>员工职业健康安全事务代表：</w:t>
            </w:r>
            <w:r>
              <w:rPr>
                <w:rFonts w:hint="eastAsia" w:ascii="宋体" w:hAnsi="宋体" w:eastAsia="宋体" w:cs="宋体"/>
                <w:bCs/>
                <w:sz w:val="21"/>
                <w:szCs w:val="21"/>
                <w:lang w:val="en-US" w:eastAsia="zh-CN"/>
              </w:rPr>
              <w:t>杨云</w:t>
            </w:r>
          </w:p>
        </w:tc>
        <w:tc>
          <w:tcPr>
            <w:tcW w:w="646"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2" w:type="dxa"/>
            <w:vMerge w:val="continue"/>
            <w:vAlign w:val="center"/>
          </w:tcPr>
          <w:p>
            <w:pPr>
              <w:spacing w:line="360" w:lineRule="auto"/>
              <w:rPr>
                <w:rFonts w:hint="eastAsia" w:ascii="宋体" w:hAnsi="宋体" w:eastAsia="宋体" w:cs="宋体"/>
                <w:sz w:val="21"/>
                <w:szCs w:val="21"/>
              </w:rPr>
            </w:pPr>
          </w:p>
        </w:tc>
        <w:tc>
          <w:tcPr>
            <w:tcW w:w="1228" w:type="dxa"/>
            <w:vMerge w:val="continue"/>
            <w:vAlign w:val="center"/>
          </w:tcPr>
          <w:p>
            <w:pPr>
              <w:spacing w:line="360" w:lineRule="auto"/>
              <w:rPr>
                <w:rFonts w:hint="eastAsia" w:ascii="宋体" w:hAnsi="宋体" w:eastAsia="宋体" w:cs="宋体"/>
                <w:sz w:val="21"/>
                <w:szCs w:val="21"/>
              </w:rPr>
            </w:pPr>
          </w:p>
        </w:tc>
        <w:tc>
          <w:tcPr>
            <w:tcW w:w="1094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审核员：李俐         审核时间：2020.07.04</w:t>
            </w:r>
          </w:p>
        </w:tc>
        <w:tc>
          <w:tcPr>
            <w:tcW w:w="646"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Merge w:val="continue"/>
            <w:vAlign w:val="center"/>
          </w:tcPr>
          <w:p>
            <w:pPr>
              <w:spacing w:line="360" w:lineRule="auto"/>
              <w:rPr>
                <w:rFonts w:hint="eastAsia" w:ascii="宋体" w:hAnsi="宋体" w:eastAsia="宋体" w:cs="宋体"/>
                <w:sz w:val="21"/>
                <w:szCs w:val="21"/>
              </w:rPr>
            </w:pPr>
          </w:p>
        </w:tc>
        <w:tc>
          <w:tcPr>
            <w:tcW w:w="1228" w:type="dxa"/>
            <w:vMerge w:val="continue"/>
            <w:vAlign w:val="center"/>
          </w:tcPr>
          <w:p>
            <w:pPr>
              <w:spacing w:line="360" w:lineRule="auto"/>
              <w:rPr>
                <w:rFonts w:hint="eastAsia" w:ascii="宋体" w:hAnsi="宋体" w:eastAsia="宋体" w:cs="宋体"/>
                <w:sz w:val="21"/>
                <w:szCs w:val="21"/>
              </w:rPr>
            </w:pPr>
          </w:p>
        </w:tc>
        <w:tc>
          <w:tcPr>
            <w:tcW w:w="10943"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审核条款：</w:t>
            </w:r>
          </w:p>
          <w:p>
            <w:pPr>
              <w:snapToGrid w:val="0"/>
              <w:spacing w:line="360" w:lineRule="auto"/>
              <w:rPr>
                <w:rFonts w:hint="eastAsia" w:ascii="宋体" w:hAnsi="宋体" w:eastAsia="宋体" w:cs="宋体"/>
                <w:spacing w:val="-6"/>
                <w:sz w:val="21"/>
                <w:szCs w:val="21"/>
              </w:rPr>
            </w:pPr>
            <w:r>
              <w:rPr>
                <w:rFonts w:hint="eastAsia" w:ascii="宋体" w:hAnsi="宋体" w:eastAsia="宋体" w:cs="宋体"/>
                <w:sz w:val="21"/>
                <w:szCs w:val="21"/>
              </w:rPr>
              <w:t>QMS</w:t>
            </w:r>
            <w:r>
              <w:rPr>
                <w:rFonts w:hint="eastAsia" w:ascii="宋体" w:hAnsi="宋体" w:eastAsia="宋体" w:cs="宋体"/>
                <w:sz w:val="21"/>
                <w:szCs w:val="21"/>
                <w:lang w:eastAsia="zh-CN"/>
              </w:rPr>
              <w:t>：</w:t>
            </w:r>
            <w:r>
              <w:rPr>
                <w:rFonts w:hint="eastAsia" w:ascii="宋体" w:hAnsi="宋体" w:eastAsia="宋体" w:cs="宋体"/>
                <w:sz w:val="21"/>
                <w:szCs w:val="21"/>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总则；7.1.2人员；7.1.6组织知识；7.4沟通；7.5.1文件化信息总则9.1.1监测、分析和评价总则；9.2内部审核；9.3管理评审；10.1改进 总则；10.3持续改进</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OHSMS</w:t>
            </w:r>
            <w:r>
              <w:rPr>
                <w:rFonts w:hint="eastAsia" w:ascii="宋体" w:hAnsi="宋体" w:eastAsia="宋体" w:cs="宋体"/>
                <w:sz w:val="21"/>
                <w:szCs w:val="21"/>
                <w:lang w:eastAsia="zh-CN"/>
              </w:rPr>
              <w:t>：</w:t>
            </w:r>
            <w:r>
              <w:rPr>
                <w:rFonts w:hint="eastAsia" w:ascii="宋体" w:hAnsi="宋体" w:eastAsia="宋体" w:cs="宋体"/>
                <w:sz w:val="21"/>
                <w:szCs w:val="21"/>
              </w:rPr>
              <w:t>4.1总要求；4.2方针；4.4.1资源、角色、职责、责任与权限；4.4.3沟通、参与和协商；4.4.4体系文件；4.5.5内部审核；4.6管理评审；4.5.3事件调查、不符合、纠正措施与预防措施</w:t>
            </w:r>
          </w:p>
          <w:p>
            <w:pPr>
              <w:pStyle w:val="3"/>
              <w:spacing w:line="360" w:lineRule="auto"/>
              <w:rPr>
                <w:rFonts w:hint="eastAsia" w:ascii="宋体" w:hAnsi="宋体" w:eastAsia="宋体" w:cs="宋体"/>
                <w:sz w:val="21"/>
                <w:szCs w:val="21"/>
              </w:rPr>
            </w:pPr>
            <w:r>
              <w:rPr>
                <w:rFonts w:hint="eastAsia" w:ascii="宋体" w:hAnsi="宋体" w:eastAsia="宋体" w:cs="宋体"/>
                <w:sz w:val="21"/>
                <w:szCs w:val="21"/>
              </w:rPr>
              <w:t>国家/地方监督抽查情况；顾客满意、相关方投诉及处理情况，验证企业相关资质证明的有效性；</w:t>
            </w:r>
          </w:p>
          <w:p>
            <w:pPr>
              <w:pStyle w:val="3"/>
              <w:spacing w:line="360" w:lineRule="auto"/>
              <w:rPr>
                <w:rFonts w:hint="eastAsia" w:ascii="宋体" w:hAnsi="宋体" w:eastAsia="宋体" w:cs="宋体"/>
                <w:sz w:val="21"/>
                <w:szCs w:val="21"/>
              </w:rPr>
            </w:pPr>
          </w:p>
        </w:tc>
        <w:tc>
          <w:tcPr>
            <w:tcW w:w="646"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公司概况、总要求、资源、管理体系范围</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理解组织及其环境</w:t>
            </w:r>
          </w:p>
          <w:p>
            <w:pPr>
              <w:spacing w:line="360" w:lineRule="auto"/>
              <w:jc w:val="left"/>
              <w:rPr>
                <w:rFonts w:hint="eastAsia" w:ascii="宋体" w:hAnsi="宋体" w:eastAsia="宋体" w:cs="宋体"/>
                <w:b/>
                <w:kern w:val="2"/>
                <w:sz w:val="21"/>
                <w:szCs w:val="21"/>
                <w:lang w:val="en-US" w:eastAsia="zh-CN" w:bidi="ar-SA"/>
              </w:rPr>
            </w:pPr>
          </w:p>
        </w:tc>
        <w:tc>
          <w:tcPr>
            <w:tcW w:w="1228" w:type="dxa"/>
            <w:vAlign w:val="center"/>
          </w:tcPr>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Q</w:t>
            </w:r>
            <w:r>
              <w:rPr>
                <w:rFonts w:hint="eastAsia" w:ascii="宋体" w:hAnsi="宋体" w:eastAsia="宋体" w:cs="宋体"/>
                <w:b w:val="0"/>
                <w:bCs/>
                <w:sz w:val="21"/>
                <w:szCs w:val="21"/>
                <w:lang w:val="en-US" w:eastAsia="zh-CN"/>
              </w:rPr>
              <w:t>S</w:t>
            </w:r>
            <w:r>
              <w:rPr>
                <w:rFonts w:hint="eastAsia" w:ascii="宋体" w:hAnsi="宋体" w:eastAsia="宋体" w:cs="宋体"/>
                <w:b w:val="0"/>
                <w:bCs/>
                <w:sz w:val="21"/>
                <w:szCs w:val="21"/>
              </w:rPr>
              <w:t>4.1</w:t>
            </w:r>
          </w:p>
          <w:p>
            <w:pPr>
              <w:spacing w:line="360" w:lineRule="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Q4.</w:t>
            </w:r>
            <w:r>
              <w:rPr>
                <w:rFonts w:hint="eastAsia" w:ascii="宋体" w:hAnsi="宋体" w:eastAsia="宋体" w:cs="宋体"/>
                <w:b w:val="0"/>
                <w:bCs/>
                <w:sz w:val="21"/>
                <w:szCs w:val="21"/>
                <w:lang w:val="en-US" w:eastAsia="zh-CN"/>
              </w:rPr>
              <w:t>3</w:t>
            </w:r>
          </w:p>
          <w:p>
            <w:pPr>
              <w:spacing w:line="360" w:lineRule="auto"/>
              <w:rPr>
                <w:rFonts w:hint="eastAsia" w:ascii="宋体" w:hAnsi="宋体" w:eastAsia="宋体" w:cs="宋体"/>
                <w:b w:val="0"/>
                <w:bCs/>
                <w:kern w:val="2"/>
                <w:sz w:val="21"/>
                <w:szCs w:val="21"/>
                <w:lang w:val="en-US" w:eastAsia="zh-CN" w:bidi="ar-SA"/>
              </w:rPr>
            </w:pPr>
          </w:p>
        </w:tc>
        <w:tc>
          <w:tcPr>
            <w:tcW w:w="10943" w:type="dxa"/>
            <w:vAlign w:val="center"/>
          </w:tcPr>
          <w:p>
            <w:pPr>
              <w:pStyle w:val="17"/>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面谈：总经理：张振林、管代：冯霞 ；职业健康安全事务代表：</w:t>
            </w:r>
            <w:r>
              <w:rPr>
                <w:rFonts w:hint="eastAsia" w:ascii="宋体" w:hAnsi="宋体" w:eastAsia="宋体" w:cs="宋体"/>
                <w:bCs/>
                <w:sz w:val="21"/>
                <w:szCs w:val="21"/>
                <w:lang w:val="en-US" w:eastAsia="zh-CN"/>
              </w:rPr>
              <w:t>杨云</w:t>
            </w:r>
            <w:r>
              <w:rPr>
                <w:rFonts w:hint="eastAsia" w:ascii="宋体" w:hAnsi="宋体" w:eastAsia="宋体" w:cs="宋体"/>
                <w:sz w:val="21"/>
                <w:szCs w:val="21"/>
                <w:lang w:val="en-US" w:eastAsia="zh-CN"/>
              </w:rPr>
              <w:t>。</w:t>
            </w:r>
          </w:p>
          <w:p>
            <w:pPr>
              <w:pStyle w:val="17"/>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经理介绍了公司的基本情况，公司名称：南通富豪机电制造有限公司，始建于2002年06月13日，有限期：2030年06月05日，注册地址、生产/经营地址均为：南通市南通州区四安镇外环西路18号。现场查见企业营业执照副本，企业经营范围包含认证产品，具备有效资格。</w:t>
            </w:r>
          </w:p>
          <w:p>
            <w:pPr>
              <w:pStyle w:val="17"/>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公司注册资本50万，现有员工25人，设有生产技术部部、供销部、</w:t>
            </w:r>
            <w:r>
              <w:rPr>
                <w:rFonts w:hint="eastAsia" w:ascii="宋体" w:hAnsi="宋体" w:eastAsia="宋体" w:cs="宋体"/>
                <w:color w:val="000000"/>
                <w:sz w:val="21"/>
                <w:szCs w:val="21"/>
                <w:lang w:eastAsia="zh-CN"/>
              </w:rPr>
              <w:t>综合部</w:t>
            </w:r>
            <w:r>
              <w:rPr>
                <w:rFonts w:hint="eastAsia" w:ascii="宋体" w:hAnsi="宋体" w:eastAsia="宋体" w:cs="宋体"/>
                <w:sz w:val="21"/>
                <w:szCs w:val="21"/>
                <w:lang w:val="en-US" w:eastAsia="zh-CN"/>
              </w:rPr>
              <w:t>等部门，主要产品是金属冲压件冲片来料加工，为</w:t>
            </w:r>
            <w:bookmarkStart w:id="0" w:name="_GoBack"/>
            <w:r>
              <w:rPr>
                <w:rFonts w:hint="eastAsia" w:ascii="宋体" w:hAnsi="宋体" w:eastAsia="宋体" w:cs="宋体"/>
                <w:sz w:val="21"/>
                <w:szCs w:val="21"/>
                <w:lang w:val="en-US" w:eastAsia="zh-CN"/>
              </w:rPr>
              <w:t>南通通达矽钢冲压有限公</w:t>
            </w:r>
            <w:r>
              <w:rPr>
                <w:rFonts w:hint="eastAsia" w:ascii="宋体" w:hAnsi="宋体" w:cs="宋体"/>
                <w:sz w:val="21"/>
                <w:szCs w:val="21"/>
                <w:lang w:val="en-US" w:eastAsia="zh-CN"/>
              </w:rPr>
              <w:t>司</w:t>
            </w:r>
            <w:bookmarkEnd w:id="0"/>
            <w:r>
              <w:rPr>
                <w:rFonts w:hint="eastAsia" w:ascii="宋体" w:hAnsi="宋体" w:eastAsia="宋体" w:cs="宋体"/>
                <w:sz w:val="21"/>
                <w:szCs w:val="21"/>
                <w:lang w:val="en-US" w:eastAsia="zh-CN"/>
              </w:rPr>
              <w:t>配套电动机铁芯加工产品，主要生产Φ160～180之间小产品定转子冲片及压装、转子铸铝压铸。</w:t>
            </w:r>
          </w:p>
          <w:p>
            <w:pPr>
              <w:pStyle w:val="17"/>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质量管理体系覆盖的产品为：</w:t>
            </w:r>
            <w:r>
              <w:rPr>
                <w:rFonts w:hint="eastAsia" w:ascii="宋体" w:hAnsi="宋体" w:eastAsia="宋体" w:cs="宋体"/>
                <w:sz w:val="21"/>
                <w:szCs w:val="21"/>
              </w:rPr>
              <w:t>定转子</w:t>
            </w:r>
            <w:r>
              <w:rPr>
                <w:rFonts w:hint="eastAsia" w:ascii="宋体" w:hAnsi="宋体" w:eastAsia="宋体" w:cs="宋体"/>
                <w:sz w:val="21"/>
                <w:szCs w:val="21"/>
                <w:lang w:val="en-US" w:eastAsia="zh-CN"/>
              </w:rPr>
              <w:t>铁芯（</w:t>
            </w:r>
            <w:r>
              <w:rPr>
                <w:rFonts w:hint="eastAsia" w:ascii="宋体" w:hAnsi="宋体" w:eastAsia="宋体" w:cs="宋体"/>
                <w:sz w:val="21"/>
                <w:szCs w:val="21"/>
              </w:rPr>
              <w:t>冲片</w:t>
            </w:r>
            <w:r>
              <w:rPr>
                <w:rFonts w:hint="eastAsia" w:ascii="宋体" w:hAnsi="宋体" w:eastAsia="宋体" w:cs="宋体"/>
                <w:sz w:val="21"/>
                <w:szCs w:val="21"/>
                <w:lang w:val="en-US" w:eastAsia="zh-CN"/>
              </w:rPr>
              <w:t>）</w:t>
            </w:r>
            <w:r>
              <w:rPr>
                <w:rFonts w:hint="eastAsia" w:ascii="宋体" w:hAnsi="宋体" w:eastAsia="宋体" w:cs="宋体"/>
                <w:sz w:val="21"/>
                <w:szCs w:val="21"/>
              </w:rPr>
              <w:t>及</w:t>
            </w:r>
            <w:r>
              <w:rPr>
                <w:rFonts w:hint="eastAsia" w:ascii="宋体" w:hAnsi="宋体" w:eastAsia="宋体" w:cs="宋体"/>
                <w:sz w:val="21"/>
                <w:szCs w:val="21"/>
                <w:lang w:val="en-US" w:eastAsia="zh-CN"/>
              </w:rPr>
              <w:t>定子压圈、转子</w:t>
            </w:r>
            <w:r>
              <w:rPr>
                <w:rFonts w:hint="eastAsia" w:ascii="宋体" w:hAnsi="宋体" w:eastAsia="宋体" w:cs="宋体"/>
                <w:sz w:val="21"/>
                <w:szCs w:val="21"/>
              </w:rPr>
              <w:t>铸铝</w:t>
            </w:r>
            <w:r>
              <w:rPr>
                <w:rFonts w:hint="eastAsia" w:ascii="宋体" w:hAnsi="宋体" w:eastAsia="宋体" w:cs="宋体"/>
                <w:sz w:val="21"/>
                <w:szCs w:val="21"/>
                <w:lang w:val="en-US" w:eastAsia="zh-CN"/>
              </w:rPr>
              <w:t>件的生产和</w:t>
            </w:r>
            <w:r>
              <w:rPr>
                <w:rFonts w:hint="eastAsia" w:ascii="宋体" w:hAnsi="宋体" w:eastAsia="宋体" w:cs="宋体"/>
                <w:sz w:val="21"/>
                <w:szCs w:val="21"/>
              </w:rPr>
              <w:t>销售</w:t>
            </w:r>
            <w:r>
              <w:rPr>
                <w:rFonts w:hint="eastAsia" w:ascii="宋体" w:hAnsi="宋体" w:eastAsia="宋体" w:cs="宋体"/>
                <w:sz w:val="21"/>
                <w:szCs w:val="21"/>
                <w:lang w:val="en-US" w:eastAsia="zh-CN"/>
              </w:rPr>
              <w:t>。</w:t>
            </w:r>
          </w:p>
          <w:p>
            <w:pPr>
              <w:pStyle w:val="17"/>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职业健康安全管理体系覆盖范围：</w:t>
            </w:r>
            <w:r>
              <w:rPr>
                <w:rFonts w:hint="eastAsia" w:ascii="宋体" w:hAnsi="宋体" w:eastAsia="宋体" w:cs="宋体"/>
                <w:sz w:val="21"/>
                <w:szCs w:val="21"/>
              </w:rPr>
              <w:t>定转子</w:t>
            </w:r>
            <w:r>
              <w:rPr>
                <w:rFonts w:hint="eastAsia" w:ascii="宋体" w:hAnsi="宋体" w:eastAsia="宋体" w:cs="宋体"/>
                <w:sz w:val="21"/>
                <w:szCs w:val="21"/>
                <w:lang w:val="en-US" w:eastAsia="zh-CN"/>
              </w:rPr>
              <w:t>铁芯（</w:t>
            </w:r>
            <w:r>
              <w:rPr>
                <w:rFonts w:hint="eastAsia" w:ascii="宋体" w:hAnsi="宋体" w:eastAsia="宋体" w:cs="宋体"/>
                <w:sz w:val="21"/>
                <w:szCs w:val="21"/>
              </w:rPr>
              <w:t>冲片</w:t>
            </w:r>
            <w:r>
              <w:rPr>
                <w:rFonts w:hint="eastAsia" w:ascii="宋体" w:hAnsi="宋体" w:eastAsia="宋体" w:cs="宋体"/>
                <w:sz w:val="21"/>
                <w:szCs w:val="21"/>
                <w:lang w:val="en-US" w:eastAsia="zh-CN"/>
              </w:rPr>
              <w:t>）</w:t>
            </w:r>
            <w:r>
              <w:rPr>
                <w:rFonts w:hint="eastAsia" w:ascii="宋体" w:hAnsi="宋体" w:eastAsia="宋体" w:cs="宋体"/>
                <w:sz w:val="21"/>
                <w:szCs w:val="21"/>
              </w:rPr>
              <w:t>及</w:t>
            </w:r>
            <w:r>
              <w:rPr>
                <w:rFonts w:hint="eastAsia" w:ascii="宋体" w:hAnsi="宋体" w:eastAsia="宋体" w:cs="宋体"/>
                <w:sz w:val="21"/>
                <w:szCs w:val="21"/>
                <w:lang w:val="en-US" w:eastAsia="zh-CN"/>
              </w:rPr>
              <w:t>定子压圈、转子</w:t>
            </w:r>
            <w:r>
              <w:rPr>
                <w:rFonts w:hint="eastAsia" w:ascii="宋体" w:hAnsi="宋体" w:eastAsia="宋体" w:cs="宋体"/>
                <w:sz w:val="21"/>
                <w:szCs w:val="21"/>
              </w:rPr>
              <w:t>铸铝</w:t>
            </w:r>
            <w:r>
              <w:rPr>
                <w:rFonts w:hint="eastAsia" w:ascii="宋体" w:hAnsi="宋体" w:eastAsia="宋体" w:cs="宋体"/>
                <w:sz w:val="21"/>
                <w:szCs w:val="21"/>
                <w:lang w:val="en-US" w:eastAsia="zh-CN"/>
              </w:rPr>
              <w:t>件的生产和</w:t>
            </w:r>
            <w:r>
              <w:rPr>
                <w:rFonts w:hint="eastAsia" w:ascii="宋体" w:hAnsi="宋体" w:eastAsia="宋体" w:cs="宋体"/>
                <w:sz w:val="21"/>
                <w:szCs w:val="21"/>
              </w:rPr>
              <w:t>销售</w:t>
            </w:r>
            <w:r>
              <w:rPr>
                <w:rFonts w:hint="eastAsia" w:ascii="宋体" w:hAnsi="宋体" w:eastAsia="宋体" w:cs="宋体"/>
                <w:sz w:val="21"/>
                <w:szCs w:val="21"/>
                <w:lang w:val="en-US" w:eastAsia="zh-CN"/>
              </w:rPr>
              <w:t>及相关管理活动。</w:t>
            </w:r>
          </w:p>
          <w:p>
            <w:pPr>
              <w:pStyle w:val="17"/>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公司产品是顾客提供原材料、模具、产品图纸，由企业代加工，Q8.3条款不适用。</w:t>
            </w:r>
          </w:p>
          <w:p>
            <w:pPr>
              <w:pStyle w:val="17"/>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现场与总经理沟通并巡视现场：两个工房2002年建造，分别完成冲压件和</w:t>
            </w:r>
            <w:r>
              <w:rPr>
                <w:rFonts w:hint="eastAsia" w:ascii="宋体" w:hAnsi="宋体" w:eastAsia="宋体" w:cs="宋体"/>
                <w:sz w:val="21"/>
                <w:szCs w:val="21"/>
              </w:rPr>
              <w:t>铸铝</w:t>
            </w:r>
            <w:r>
              <w:rPr>
                <w:rFonts w:hint="eastAsia" w:ascii="宋体" w:hAnsi="宋体" w:eastAsia="宋体" w:cs="宋体"/>
                <w:sz w:val="21"/>
                <w:szCs w:val="21"/>
                <w:lang w:val="en-US" w:eastAsia="zh-CN"/>
              </w:rPr>
              <w:t>件压铸的工序，确定组织的管理体系范围无变化，基本适宜；</w:t>
            </w:r>
          </w:p>
          <w:p>
            <w:pPr>
              <w:pStyle w:val="17"/>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张振林总介绍了企业目前所处的内外部环境：提供了《组织内外部环境要素识别表》：内部因素：企业文化、公司价值观、企业知识、绩效、财务因素、资源因素、人力因素、运营因素相关因素</w:t>
            </w:r>
          </w:p>
          <w:p>
            <w:pPr>
              <w:pStyle w:val="17"/>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外部因素：政治因素、法律环境、经济环境、社会文化环境、技术环境、自然环境、竞争力，对上述因素进行了分析和评价。</w:t>
            </w:r>
          </w:p>
          <w:p>
            <w:pPr>
              <w:pStyle w:val="17"/>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张总介绍了公司的主要优势：</w:t>
            </w:r>
          </w:p>
          <w:p>
            <w:pPr>
              <w:pStyle w:val="17"/>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公司是南通通达矽钢冲压有限公司电动机铁芯配套加工零配件，主要产品成熟、客户为定点生产，客户稳定、基本无竞争企业、产品质量稳定、交货及时等保持良好，组织内员工均为当地附近员工，比较稳定； </w:t>
            </w:r>
          </w:p>
          <w:p>
            <w:pPr>
              <w:pStyle w:val="17"/>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2）公司工艺简单、生产人员都为熟练工。</w:t>
            </w:r>
          </w:p>
          <w:p>
            <w:pPr>
              <w:pStyle w:val="17"/>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3）公司目前原材料均客户采购，供方产品质量稳定，交货及时，信誉较好；</w:t>
            </w:r>
          </w:p>
          <w:p>
            <w:pPr>
              <w:pStyle w:val="17"/>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主要劣势：1）产品单一，依附总厂 ；2）员工文化水平较低、年龄偏大、接受新知识能力差等；</w:t>
            </w:r>
          </w:p>
          <w:p>
            <w:pPr>
              <w:pStyle w:val="17"/>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采取的措施：</w:t>
            </w:r>
          </w:p>
          <w:p>
            <w:pPr>
              <w:pStyle w:val="17"/>
              <w:numPr>
                <w:ilvl w:val="0"/>
                <w:numId w:val="1"/>
              </w:numPr>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加强客户服务，同时做好市场拓展工作，争取赢得更多的客户；</w:t>
            </w:r>
          </w:p>
          <w:p>
            <w:pPr>
              <w:pStyle w:val="17"/>
              <w:numPr>
                <w:ilvl w:val="0"/>
                <w:numId w:val="0"/>
              </w:numPr>
              <w:spacing w:line="360" w:lineRule="auto"/>
              <w:ind w:left="0" w:leftChars="0" w:firstLine="0" w:firstLineChars="0"/>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2）公司守法经营</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center"/>
          </w:tcPr>
          <w:p>
            <w:pPr>
              <w:pStyle w:val="17"/>
              <w:spacing w:line="360" w:lineRule="auto"/>
              <w:ind w:left="0" w:leftChars="0" w:firstLine="0" w:firstLineChars="0"/>
              <w:rPr>
                <w:rFonts w:hint="eastAsia" w:ascii="宋体" w:hAnsi="宋体" w:eastAsia="宋体" w:cs="宋体"/>
                <w:sz w:val="21"/>
                <w:szCs w:val="21"/>
                <w:lang w:val="en-US" w:eastAsia="zh-CN"/>
              </w:rPr>
            </w:pPr>
          </w:p>
          <w:p>
            <w:pPr>
              <w:pStyle w:val="17"/>
              <w:spacing w:line="360" w:lineRule="auto"/>
              <w:ind w:left="0" w:leftChars="0" w:firstLine="0" w:firstLineChars="0"/>
              <w:rPr>
                <w:rFonts w:hint="eastAsia" w:ascii="宋体" w:hAnsi="宋体" w:eastAsia="宋体" w:cs="宋体"/>
                <w:sz w:val="21"/>
                <w:szCs w:val="21"/>
                <w:lang w:val="en-US" w:eastAsia="zh-CN"/>
              </w:rPr>
            </w:pPr>
          </w:p>
          <w:p>
            <w:pPr>
              <w:pStyle w:val="17"/>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相关方的需求和期望</w:t>
            </w:r>
          </w:p>
          <w:p>
            <w:pPr>
              <w:spacing w:line="360" w:lineRule="auto"/>
              <w:jc w:val="left"/>
              <w:rPr>
                <w:rFonts w:hint="eastAsia" w:ascii="宋体" w:hAnsi="宋体" w:eastAsia="宋体" w:cs="宋体"/>
                <w:kern w:val="2"/>
                <w:sz w:val="21"/>
                <w:szCs w:val="21"/>
                <w:lang w:val="en-US" w:eastAsia="zh-CN" w:bidi="ar-SA"/>
              </w:rPr>
            </w:pPr>
          </w:p>
        </w:tc>
        <w:tc>
          <w:tcPr>
            <w:tcW w:w="1228" w:type="dxa"/>
            <w:vAlign w:val="center"/>
          </w:tcPr>
          <w:p>
            <w:pPr>
              <w:spacing w:line="360" w:lineRule="auto"/>
              <w:rPr>
                <w:rFonts w:hint="eastAsia" w:ascii="宋体" w:hAnsi="宋体" w:eastAsia="宋体" w:cs="宋体"/>
                <w:b w:val="0"/>
                <w:bCs/>
                <w:sz w:val="21"/>
                <w:szCs w:val="21"/>
              </w:rPr>
            </w:pPr>
          </w:p>
          <w:p>
            <w:pPr>
              <w:spacing w:line="360" w:lineRule="auto"/>
              <w:rPr>
                <w:rFonts w:hint="eastAsia" w:ascii="宋体" w:hAnsi="宋体" w:eastAsia="宋体" w:cs="宋体"/>
                <w:b w:val="0"/>
                <w:bCs/>
                <w:sz w:val="21"/>
                <w:szCs w:val="21"/>
              </w:rPr>
            </w:pPr>
          </w:p>
          <w:p>
            <w:pPr>
              <w:spacing w:line="360" w:lineRule="auto"/>
              <w:rPr>
                <w:rFonts w:hint="eastAsia" w:ascii="宋体" w:hAnsi="宋体" w:eastAsia="宋体" w:cs="宋体"/>
                <w:b w:val="0"/>
                <w:bCs/>
                <w:sz w:val="21"/>
                <w:szCs w:val="21"/>
              </w:rPr>
            </w:pPr>
          </w:p>
          <w:p>
            <w:pPr>
              <w:spacing w:line="360" w:lineRule="auto"/>
              <w:rPr>
                <w:rFonts w:hint="eastAsia" w:ascii="宋体" w:hAnsi="宋体" w:eastAsia="宋体" w:cs="宋体"/>
                <w:b w:val="0"/>
                <w:bCs/>
                <w:sz w:val="21"/>
                <w:szCs w:val="21"/>
              </w:rPr>
            </w:pPr>
          </w:p>
          <w:p>
            <w:pPr>
              <w:spacing w:line="360" w:lineRule="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Q4.2</w:t>
            </w:r>
          </w:p>
        </w:tc>
        <w:tc>
          <w:tcPr>
            <w:tcW w:w="10943" w:type="dxa"/>
            <w:vAlign w:val="center"/>
          </w:tcPr>
          <w:p>
            <w:pPr>
              <w:pStyle w:val="17"/>
              <w:spacing w:line="360"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提供《相关方期望或要求识别表》</w:t>
            </w: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编制人：冯霞</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表中分析了</w:t>
            </w:r>
            <w:r>
              <w:rPr>
                <w:rFonts w:hint="eastAsia" w:ascii="宋体" w:hAnsi="宋体" w:eastAsia="宋体" w:cs="宋体"/>
                <w:sz w:val="21"/>
                <w:szCs w:val="21"/>
              </w:rPr>
              <w:t>外部</w:t>
            </w:r>
            <w:r>
              <w:rPr>
                <w:rFonts w:hint="eastAsia" w:ascii="宋体" w:hAnsi="宋体" w:eastAsia="宋体" w:cs="宋体"/>
                <w:sz w:val="21"/>
                <w:szCs w:val="21"/>
                <w:lang w:eastAsia="zh-CN"/>
              </w:rPr>
              <w:t>：</w:t>
            </w:r>
            <w:r>
              <w:rPr>
                <w:rFonts w:hint="eastAsia" w:ascii="宋体" w:hAnsi="宋体" w:eastAsia="宋体" w:cs="宋体"/>
                <w:sz w:val="21"/>
                <w:szCs w:val="21"/>
              </w:rPr>
              <w:t>顾客</w:t>
            </w:r>
            <w:r>
              <w:rPr>
                <w:rFonts w:hint="eastAsia" w:ascii="宋体" w:hAnsi="宋体" w:eastAsia="宋体" w:cs="宋体"/>
                <w:sz w:val="21"/>
                <w:szCs w:val="21"/>
                <w:lang w:eastAsia="zh-CN"/>
              </w:rPr>
              <w:t>、</w:t>
            </w:r>
            <w:r>
              <w:rPr>
                <w:rFonts w:hint="eastAsia" w:ascii="宋体" w:hAnsi="宋体" w:eastAsia="宋体" w:cs="宋体"/>
                <w:sz w:val="21"/>
                <w:szCs w:val="21"/>
              </w:rPr>
              <w:t>供应商</w:t>
            </w:r>
            <w:r>
              <w:rPr>
                <w:rFonts w:hint="eastAsia" w:ascii="宋体" w:hAnsi="宋体" w:eastAsia="宋体" w:cs="宋体"/>
                <w:sz w:val="21"/>
                <w:szCs w:val="21"/>
                <w:lang w:eastAsia="zh-CN"/>
              </w:rPr>
              <w:t>、</w:t>
            </w:r>
            <w:r>
              <w:rPr>
                <w:rFonts w:hint="eastAsia" w:ascii="宋体" w:hAnsi="宋体" w:eastAsia="宋体" w:cs="宋体"/>
                <w:sz w:val="21"/>
                <w:szCs w:val="21"/>
              </w:rPr>
              <w:t>第三方认证服务机构</w:t>
            </w:r>
            <w:r>
              <w:rPr>
                <w:rFonts w:hint="eastAsia" w:ascii="宋体" w:hAnsi="宋体" w:eastAsia="宋体" w:cs="宋体"/>
                <w:sz w:val="21"/>
                <w:szCs w:val="21"/>
                <w:lang w:eastAsia="zh-CN"/>
              </w:rPr>
              <w:t>、</w:t>
            </w:r>
            <w:r>
              <w:rPr>
                <w:rFonts w:hint="eastAsia" w:ascii="宋体" w:hAnsi="宋体" w:eastAsia="宋体" w:cs="宋体"/>
                <w:sz w:val="21"/>
                <w:szCs w:val="21"/>
              </w:rPr>
              <w:t>政府机构</w:t>
            </w:r>
            <w:r>
              <w:rPr>
                <w:rFonts w:hint="eastAsia" w:ascii="宋体" w:hAnsi="宋体" w:eastAsia="宋体" w:cs="宋体"/>
                <w:sz w:val="21"/>
                <w:szCs w:val="21"/>
                <w:lang w:eastAsia="zh-CN"/>
              </w:rPr>
              <w:t>；</w:t>
            </w:r>
            <w:r>
              <w:rPr>
                <w:rFonts w:hint="eastAsia" w:ascii="宋体" w:hAnsi="宋体" w:eastAsia="宋体" w:cs="宋体"/>
                <w:sz w:val="21"/>
                <w:szCs w:val="21"/>
              </w:rPr>
              <w:t>内部</w:t>
            </w:r>
            <w:r>
              <w:rPr>
                <w:rFonts w:hint="eastAsia" w:ascii="宋体" w:hAnsi="宋体" w:eastAsia="宋体" w:cs="宋体"/>
                <w:sz w:val="21"/>
                <w:szCs w:val="21"/>
                <w:lang w:eastAsia="zh-CN"/>
              </w:rPr>
              <w:t>：</w:t>
            </w:r>
            <w:r>
              <w:rPr>
                <w:rFonts w:hint="eastAsia" w:ascii="宋体" w:hAnsi="宋体" w:eastAsia="宋体" w:cs="宋体"/>
                <w:sz w:val="21"/>
                <w:szCs w:val="21"/>
              </w:rPr>
              <w:t>最高管理者</w:t>
            </w:r>
            <w:r>
              <w:rPr>
                <w:rFonts w:hint="eastAsia" w:ascii="宋体" w:hAnsi="宋体" w:eastAsia="宋体" w:cs="宋体"/>
                <w:sz w:val="21"/>
                <w:szCs w:val="21"/>
                <w:lang w:eastAsia="zh-CN"/>
              </w:rPr>
              <w:t>、</w:t>
            </w:r>
            <w:r>
              <w:rPr>
                <w:rFonts w:hint="eastAsia" w:ascii="宋体" w:hAnsi="宋体" w:eastAsia="宋体" w:cs="宋体"/>
                <w:sz w:val="21"/>
                <w:szCs w:val="21"/>
              </w:rPr>
              <w:t>员工</w:t>
            </w:r>
            <w:r>
              <w:rPr>
                <w:rFonts w:hint="eastAsia" w:ascii="宋体" w:hAnsi="宋体" w:eastAsia="宋体" w:cs="宋体"/>
                <w:sz w:val="21"/>
                <w:szCs w:val="21"/>
                <w:lang w:val="en-US" w:eastAsia="zh-CN"/>
              </w:rPr>
              <w:t>等</w:t>
            </w:r>
            <w:r>
              <w:rPr>
                <w:rFonts w:hint="eastAsia" w:ascii="宋体" w:hAnsi="宋体" w:eastAsia="宋体" w:cs="宋体"/>
                <w:sz w:val="21"/>
                <w:szCs w:val="21"/>
              </w:rPr>
              <w:t>要求与期望</w:t>
            </w:r>
            <w:r>
              <w:rPr>
                <w:rFonts w:hint="eastAsia" w:ascii="宋体" w:hAnsi="宋体" w:eastAsia="宋体" w:cs="宋体"/>
                <w:sz w:val="21"/>
                <w:szCs w:val="21"/>
                <w:lang w:eastAsia="zh-CN"/>
              </w:rPr>
              <w:t>、</w:t>
            </w:r>
            <w:r>
              <w:rPr>
                <w:rFonts w:hint="eastAsia" w:ascii="宋体" w:hAnsi="宋体" w:eastAsia="宋体" w:cs="宋体"/>
                <w:sz w:val="21"/>
                <w:szCs w:val="21"/>
              </w:rPr>
              <w:t>监测指标或项目</w:t>
            </w:r>
            <w:r>
              <w:rPr>
                <w:rFonts w:hint="eastAsia" w:ascii="宋体" w:hAnsi="宋体" w:eastAsia="宋体" w:cs="宋体"/>
                <w:sz w:val="21"/>
                <w:szCs w:val="21"/>
                <w:lang w:eastAsia="zh-CN"/>
              </w:rPr>
              <w:t>、</w:t>
            </w:r>
            <w:r>
              <w:rPr>
                <w:rFonts w:hint="eastAsia" w:ascii="宋体" w:hAnsi="宋体" w:eastAsia="宋体" w:cs="宋体"/>
                <w:sz w:val="21"/>
                <w:szCs w:val="21"/>
              </w:rPr>
              <w:t>监测频率</w:t>
            </w:r>
            <w:r>
              <w:rPr>
                <w:rFonts w:hint="eastAsia" w:ascii="宋体" w:hAnsi="宋体" w:eastAsia="宋体" w:cs="宋体"/>
                <w:sz w:val="21"/>
                <w:szCs w:val="21"/>
                <w:lang w:eastAsia="zh-CN"/>
              </w:rPr>
              <w:t>、</w:t>
            </w:r>
            <w:r>
              <w:rPr>
                <w:rFonts w:hint="eastAsia" w:ascii="宋体" w:hAnsi="宋体" w:eastAsia="宋体" w:cs="宋体"/>
                <w:sz w:val="21"/>
                <w:szCs w:val="21"/>
              </w:rPr>
              <w:t>监测部门</w:t>
            </w:r>
            <w:r>
              <w:rPr>
                <w:rFonts w:hint="eastAsia" w:ascii="宋体" w:hAnsi="宋体" w:eastAsia="宋体" w:cs="宋体"/>
                <w:sz w:val="21"/>
                <w:szCs w:val="21"/>
                <w:lang w:eastAsia="zh-CN"/>
              </w:rPr>
              <w:t>。</w:t>
            </w:r>
          </w:p>
          <w:p>
            <w:pPr>
              <w:pStyle w:val="17"/>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顾客</w:t>
            </w:r>
            <w:r>
              <w:rPr>
                <w:rFonts w:hint="eastAsia" w:ascii="宋体" w:hAnsi="宋体" w:eastAsia="宋体" w:cs="宋体"/>
                <w:sz w:val="21"/>
                <w:szCs w:val="21"/>
                <w:lang w:val="en-US" w:eastAsia="zh-CN"/>
              </w:rPr>
              <w:t>的需求:产品质量符合顾客要求、及时交货、价格合理等。</w:t>
            </w:r>
            <w:r>
              <w:rPr>
                <w:rFonts w:hint="eastAsia" w:ascii="宋体" w:hAnsi="宋体" w:eastAsia="宋体" w:cs="宋体"/>
                <w:sz w:val="21"/>
                <w:szCs w:val="21"/>
              </w:rPr>
              <w:t>监测指标：单项项目交验合格率、合同履约率、顾客满意度等。</w:t>
            </w:r>
          </w:p>
          <w:p>
            <w:pPr>
              <w:pStyle w:val="17"/>
              <w:spacing w:line="360" w:lineRule="auto"/>
              <w:rPr>
                <w:rFonts w:hint="eastAsia" w:ascii="宋体" w:hAnsi="宋体" w:eastAsia="宋体" w:cs="宋体"/>
                <w:sz w:val="21"/>
                <w:szCs w:val="21"/>
              </w:rPr>
            </w:pPr>
            <w:r>
              <w:rPr>
                <w:rFonts w:hint="eastAsia" w:ascii="宋体" w:hAnsi="宋体" w:eastAsia="宋体" w:cs="宋体"/>
                <w:sz w:val="21"/>
                <w:szCs w:val="21"/>
              </w:rPr>
              <w:t>公司产品质量较好，按顾客要求进行生产，无交付后不合格的情况发生，服务周到及时、价格合理、交货及时，暂无重大客户投诉；</w:t>
            </w:r>
          </w:p>
          <w:p>
            <w:pPr>
              <w:pStyle w:val="17"/>
              <w:spacing w:line="360" w:lineRule="auto"/>
              <w:rPr>
                <w:rFonts w:hint="eastAsia" w:ascii="宋体" w:hAnsi="宋体" w:eastAsia="宋体" w:cs="宋体"/>
                <w:sz w:val="21"/>
                <w:szCs w:val="21"/>
              </w:rPr>
            </w:pPr>
            <w:r>
              <w:rPr>
                <w:rFonts w:hint="eastAsia" w:ascii="宋体" w:hAnsi="宋体" w:eastAsia="宋体" w:cs="宋体"/>
                <w:sz w:val="21"/>
                <w:szCs w:val="21"/>
              </w:rPr>
              <w:t>员工期望薪资、福利增加，提供培训机会。公司生产场所存在噪声、机械伤害、物体打击、高处堕落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烫伤</w:t>
            </w:r>
            <w:r>
              <w:rPr>
                <w:rFonts w:hint="eastAsia" w:ascii="宋体" w:hAnsi="宋体" w:eastAsia="宋体" w:cs="宋体"/>
                <w:sz w:val="21"/>
                <w:szCs w:val="21"/>
                <w:lang w:eastAsia="zh-CN"/>
              </w:rPr>
              <w:t>，</w:t>
            </w:r>
            <w:r>
              <w:rPr>
                <w:rFonts w:hint="eastAsia" w:ascii="宋体" w:hAnsi="宋体" w:eastAsia="宋体" w:cs="宋体"/>
                <w:sz w:val="21"/>
                <w:szCs w:val="21"/>
              </w:rPr>
              <w:t>给员工定期组织员工体检</w:t>
            </w:r>
            <w:r>
              <w:rPr>
                <w:rFonts w:hint="eastAsia" w:ascii="宋体" w:hAnsi="宋体" w:eastAsia="宋体" w:cs="宋体"/>
                <w:sz w:val="21"/>
                <w:szCs w:val="21"/>
                <w:lang w:eastAsia="zh-CN"/>
              </w:rPr>
              <w:t>、</w:t>
            </w:r>
            <w:r>
              <w:rPr>
                <w:rFonts w:hint="eastAsia" w:ascii="宋体" w:hAnsi="宋体" w:eastAsia="宋体" w:cs="宋体"/>
                <w:sz w:val="21"/>
                <w:szCs w:val="21"/>
              </w:rPr>
              <w:t xml:space="preserve">发放了劳保手套、口罩、耳塞等防护用品。另外工资按时发放等满足的员工的需求。 </w:t>
            </w:r>
          </w:p>
          <w:p>
            <w:pPr>
              <w:pStyle w:val="17"/>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供方期望长期合作、双赢。及时支付供方货款，与供方合作互利等满足了供应商的需求等，同时与供应商进行了信息交流，要求供方在产品生产加工过程中能遵守安全生产法的相关规定，控制好重要环境因素和不可接受风险；基本满足相关方的需求和期望。</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center"/>
          </w:tcPr>
          <w:p>
            <w:pPr>
              <w:spacing w:line="360" w:lineRule="auto"/>
              <w:jc w:val="left"/>
              <w:rPr>
                <w:rFonts w:hint="eastAsia" w:ascii="宋体" w:hAnsi="宋体" w:eastAsia="宋体" w:cs="宋体"/>
                <w:color w:val="000000"/>
                <w:spacing w:val="-4"/>
                <w:kern w:val="2"/>
                <w:sz w:val="21"/>
                <w:szCs w:val="21"/>
                <w:lang w:val="en-US" w:eastAsia="zh-CN" w:bidi="ar-SA"/>
              </w:rPr>
            </w:pPr>
            <w:r>
              <w:rPr>
                <w:rFonts w:hint="eastAsia" w:ascii="宋体" w:hAnsi="宋体" w:eastAsia="宋体" w:cs="宋体"/>
                <w:color w:val="000000"/>
                <w:sz w:val="21"/>
                <w:szCs w:val="21"/>
              </w:rPr>
              <w:t>管理体系及其过程、文件</w:t>
            </w:r>
          </w:p>
        </w:tc>
        <w:tc>
          <w:tcPr>
            <w:tcW w:w="1228" w:type="dxa"/>
            <w:vAlign w:val="center"/>
          </w:tcPr>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Q4.4</w:t>
            </w:r>
          </w:p>
          <w:p>
            <w:pPr>
              <w:snapToGrid w:val="0"/>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color w:val="000000"/>
                <w:sz w:val="21"/>
                <w:szCs w:val="21"/>
              </w:rPr>
              <w:t>S4.4.4</w:t>
            </w:r>
          </w:p>
        </w:tc>
        <w:tc>
          <w:tcPr>
            <w:tcW w:w="10943" w:type="dxa"/>
            <w:vAlign w:val="center"/>
          </w:tcPr>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依据GB/T9001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201</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《质量管理体系 要求》和GB/T28001-2011《职业健康安全管理体系  要求》标准的要求，编制了</w:t>
            </w:r>
            <w:r>
              <w:rPr>
                <w:rFonts w:hint="eastAsia" w:ascii="宋体" w:hAnsi="宋体" w:eastAsia="宋体" w:cs="宋体"/>
                <w:color w:val="000000"/>
                <w:sz w:val="21"/>
                <w:szCs w:val="21"/>
                <w:lang w:eastAsia="zh-CN"/>
              </w:rPr>
              <w:t>《文件和记录控制程序》</w:t>
            </w:r>
            <w:r>
              <w:rPr>
                <w:rFonts w:hint="eastAsia" w:ascii="宋体" w:hAnsi="宋体" w:eastAsia="宋体" w:cs="宋体"/>
                <w:color w:val="000000"/>
                <w:sz w:val="21"/>
                <w:szCs w:val="21"/>
              </w:rPr>
              <w:t>对文件信息的编制、标识、格式、审核、批准以及文件信息的分发、存储、防护、保留和处置等方面均做出了规定。</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企业</w:t>
            </w:r>
            <w:r>
              <w:rPr>
                <w:rFonts w:hint="eastAsia" w:ascii="宋体" w:hAnsi="宋体" w:eastAsia="宋体" w:cs="宋体"/>
                <w:color w:val="000000"/>
                <w:sz w:val="21"/>
                <w:szCs w:val="21"/>
              </w:rPr>
              <w:t>实施了管理手册、程序文件、三级文件，文件中包括了QS方针、目标,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r>
              <w:rPr>
                <w:rFonts w:hint="eastAsia" w:ascii="宋体" w:hAnsi="宋体" w:eastAsia="宋体" w:cs="宋体"/>
                <w:sz w:val="21"/>
                <w:szCs w:val="21"/>
              </w:rPr>
              <w:t>对于公司的外包过程进行了充分识别，就</w:t>
            </w:r>
            <w:r>
              <w:rPr>
                <w:rFonts w:hint="eastAsia" w:ascii="宋体" w:hAnsi="宋体" w:eastAsia="宋体" w:cs="宋体"/>
                <w:color w:val="000000"/>
                <w:sz w:val="21"/>
                <w:szCs w:val="21"/>
              </w:rPr>
              <w:t>公司目前生产运营情况，无外包过程。</w:t>
            </w:r>
          </w:p>
          <w:p>
            <w:pPr>
              <w:snapToGrid w:val="0"/>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公司文件适宜，符合公司规模、人员能力、过程及其相互作用的复杂程度。基本符合标准要求。</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领导作用及承诺</w:t>
            </w:r>
          </w:p>
          <w:p>
            <w:pPr>
              <w:spacing w:line="360" w:lineRule="auto"/>
              <w:jc w:val="left"/>
              <w:rPr>
                <w:rFonts w:hint="eastAsia" w:ascii="宋体" w:hAnsi="宋体" w:eastAsia="宋体" w:cs="宋体"/>
                <w:color w:val="000000"/>
                <w:spacing w:val="-4"/>
                <w:kern w:val="2"/>
                <w:sz w:val="21"/>
                <w:szCs w:val="21"/>
                <w:lang w:val="en-US" w:eastAsia="zh-CN" w:bidi="ar-SA"/>
              </w:rPr>
            </w:pPr>
          </w:p>
        </w:tc>
        <w:tc>
          <w:tcPr>
            <w:tcW w:w="1228" w:type="dxa"/>
            <w:vAlign w:val="center"/>
          </w:tcPr>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color w:val="000000"/>
                <w:spacing w:val="-4"/>
                <w:sz w:val="21"/>
                <w:szCs w:val="21"/>
              </w:rPr>
              <w:t>Q5.1</w:t>
            </w:r>
          </w:p>
        </w:tc>
        <w:tc>
          <w:tcPr>
            <w:tcW w:w="10943" w:type="dxa"/>
            <w:vAlign w:val="center"/>
          </w:tcPr>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公司总经理介绍通过以下方面证实其对质量管理体系的领导作用与承诺：公司总经理组织公司相关人员并制定了质量方针和质量目标，并与组织环境相一致，与组织的战略方向一致。</w:t>
            </w:r>
          </w:p>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利用会议、培训</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展板</w:t>
            </w:r>
            <w:r>
              <w:rPr>
                <w:rFonts w:hint="eastAsia" w:ascii="宋体" w:hAnsi="宋体" w:eastAsia="宋体" w:cs="宋体"/>
                <w:color w:val="000000"/>
                <w:sz w:val="21"/>
                <w:szCs w:val="21"/>
              </w:rPr>
              <w:t>等方式，对全体员工进行了法律法规的学习、意识的培训。从而提高了员工的法律意识、以顾客为中心的意识。</w:t>
            </w:r>
          </w:p>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根据总经理的谈话沟通，组织的质量管理体系要求已渐渐融入组织的业务过程中。</w:t>
            </w:r>
          </w:p>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组织已使用过程方法和基于风险的思维进行体系的运行。</w:t>
            </w:r>
          </w:p>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最高管理者针对体系的运行，提供了所需的资源。向全公司强调遵守法律法规、质量管理、符合质量管理体系的要求及达到顾客满意的重要性。</w:t>
            </w:r>
            <w:r>
              <w:rPr>
                <w:rFonts w:hint="eastAsia" w:ascii="宋体" w:hAnsi="宋体" w:eastAsia="宋体" w:cs="宋体"/>
                <w:sz w:val="21"/>
                <w:szCs w:val="21"/>
              </w:rPr>
              <w:t>形成制度化，把质量目标进行层层分解落实到各部门</w:t>
            </w:r>
            <w:r>
              <w:rPr>
                <w:rFonts w:hint="eastAsia" w:ascii="宋体" w:hAnsi="宋体" w:eastAsia="宋体" w:cs="宋体"/>
                <w:sz w:val="21"/>
                <w:szCs w:val="21"/>
                <w:lang w:eastAsia="zh-CN"/>
              </w:rPr>
              <w:t>。</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以顾客为关注焦点</w:t>
            </w:r>
          </w:p>
          <w:p>
            <w:pPr>
              <w:spacing w:line="360" w:lineRule="auto"/>
              <w:jc w:val="left"/>
              <w:rPr>
                <w:rFonts w:hint="eastAsia" w:ascii="宋体" w:hAnsi="宋体" w:eastAsia="宋体" w:cs="宋体"/>
                <w:color w:val="000000"/>
                <w:spacing w:val="-4"/>
                <w:kern w:val="2"/>
                <w:sz w:val="21"/>
                <w:szCs w:val="21"/>
                <w:lang w:val="en-US" w:eastAsia="zh-CN" w:bidi="ar-SA"/>
              </w:rPr>
            </w:pPr>
          </w:p>
        </w:tc>
        <w:tc>
          <w:tcPr>
            <w:tcW w:w="1228" w:type="dxa"/>
            <w:vAlign w:val="center"/>
          </w:tcPr>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color w:val="000000"/>
                <w:spacing w:val="-4"/>
                <w:sz w:val="21"/>
                <w:szCs w:val="21"/>
              </w:rPr>
              <w:t>Q5.1.2</w:t>
            </w:r>
          </w:p>
        </w:tc>
        <w:tc>
          <w:tcPr>
            <w:tcW w:w="10943" w:type="dxa"/>
            <w:vAlign w:val="center"/>
          </w:tcPr>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公司从业务咨询、方案制定、工期管理、交付等各个环节注重培养员工顾客满意的意识，领导对顾客满意比较关注，认识到没有顾客就没有公司的市场。</w:t>
            </w:r>
          </w:p>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公司在</w:t>
            </w:r>
            <w:r>
              <w:rPr>
                <w:rFonts w:hint="eastAsia" w:ascii="宋体" w:hAnsi="宋体" w:eastAsia="宋体" w:cs="宋体"/>
                <w:color w:val="000000"/>
                <w:sz w:val="21"/>
                <w:szCs w:val="21"/>
                <w:lang w:val="en-US" w:eastAsia="zh-CN"/>
              </w:rPr>
              <w:t>每年</w:t>
            </w:r>
            <w:r>
              <w:rPr>
                <w:rFonts w:hint="eastAsia" w:ascii="宋体" w:hAnsi="宋体" w:eastAsia="宋体" w:cs="宋体"/>
                <w:color w:val="000000"/>
                <w:sz w:val="21"/>
                <w:szCs w:val="21"/>
              </w:rPr>
              <w:t>，都进行评审，以确保能准确地确认客户的要求；同时跟踪相关法律法规及要求，要求每年制定满意度调查的计划，并按计划进行调查。</w:t>
            </w:r>
          </w:p>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公司要求每年进行一次顾客满意度的调查，以获取顾客对公司</w:t>
            </w:r>
            <w:r>
              <w:rPr>
                <w:rFonts w:hint="eastAsia" w:ascii="宋体" w:hAnsi="宋体" w:eastAsia="宋体" w:cs="宋体"/>
                <w:color w:val="000000"/>
                <w:sz w:val="21"/>
                <w:szCs w:val="21"/>
                <w:lang w:val="en-US" w:eastAsia="zh-CN"/>
              </w:rPr>
              <w:t>产品</w:t>
            </w:r>
            <w:r>
              <w:rPr>
                <w:rFonts w:hint="eastAsia" w:ascii="宋体" w:hAnsi="宋体" w:eastAsia="宋体" w:cs="宋体"/>
                <w:color w:val="000000"/>
                <w:sz w:val="21"/>
                <w:szCs w:val="21"/>
              </w:rPr>
              <w:t>及服务的满意程度信息，用以改进企业的质量或服务。</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hint="eastAsia" w:ascii="宋体" w:hAnsi="宋体" w:eastAsia="宋体" w:cs="宋体"/>
                <w:color w:val="000000"/>
                <w:spacing w:val="-4"/>
                <w:kern w:val="2"/>
                <w:sz w:val="21"/>
                <w:szCs w:val="21"/>
                <w:lang w:val="en-US" w:eastAsia="zh-CN" w:bidi="ar-SA"/>
              </w:rPr>
            </w:pPr>
            <w:r>
              <w:rPr>
                <w:rFonts w:hint="eastAsia" w:ascii="宋体" w:hAnsi="宋体" w:eastAsia="宋体" w:cs="宋体"/>
                <w:color w:val="000000"/>
                <w:spacing w:val="-4"/>
                <w:sz w:val="21"/>
                <w:szCs w:val="21"/>
              </w:rPr>
              <w:t>质量、职业健康安全方针的制定及沟通</w:t>
            </w:r>
          </w:p>
        </w:tc>
        <w:tc>
          <w:tcPr>
            <w:tcW w:w="1228" w:type="dxa"/>
            <w:vAlign w:val="center"/>
          </w:tcPr>
          <w:p>
            <w:pPr>
              <w:spacing w:line="360" w:lineRule="auto"/>
              <w:jc w:val="left"/>
              <w:rPr>
                <w:rFonts w:hint="eastAsia" w:ascii="宋体" w:hAnsi="宋体" w:eastAsia="宋体" w:cs="宋体"/>
                <w:color w:val="000000"/>
                <w:spacing w:val="-4"/>
                <w:sz w:val="21"/>
                <w:szCs w:val="21"/>
              </w:rPr>
            </w:pPr>
            <w:r>
              <w:rPr>
                <w:rFonts w:hint="eastAsia" w:ascii="宋体" w:hAnsi="宋体" w:eastAsia="宋体" w:cs="宋体"/>
                <w:color w:val="000000"/>
                <w:spacing w:val="-4"/>
                <w:sz w:val="21"/>
                <w:szCs w:val="21"/>
              </w:rPr>
              <w:t>Q:5.2   S:4.2</w:t>
            </w:r>
          </w:p>
          <w:p>
            <w:pPr>
              <w:spacing w:line="360" w:lineRule="auto"/>
              <w:rPr>
                <w:rFonts w:hint="eastAsia" w:ascii="宋体" w:hAnsi="宋体" w:eastAsia="宋体" w:cs="宋体"/>
                <w:b/>
                <w:kern w:val="2"/>
                <w:sz w:val="21"/>
                <w:szCs w:val="21"/>
                <w:lang w:val="en-US" w:eastAsia="zh-CN" w:bidi="ar-SA"/>
              </w:rPr>
            </w:pPr>
          </w:p>
        </w:tc>
        <w:tc>
          <w:tcPr>
            <w:tcW w:w="10943" w:type="dxa"/>
            <w:vAlign w:val="center"/>
          </w:tcPr>
          <w:p>
            <w:pPr>
              <w:snapToGrid w:val="0"/>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提供</w:t>
            </w:r>
            <w:r>
              <w:rPr>
                <w:rFonts w:hint="eastAsia" w:ascii="宋体" w:hAnsi="宋体" w:eastAsia="宋体" w:cs="宋体"/>
                <w:color w:val="000000"/>
                <w:sz w:val="21"/>
                <w:szCs w:val="21"/>
                <w:lang w:eastAsia="zh-CN"/>
              </w:rPr>
              <w:t>企业总经理批准了企业的管理方针“优质、高效、求实、创新”。</w:t>
            </w:r>
          </w:p>
          <w:p>
            <w:pPr>
              <w:snapToGrid w:val="0"/>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涵义：1．严格按GB/T 19001-2016/ISO 9001:2015和GB/T28001-2011标准和规范的要求，建立、保持和完善质量和职业健康安全管理体系。</w:t>
            </w:r>
          </w:p>
          <w:p>
            <w:pPr>
              <w:snapToGrid w:val="0"/>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2．严格遵守现行有关质量和职业健康安全的法律法规、本公司适用的行业规范及相关标准 ，诚信守约，接受各级监管机构的监督检查和社会监督。</w:t>
            </w:r>
          </w:p>
          <w:p>
            <w:pPr>
              <w:snapToGrid w:val="0"/>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3．严格控制生产过程，采用先进技术，强化企业管理；以一流的产品质量，诚信的用户服务，全方位的使顾客满意。</w:t>
            </w:r>
          </w:p>
          <w:p>
            <w:pPr>
              <w:snapToGrid w:val="0"/>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4．严格控制本公司材料物资的使用，节约能源和资源，致力于污染预防和持续改进。</w:t>
            </w:r>
          </w:p>
          <w:p>
            <w:pPr>
              <w:snapToGrid w:val="0"/>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5．倡导尊重人性的经营理念，以祈求每个人的幸福为己任。在控制工作场所所有危害因素的同时，严格防止一切劳动事故的发生，确保员工的职业健康安全。</w:t>
            </w:r>
          </w:p>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在手册发布会上向员工进行了宣讲，并分发到相关部门。</w:t>
            </w:r>
          </w:p>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询问管理者代表对质量、职业健康安全方针的理解基本一致，持续适宜</w:t>
            </w:r>
            <w:r>
              <w:rPr>
                <w:rFonts w:hint="eastAsia" w:ascii="宋体" w:hAnsi="宋体" w:eastAsia="宋体" w:cs="宋体"/>
                <w:color w:val="000000"/>
                <w:sz w:val="21"/>
                <w:szCs w:val="21"/>
                <w:lang w:eastAsia="zh-CN"/>
              </w:rPr>
              <w:t>开展宣传教育，不断增强员工的质量和职业健康安全意识，积极支持对公众提倡环保意识的活动。</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color w:val="000000"/>
                <w:spacing w:val="-4"/>
                <w:kern w:val="2"/>
                <w:sz w:val="21"/>
                <w:szCs w:val="21"/>
                <w:lang w:val="en-US" w:eastAsia="zh-CN" w:bidi="ar-SA"/>
              </w:rPr>
            </w:pPr>
            <w:r>
              <w:rPr>
                <w:rFonts w:hint="eastAsia" w:ascii="宋体" w:hAnsi="宋体" w:eastAsia="宋体" w:cs="宋体"/>
                <w:sz w:val="21"/>
                <w:szCs w:val="21"/>
              </w:rPr>
              <w:t>岗位、职责和权限</w:t>
            </w:r>
          </w:p>
        </w:tc>
        <w:tc>
          <w:tcPr>
            <w:tcW w:w="1228" w:type="dxa"/>
            <w:vAlign w:val="center"/>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5.3</w:t>
            </w:r>
          </w:p>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S4.4.1</w:t>
            </w:r>
          </w:p>
        </w:tc>
        <w:tc>
          <w:tcPr>
            <w:tcW w:w="10943" w:type="dxa"/>
            <w:vAlign w:val="center"/>
          </w:tcPr>
          <w:p>
            <w:pPr>
              <w:snapToGrid w:val="0"/>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公司在建立管理体系之初，对</w:t>
            </w:r>
            <w:r>
              <w:rPr>
                <w:rFonts w:hint="eastAsia" w:ascii="宋体" w:hAnsi="宋体" w:eastAsia="宋体" w:cs="宋体"/>
                <w:color w:val="000000"/>
                <w:sz w:val="21"/>
                <w:szCs w:val="21"/>
              </w:rPr>
              <w:t>各部门的职责权限进行了划分，质量手册中确定了公司组织机构图，</w:t>
            </w:r>
            <w:r>
              <w:rPr>
                <w:rFonts w:hint="eastAsia" w:ascii="宋体" w:hAnsi="宋体" w:eastAsia="宋体" w:cs="宋体"/>
                <w:color w:val="000000"/>
                <w:sz w:val="21"/>
                <w:szCs w:val="21"/>
                <w:lang w:eastAsia="zh-CN"/>
              </w:rPr>
              <w:t>管理层、综合部、</w:t>
            </w:r>
            <w:r>
              <w:rPr>
                <w:rFonts w:hint="eastAsia" w:ascii="宋体" w:hAnsi="宋体" w:eastAsia="宋体" w:cs="宋体"/>
                <w:color w:val="000000"/>
                <w:sz w:val="21"/>
                <w:szCs w:val="21"/>
                <w:lang w:val="en-US" w:eastAsia="zh-CN"/>
              </w:rPr>
              <w:t>生产技术</w:t>
            </w:r>
            <w:r>
              <w:rPr>
                <w:rFonts w:hint="eastAsia" w:ascii="宋体" w:hAnsi="宋体" w:eastAsia="宋体" w:cs="宋体"/>
                <w:color w:val="000000"/>
                <w:sz w:val="21"/>
                <w:szCs w:val="21"/>
                <w:lang w:eastAsia="zh-CN"/>
              </w:rPr>
              <w:t>部、供销部。对应每个部门有职能分配表</w:t>
            </w:r>
            <w:r>
              <w:rPr>
                <w:rFonts w:hint="eastAsia" w:ascii="宋体" w:hAnsi="宋体" w:eastAsia="宋体" w:cs="宋体"/>
                <w:color w:val="000000"/>
                <w:sz w:val="21"/>
                <w:szCs w:val="21"/>
                <w:lang w:val="en-US" w:eastAsia="zh-CN"/>
              </w:rPr>
              <w:t>对</w:t>
            </w:r>
            <w:r>
              <w:rPr>
                <w:rFonts w:hint="eastAsia" w:ascii="宋体" w:hAnsi="宋体" w:eastAsia="宋体" w:cs="宋体"/>
                <w:color w:val="000000"/>
                <w:sz w:val="21"/>
                <w:szCs w:val="21"/>
                <w:lang w:eastAsia="zh-CN"/>
              </w:rPr>
              <w:t>职责和权限进行了规定，质量体系负责人由管理者代表：</w:t>
            </w:r>
            <w:r>
              <w:rPr>
                <w:rFonts w:hint="eastAsia" w:ascii="宋体" w:hAnsi="宋体" w:eastAsia="宋体" w:cs="宋体"/>
                <w:color w:val="000000"/>
                <w:sz w:val="21"/>
                <w:szCs w:val="21"/>
                <w:lang w:val="en-US" w:eastAsia="zh-CN"/>
              </w:rPr>
              <w:t>冯霞</w:t>
            </w:r>
            <w:r>
              <w:rPr>
                <w:rFonts w:hint="eastAsia" w:ascii="宋体" w:hAnsi="宋体" w:eastAsia="宋体" w:cs="宋体"/>
                <w:color w:val="000000"/>
                <w:sz w:val="21"/>
                <w:szCs w:val="21"/>
                <w:lang w:eastAsia="zh-CN"/>
              </w:rPr>
              <w:t>负责，各部门基本清楚其职责，文件描述职责与实际基本符合。</w:t>
            </w:r>
          </w:p>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lang w:eastAsia="zh-CN"/>
              </w:rPr>
              <w:t>员工职业健康安全事务代表</w:t>
            </w:r>
            <w:r>
              <w:rPr>
                <w:rFonts w:hint="eastAsia" w:ascii="宋体" w:hAnsi="宋体" w:eastAsia="宋体" w:cs="宋体"/>
                <w:color w:val="000000"/>
                <w:sz w:val="21"/>
                <w:szCs w:val="21"/>
                <w:lang w:val="en-US" w:eastAsia="zh-CN"/>
              </w:rPr>
              <w:t>杨云，</w:t>
            </w:r>
            <w:r>
              <w:rPr>
                <w:rFonts w:hint="eastAsia" w:ascii="宋体" w:hAnsi="宋体" w:eastAsia="宋体" w:cs="宋体"/>
                <w:color w:val="000000"/>
                <w:sz w:val="21"/>
                <w:szCs w:val="21"/>
                <w:lang w:eastAsia="zh-CN"/>
              </w:rPr>
              <w:t>其职责和权限规定如下：贯彻国家、地方政府和公司有关职业健康安全的方针、政策并监督执行，充分发挥员工在职业健康安全工作中的监督作用；参与企业职业健康安全搞好安全生产竞赛活动，培训员工职业健康安全意识，提高员工遵章守纪和自防自救能力；参加重大事故的调查处理，协助做好员工伤亡事故的善后工作；督促企业职业健康安全工作的贯彻执行，关心员工劳动条件的改善，做好女工劳动保护工作。</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hint="eastAsia" w:ascii="宋体" w:hAnsi="宋体" w:eastAsia="宋体" w:cs="宋体"/>
                <w:color w:val="000000"/>
                <w:spacing w:val="-4"/>
                <w:kern w:val="2"/>
                <w:sz w:val="21"/>
                <w:szCs w:val="21"/>
                <w:lang w:val="en-US" w:eastAsia="zh-CN" w:bidi="ar-SA"/>
              </w:rPr>
            </w:pPr>
            <w:r>
              <w:rPr>
                <w:rFonts w:hint="eastAsia" w:ascii="宋体" w:hAnsi="宋体" w:eastAsia="宋体" w:cs="宋体"/>
                <w:sz w:val="21"/>
                <w:szCs w:val="21"/>
              </w:rPr>
              <w:t>风险的策划及应对措施</w:t>
            </w:r>
          </w:p>
        </w:tc>
        <w:tc>
          <w:tcPr>
            <w:tcW w:w="1228" w:type="dxa"/>
            <w:vAlign w:val="center"/>
          </w:tcPr>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color w:val="000000"/>
                <w:sz w:val="21"/>
                <w:szCs w:val="21"/>
              </w:rPr>
              <w:t>Q</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6.1</w:t>
            </w:r>
          </w:p>
        </w:tc>
        <w:tc>
          <w:tcPr>
            <w:tcW w:w="10943" w:type="dxa"/>
            <w:vAlign w:val="center"/>
          </w:tcPr>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公司策划并批准实施《风险和机遇评估分析表》，内容包括风险类型、风险因素、应对机遇及措施、现行控制方法、涉及的场所及部门等；</w:t>
            </w:r>
          </w:p>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查见《风险和机遇评估分析表》：</w:t>
            </w:r>
          </w:p>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类型：外部因素；</w:t>
            </w:r>
          </w:p>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类别：竞争风险：公司目前在市场占有率和领先趋势比较明显，但竞争对手正在模仿公司的发展方式，影响公司的领先优势。机遇：竞争加剧，发展压力大，但也会带来新的发展机遇。</w:t>
            </w:r>
          </w:p>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应对机遇及措施：及时关注公司市场的情况，收集信息及时调整，保持公司产品的竞争力。</w:t>
            </w:r>
          </w:p>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针对外部因素，还分析了市场、文化、社会经济、法律法规的变化等。</w:t>
            </w:r>
          </w:p>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类型：内部因素；</w:t>
            </w:r>
          </w:p>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类别：人力资源风险：公司目前人员，特别是优秀人才被外单位吸引离开的情况还是存在，人员在素质上参差不齐，会对工作完成质量造成不好的影响。      </w:t>
            </w:r>
          </w:p>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机遇：公司目前主要人员比较稳定，各项绩效能顺利开展，为公司发展提供一个比较好的基础。</w:t>
            </w:r>
          </w:p>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应对机遇及措施：各部门应及时关注员工的心态变化，注意工作方式，创造良好的工作环境，提高员工的归属感。</w:t>
            </w:r>
          </w:p>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针对内部部因素，还分析了财务状况、人力资源、基础设施等。</w:t>
            </w:r>
          </w:p>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应对风险和机遇的措施与其对于产品和服务符合性的潜在影响相适应。</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hint="eastAsia" w:ascii="宋体" w:hAnsi="宋体" w:eastAsia="宋体" w:cs="宋体"/>
                <w:color w:val="000000" w:themeColor="text1"/>
                <w:spacing w:val="-4"/>
                <w:kern w:val="2"/>
                <w:sz w:val="21"/>
                <w:szCs w:val="21"/>
                <w:lang w:val="en-US" w:eastAsia="zh-CN" w:bidi="ar-SA"/>
              </w:rPr>
            </w:pPr>
            <w:r>
              <w:rPr>
                <w:rFonts w:hint="eastAsia" w:ascii="宋体" w:hAnsi="宋体" w:eastAsia="宋体" w:cs="宋体"/>
                <w:color w:val="000000" w:themeColor="text1"/>
                <w:sz w:val="21"/>
                <w:szCs w:val="21"/>
              </w:rPr>
              <w:t>质量、环境、职业健康安全目标、指标、管理方案及测量情况</w:t>
            </w:r>
          </w:p>
        </w:tc>
        <w:tc>
          <w:tcPr>
            <w:tcW w:w="1228" w:type="dxa"/>
            <w:vAlign w:val="center"/>
          </w:tcPr>
          <w:p>
            <w:pPr>
              <w:spacing w:line="36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Q</w:t>
            </w:r>
            <w:r>
              <w:rPr>
                <w:rFonts w:hint="eastAsia" w:ascii="宋体" w:hAnsi="宋体" w:eastAsia="宋体" w:cs="宋体"/>
                <w:color w:val="000000" w:themeColor="text1"/>
                <w:sz w:val="21"/>
                <w:szCs w:val="21"/>
                <w:lang w:val="en-US" w:eastAsia="zh-CN"/>
              </w:rPr>
              <w:t xml:space="preserve"> </w:t>
            </w:r>
            <w:r>
              <w:rPr>
                <w:rFonts w:hint="eastAsia" w:ascii="宋体" w:hAnsi="宋体" w:eastAsia="宋体" w:cs="宋体"/>
                <w:color w:val="000000" w:themeColor="text1"/>
                <w:sz w:val="21"/>
                <w:szCs w:val="21"/>
              </w:rPr>
              <w:t>6.2</w:t>
            </w:r>
          </w:p>
          <w:p>
            <w:pPr>
              <w:spacing w:line="36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S4.3.3</w:t>
            </w:r>
          </w:p>
          <w:p>
            <w:pPr>
              <w:spacing w:line="360" w:lineRule="auto"/>
              <w:rPr>
                <w:rFonts w:hint="eastAsia" w:ascii="宋体" w:hAnsi="宋体" w:eastAsia="宋体" w:cs="宋体"/>
                <w:b/>
                <w:color w:val="000000" w:themeColor="text1"/>
                <w:kern w:val="2"/>
                <w:sz w:val="21"/>
                <w:szCs w:val="21"/>
                <w:lang w:val="en-US" w:eastAsia="zh-CN" w:bidi="ar-SA"/>
              </w:rPr>
            </w:pPr>
          </w:p>
        </w:tc>
        <w:tc>
          <w:tcPr>
            <w:tcW w:w="10943" w:type="dxa"/>
            <w:vAlign w:val="center"/>
          </w:tcPr>
          <w:p>
            <w:pPr>
              <w:spacing w:line="36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公司的质量目标为：</w:t>
            </w:r>
          </w:p>
          <w:p>
            <w:pPr>
              <w:pStyle w:val="3"/>
              <w:spacing w:line="360" w:lineRule="auto"/>
              <w:rPr>
                <w:rFonts w:hint="eastAsia" w:ascii="宋体" w:hAnsi="宋体" w:eastAsia="宋体" w:cs="宋体"/>
                <w:color w:val="000000" w:themeColor="text1"/>
                <w:sz w:val="21"/>
                <w:szCs w:val="21"/>
              </w:rPr>
            </w:pPr>
            <w:r>
              <w:rPr>
                <w:rFonts w:hint="eastAsia" w:ascii="宋体" w:hAnsi="宋体" w:eastAsia="宋体" w:cs="宋体"/>
                <w:snapToGrid w:val="0"/>
                <w:color w:val="000000" w:themeColor="text1"/>
                <w:sz w:val="21"/>
                <w:szCs w:val="21"/>
              </w:rPr>
              <w:t>目      标</w:t>
            </w:r>
          </w:p>
          <w:p>
            <w:pPr>
              <w:pStyle w:val="3"/>
              <w:spacing w:line="360" w:lineRule="auto"/>
              <w:ind w:left="0" w:leftChars="0" w:firstLine="0" w:firstLineChars="0"/>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val="en-US" w:eastAsia="zh-CN"/>
              </w:rPr>
              <w:t>1、</w:t>
            </w:r>
            <w:r>
              <w:rPr>
                <w:rFonts w:hint="eastAsia" w:ascii="宋体" w:hAnsi="宋体" w:eastAsia="宋体" w:cs="宋体"/>
                <w:color w:val="000000" w:themeColor="text1"/>
                <w:sz w:val="21"/>
                <w:szCs w:val="21"/>
              </w:rPr>
              <w:t>产品一次交验合格率≥98%</w:t>
            </w:r>
            <w:r>
              <w:rPr>
                <w:rFonts w:hint="eastAsia" w:ascii="宋体" w:hAnsi="宋体" w:eastAsia="宋体" w:cs="宋体"/>
                <w:color w:val="000000" w:themeColor="text1"/>
                <w:sz w:val="21"/>
                <w:szCs w:val="21"/>
                <w:lang w:eastAsia="zh-CN"/>
              </w:rPr>
              <w:t>；</w:t>
            </w:r>
          </w:p>
          <w:p>
            <w:pPr>
              <w:pStyle w:val="3"/>
              <w:spacing w:line="360" w:lineRule="auto"/>
              <w:ind w:left="0" w:leftChars="0" w:firstLine="0" w:firstLineChars="0"/>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val="en-US" w:eastAsia="zh-CN"/>
              </w:rPr>
              <w:t>2、</w:t>
            </w:r>
            <w:r>
              <w:rPr>
                <w:rFonts w:hint="eastAsia" w:ascii="宋体" w:hAnsi="宋体" w:eastAsia="宋体" w:cs="宋体"/>
                <w:color w:val="000000" w:themeColor="text1"/>
                <w:sz w:val="21"/>
                <w:szCs w:val="21"/>
              </w:rPr>
              <w:t>顾客满意率≥95%</w:t>
            </w:r>
            <w:r>
              <w:rPr>
                <w:rFonts w:hint="eastAsia" w:ascii="宋体" w:hAnsi="宋体" w:eastAsia="宋体" w:cs="宋体"/>
                <w:color w:val="000000" w:themeColor="text1"/>
                <w:sz w:val="21"/>
                <w:szCs w:val="21"/>
                <w:lang w:eastAsia="zh-CN"/>
              </w:rPr>
              <w:t>；</w:t>
            </w:r>
          </w:p>
          <w:p>
            <w:pPr>
              <w:pStyle w:val="3"/>
              <w:spacing w:line="360" w:lineRule="auto"/>
              <w:ind w:left="0" w:leftChars="0" w:firstLine="0" w:firstLineChars="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3、</w:t>
            </w:r>
            <w:r>
              <w:rPr>
                <w:rFonts w:hint="eastAsia" w:ascii="宋体" w:hAnsi="宋体" w:eastAsia="宋体" w:cs="宋体"/>
                <w:color w:val="000000" w:themeColor="text1"/>
                <w:sz w:val="21"/>
                <w:szCs w:val="21"/>
              </w:rPr>
              <w:t>火灾爆炸事件</w:t>
            </w:r>
            <w:r>
              <w:rPr>
                <w:rFonts w:hint="eastAsia" w:ascii="宋体" w:hAnsi="宋体" w:eastAsia="宋体" w:cs="宋体"/>
                <w:color w:val="000000" w:themeColor="text1"/>
                <w:sz w:val="21"/>
                <w:szCs w:val="21"/>
                <w:lang w:val="en-US" w:eastAsia="zh-CN"/>
              </w:rPr>
              <w:t>0；</w:t>
            </w:r>
          </w:p>
          <w:p>
            <w:pPr>
              <w:pStyle w:val="3"/>
              <w:spacing w:line="360" w:lineRule="auto"/>
              <w:ind w:left="0" w:leftChars="0" w:firstLine="0" w:firstLineChars="0"/>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val="en-US" w:eastAsia="zh-CN"/>
              </w:rPr>
              <w:t>4、</w:t>
            </w:r>
            <w:r>
              <w:rPr>
                <w:rFonts w:hint="eastAsia" w:ascii="宋体" w:hAnsi="宋体" w:eastAsia="宋体" w:cs="宋体"/>
                <w:color w:val="000000" w:themeColor="text1"/>
                <w:sz w:val="21"/>
                <w:szCs w:val="21"/>
              </w:rPr>
              <w:t>年度安全隐患处置率100%</w:t>
            </w:r>
            <w:r>
              <w:rPr>
                <w:rFonts w:hint="eastAsia" w:ascii="宋体" w:hAnsi="宋体" w:eastAsia="宋体" w:cs="宋体"/>
                <w:color w:val="000000" w:themeColor="text1"/>
                <w:sz w:val="21"/>
                <w:szCs w:val="21"/>
                <w:lang w:eastAsia="zh-CN"/>
              </w:rPr>
              <w:t>；</w:t>
            </w:r>
          </w:p>
          <w:p>
            <w:pPr>
              <w:pStyle w:val="3"/>
              <w:spacing w:line="360" w:lineRule="auto"/>
              <w:ind w:left="0" w:leftChars="0" w:firstLine="0" w:firstLineChars="0"/>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val="en-US" w:eastAsia="zh-CN"/>
              </w:rPr>
              <w:t>5、</w:t>
            </w:r>
            <w:r>
              <w:rPr>
                <w:rFonts w:hint="eastAsia" w:ascii="宋体" w:hAnsi="宋体" w:eastAsia="宋体" w:cs="宋体"/>
                <w:color w:val="000000" w:themeColor="text1"/>
                <w:sz w:val="21"/>
                <w:szCs w:val="21"/>
              </w:rPr>
              <w:t>劳动防护措施用品合理配置、正确使用率100%</w:t>
            </w:r>
            <w:r>
              <w:rPr>
                <w:rFonts w:hint="eastAsia" w:ascii="宋体" w:hAnsi="宋体" w:eastAsia="宋体" w:cs="宋体"/>
                <w:color w:val="000000" w:themeColor="text1"/>
                <w:sz w:val="21"/>
                <w:szCs w:val="21"/>
                <w:lang w:eastAsia="zh-CN"/>
              </w:rPr>
              <w:t>；</w:t>
            </w:r>
          </w:p>
          <w:p>
            <w:pPr>
              <w:pStyle w:val="3"/>
              <w:spacing w:line="360" w:lineRule="auto"/>
              <w:ind w:left="0" w:leftChars="0" w:firstLine="0" w:firstLineChars="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6、</w:t>
            </w:r>
            <w:r>
              <w:rPr>
                <w:rFonts w:hint="eastAsia" w:ascii="宋体" w:hAnsi="宋体" w:eastAsia="宋体" w:cs="宋体"/>
                <w:color w:val="000000" w:themeColor="text1"/>
                <w:sz w:val="21"/>
                <w:szCs w:val="21"/>
              </w:rPr>
              <w:t>年度职工工伤死亡率</w:t>
            </w:r>
            <w:r>
              <w:rPr>
                <w:rFonts w:hint="eastAsia" w:ascii="宋体" w:hAnsi="宋体" w:eastAsia="宋体" w:cs="宋体"/>
                <w:color w:val="000000" w:themeColor="text1"/>
                <w:sz w:val="21"/>
                <w:szCs w:val="21"/>
                <w:lang w:val="en-US" w:eastAsia="zh-CN"/>
              </w:rPr>
              <w:t>0；</w:t>
            </w:r>
          </w:p>
          <w:p>
            <w:pPr>
              <w:pStyle w:val="3"/>
              <w:spacing w:line="360" w:lineRule="auto"/>
              <w:ind w:left="0" w:leftChars="0" w:firstLine="0" w:firstLineChars="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7、</w:t>
            </w:r>
            <w:r>
              <w:rPr>
                <w:rFonts w:hint="eastAsia" w:ascii="宋体" w:hAnsi="宋体" w:eastAsia="宋体" w:cs="宋体"/>
                <w:color w:val="000000" w:themeColor="text1"/>
                <w:sz w:val="21"/>
                <w:szCs w:val="21"/>
              </w:rPr>
              <w:t>年度职工因工重伤率</w:t>
            </w:r>
            <w:r>
              <w:rPr>
                <w:rFonts w:hint="eastAsia" w:ascii="宋体" w:hAnsi="宋体" w:eastAsia="宋体" w:cs="宋体"/>
                <w:color w:val="000000" w:themeColor="text1"/>
                <w:sz w:val="21"/>
                <w:szCs w:val="21"/>
                <w:lang w:val="en-US" w:eastAsia="zh-CN"/>
              </w:rPr>
              <w:t>0；</w:t>
            </w:r>
          </w:p>
          <w:p>
            <w:pPr>
              <w:pStyle w:val="3"/>
              <w:spacing w:line="360" w:lineRule="auto"/>
              <w:ind w:left="0" w:leftChars="0"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8、</w:t>
            </w:r>
            <w:r>
              <w:rPr>
                <w:rFonts w:hint="eastAsia" w:ascii="宋体" w:hAnsi="宋体" w:eastAsia="宋体" w:cs="宋体"/>
                <w:color w:val="000000" w:themeColor="text1"/>
                <w:sz w:val="21"/>
                <w:szCs w:val="21"/>
              </w:rPr>
              <w:t>年度职工轻伤发生次数</w:t>
            </w:r>
            <w:r>
              <w:rPr>
                <w:rFonts w:hint="eastAsia" w:ascii="宋体" w:hAnsi="宋体" w:eastAsia="宋体" w:cs="宋体"/>
                <w:color w:val="000000" w:themeColor="text1"/>
                <w:sz w:val="21"/>
                <w:szCs w:val="21"/>
                <w:lang w:val="en-US" w:eastAsia="zh-CN"/>
              </w:rPr>
              <w:t>≤12；</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公司的上述质量</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职业健康安全目标与公司的质量职业健康安全方针保持了一致，包括了满足产品要求所需要的内容，可以测量。</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经核查，公司已将质量目标分解到各职能部门，制订了各部门的质量目标，基本能结合各部门工作实际，符合要求。</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查《目标考核表》20</w:t>
            </w:r>
            <w:r>
              <w:rPr>
                <w:rFonts w:hint="eastAsia" w:ascii="宋体" w:hAnsi="宋体" w:eastAsia="宋体" w:cs="宋体"/>
                <w:color w:val="000000" w:themeColor="text1"/>
                <w:sz w:val="21"/>
                <w:szCs w:val="21"/>
                <w:lang w:val="en-US" w:eastAsia="zh-CN"/>
              </w:rPr>
              <w:t>20</w:t>
            </w:r>
            <w:r>
              <w:rPr>
                <w:rFonts w:hint="eastAsia" w:ascii="宋体" w:hAnsi="宋体" w:eastAsia="宋体" w:cs="宋体"/>
                <w:color w:val="000000" w:themeColor="text1"/>
                <w:sz w:val="21"/>
                <w:szCs w:val="21"/>
              </w:rPr>
              <w:t>年</w:t>
            </w:r>
            <w:r>
              <w:rPr>
                <w:rFonts w:hint="eastAsia" w:ascii="宋体" w:hAnsi="宋体" w:eastAsia="宋体" w:cs="宋体"/>
                <w:color w:val="000000" w:themeColor="text1"/>
                <w:sz w:val="21"/>
                <w:szCs w:val="21"/>
                <w:lang w:val="en-US" w:eastAsia="zh-CN"/>
              </w:rPr>
              <w:t>1</w:t>
            </w:r>
            <w:r>
              <w:rPr>
                <w:rFonts w:hint="eastAsia" w:ascii="宋体" w:hAnsi="宋体" w:eastAsia="宋体" w:cs="宋体"/>
                <w:color w:val="000000" w:themeColor="text1"/>
                <w:sz w:val="21"/>
                <w:szCs w:val="21"/>
              </w:rPr>
              <w:t>月</w:t>
            </w:r>
            <w:r>
              <w:rPr>
                <w:rFonts w:hint="eastAsia" w:ascii="宋体" w:hAnsi="宋体" w:eastAsia="宋体" w:cs="宋体"/>
                <w:color w:val="000000" w:themeColor="text1"/>
                <w:sz w:val="21"/>
                <w:szCs w:val="21"/>
                <w:lang w:val="en-US" w:eastAsia="zh-CN"/>
              </w:rPr>
              <w:t>5日</w:t>
            </w:r>
            <w:r>
              <w:rPr>
                <w:rFonts w:hint="eastAsia" w:ascii="宋体" w:hAnsi="宋体" w:eastAsia="宋体" w:cs="宋体"/>
                <w:color w:val="000000" w:themeColor="text1"/>
                <w:sz w:val="21"/>
                <w:szCs w:val="21"/>
              </w:rPr>
              <w:t>对目标进行考核，考核情况为：</w:t>
            </w:r>
          </w:p>
          <w:p>
            <w:pPr>
              <w:pStyle w:val="2"/>
              <w:rPr>
                <w:rFonts w:hint="eastAsia"/>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3"/>
              <w:gridCol w:w="1360"/>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213" w:type="dxa"/>
                  <w:noWrap w:val="0"/>
                  <w:vAlign w:val="center"/>
                </w:tcPr>
                <w:p>
                  <w:pPr>
                    <w:spacing w:line="360" w:lineRule="auto"/>
                    <w:jc w:val="center"/>
                    <w:rPr>
                      <w:rFonts w:hint="eastAsia" w:ascii="宋体" w:hAnsi="宋体" w:eastAsia="宋体" w:cs="宋体"/>
                      <w:snapToGrid w:val="0"/>
                      <w:color w:val="000000" w:themeColor="text1"/>
                      <w:sz w:val="21"/>
                      <w:szCs w:val="21"/>
                    </w:rPr>
                  </w:pPr>
                  <w:r>
                    <w:rPr>
                      <w:rFonts w:hint="eastAsia" w:ascii="宋体" w:hAnsi="宋体" w:eastAsia="宋体" w:cs="宋体"/>
                      <w:snapToGrid w:val="0"/>
                      <w:color w:val="000000" w:themeColor="text1"/>
                      <w:sz w:val="21"/>
                      <w:szCs w:val="21"/>
                    </w:rPr>
                    <w:t>目      标</w:t>
                  </w:r>
                </w:p>
              </w:tc>
              <w:tc>
                <w:tcPr>
                  <w:tcW w:w="1360" w:type="dxa"/>
                  <w:noWrap w:val="0"/>
                  <w:vAlign w:val="center"/>
                </w:tcPr>
                <w:p>
                  <w:pPr>
                    <w:spacing w:line="360" w:lineRule="auto"/>
                    <w:jc w:val="center"/>
                    <w:rPr>
                      <w:rFonts w:hint="eastAsia" w:ascii="宋体" w:hAnsi="宋体" w:eastAsia="宋体" w:cs="宋体"/>
                      <w:snapToGrid w:val="0"/>
                      <w:color w:val="000000" w:themeColor="text1"/>
                      <w:sz w:val="21"/>
                      <w:szCs w:val="21"/>
                    </w:rPr>
                  </w:pPr>
                  <w:r>
                    <w:rPr>
                      <w:rFonts w:hint="eastAsia" w:ascii="宋体" w:hAnsi="宋体" w:eastAsia="宋体" w:cs="宋体"/>
                      <w:snapToGrid w:val="0"/>
                      <w:color w:val="000000" w:themeColor="text1"/>
                      <w:sz w:val="21"/>
                      <w:szCs w:val="21"/>
                    </w:rPr>
                    <w:t>指     标</w:t>
                  </w:r>
                </w:p>
              </w:tc>
              <w:tc>
                <w:tcPr>
                  <w:tcW w:w="1821" w:type="dxa"/>
                  <w:noWrap w:val="0"/>
                  <w:vAlign w:val="center"/>
                </w:tcPr>
                <w:p>
                  <w:pPr>
                    <w:spacing w:line="360" w:lineRule="auto"/>
                    <w:jc w:val="center"/>
                    <w:rPr>
                      <w:rFonts w:hint="eastAsia" w:ascii="宋体" w:hAnsi="宋体" w:eastAsia="宋体" w:cs="宋体"/>
                      <w:snapToGrid w:val="0"/>
                      <w:color w:val="000000" w:themeColor="text1"/>
                      <w:sz w:val="21"/>
                      <w:szCs w:val="21"/>
                    </w:rPr>
                  </w:pPr>
                  <w:r>
                    <w:rPr>
                      <w:rFonts w:hint="eastAsia" w:ascii="宋体" w:hAnsi="宋体" w:eastAsia="宋体" w:cs="宋体"/>
                      <w:color w:val="000000" w:themeColor="text1"/>
                      <w:kern w:val="2"/>
                      <w:sz w:val="21"/>
                      <w:szCs w:val="21"/>
                    </w:rPr>
                    <w:t>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213" w:type="dxa"/>
                  <w:noWrap w:val="0"/>
                  <w:vAlign w:val="center"/>
                </w:tcPr>
                <w:p>
                  <w:pPr>
                    <w:spacing w:line="360" w:lineRule="auto"/>
                    <w:rPr>
                      <w:rFonts w:hint="eastAsia" w:ascii="宋体" w:hAnsi="宋体" w:eastAsia="宋体" w:cs="宋体"/>
                      <w:snapToGrid w:val="0"/>
                      <w:color w:val="000000" w:themeColor="text1"/>
                      <w:sz w:val="21"/>
                      <w:szCs w:val="21"/>
                    </w:rPr>
                  </w:pPr>
                  <w:r>
                    <w:rPr>
                      <w:rFonts w:hint="eastAsia" w:ascii="宋体" w:hAnsi="宋体" w:eastAsia="宋体" w:cs="宋体"/>
                      <w:color w:val="000000" w:themeColor="text1"/>
                      <w:sz w:val="21"/>
                      <w:szCs w:val="21"/>
                    </w:rPr>
                    <w:t>产品一次交验合格率</w:t>
                  </w:r>
                </w:p>
              </w:tc>
              <w:tc>
                <w:tcPr>
                  <w:tcW w:w="1360" w:type="dxa"/>
                  <w:noWrap w:val="0"/>
                  <w:vAlign w:val="center"/>
                </w:tcPr>
                <w:p>
                  <w:pPr>
                    <w:spacing w:line="360" w:lineRule="auto"/>
                    <w:rPr>
                      <w:rFonts w:hint="eastAsia" w:ascii="宋体" w:hAnsi="宋体" w:eastAsia="宋体" w:cs="宋体"/>
                      <w:snapToGrid w:val="0"/>
                      <w:color w:val="000000" w:themeColor="text1"/>
                      <w:sz w:val="21"/>
                      <w:szCs w:val="21"/>
                    </w:rPr>
                  </w:pPr>
                  <w:r>
                    <w:rPr>
                      <w:rFonts w:hint="eastAsia" w:ascii="宋体" w:hAnsi="宋体" w:eastAsia="宋体" w:cs="宋体"/>
                      <w:color w:val="000000" w:themeColor="text1"/>
                      <w:sz w:val="21"/>
                      <w:szCs w:val="21"/>
                    </w:rPr>
                    <w:t>≥98%</w:t>
                  </w:r>
                </w:p>
              </w:tc>
              <w:tc>
                <w:tcPr>
                  <w:tcW w:w="1821" w:type="dxa"/>
                  <w:noWrap w:val="0"/>
                  <w:vAlign w:val="center"/>
                </w:tcPr>
                <w:p>
                  <w:pPr>
                    <w:spacing w:line="360" w:lineRule="auto"/>
                    <w:ind w:firstLine="210" w:firstLineChars="10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213" w:type="dxa"/>
                  <w:noWrap w:val="0"/>
                  <w:vAlign w:val="center"/>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顾客满意率</w:t>
                  </w:r>
                </w:p>
              </w:tc>
              <w:tc>
                <w:tcPr>
                  <w:tcW w:w="1360" w:type="dxa"/>
                  <w:noWrap w:val="0"/>
                  <w:vAlign w:val="center"/>
                </w:tcPr>
                <w:p>
                  <w:pPr>
                    <w:spacing w:line="360" w:lineRule="auto"/>
                    <w:rPr>
                      <w:rFonts w:hint="eastAsia" w:ascii="宋体" w:hAnsi="宋体" w:eastAsia="宋体" w:cs="宋体"/>
                      <w:snapToGrid w:val="0"/>
                      <w:color w:val="000000" w:themeColor="text1"/>
                      <w:sz w:val="21"/>
                      <w:szCs w:val="21"/>
                    </w:rPr>
                  </w:pPr>
                  <w:r>
                    <w:rPr>
                      <w:rFonts w:hint="eastAsia" w:ascii="宋体" w:hAnsi="宋体" w:eastAsia="宋体" w:cs="宋体"/>
                      <w:color w:val="000000" w:themeColor="text1"/>
                      <w:sz w:val="21"/>
                      <w:szCs w:val="21"/>
                    </w:rPr>
                    <w:t>≥95%</w:t>
                  </w:r>
                </w:p>
              </w:tc>
              <w:tc>
                <w:tcPr>
                  <w:tcW w:w="1821" w:type="dxa"/>
                  <w:noWrap w:val="0"/>
                  <w:vAlign w:val="center"/>
                </w:tcPr>
                <w:p>
                  <w:pPr>
                    <w:spacing w:line="360" w:lineRule="auto"/>
                    <w:ind w:firstLine="210" w:firstLineChars="10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213" w:type="dxa"/>
                  <w:noWrap w:val="0"/>
                  <w:vAlign w:val="center"/>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火灾爆炸事件</w:t>
                  </w:r>
                </w:p>
              </w:tc>
              <w:tc>
                <w:tcPr>
                  <w:tcW w:w="1360" w:type="dxa"/>
                  <w:noWrap w:val="0"/>
                  <w:vAlign w:val="center"/>
                </w:tcPr>
                <w:p>
                  <w:pPr>
                    <w:spacing w:line="360" w:lineRule="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0</w:t>
                  </w:r>
                </w:p>
              </w:tc>
              <w:tc>
                <w:tcPr>
                  <w:tcW w:w="1821" w:type="dxa"/>
                  <w:noWrap w:val="0"/>
                  <w:vAlign w:val="center"/>
                </w:tcPr>
                <w:p>
                  <w:pPr>
                    <w:spacing w:line="360" w:lineRule="auto"/>
                    <w:ind w:firstLine="210" w:firstLineChars="10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213" w:type="dxa"/>
                  <w:noWrap w:val="0"/>
                  <w:vAlign w:val="center"/>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年度安全隐患处置率</w:t>
                  </w:r>
                </w:p>
              </w:tc>
              <w:tc>
                <w:tcPr>
                  <w:tcW w:w="1360" w:type="dxa"/>
                  <w:noWrap w:val="0"/>
                  <w:vAlign w:val="center"/>
                </w:tcPr>
                <w:p>
                  <w:pPr>
                    <w:spacing w:line="360" w:lineRule="auto"/>
                    <w:rPr>
                      <w:rFonts w:hint="eastAsia" w:ascii="宋体" w:hAnsi="宋体" w:eastAsia="宋体" w:cs="宋体"/>
                      <w:snapToGrid w:val="0"/>
                      <w:color w:val="000000" w:themeColor="text1"/>
                      <w:sz w:val="21"/>
                      <w:szCs w:val="21"/>
                    </w:rPr>
                  </w:pPr>
                  <w:r>
                    <w:rPr>
                      <w:rFonts w:hint="eastAsia" w:ascii="宋体" w:hAnsi="宋体" w:eastAsia="宋体" w:cs="宋体"/>
                      <w:color w:val="000000" w:themeColor="text1"/>
                      <w:sz w:val="21"/>
                      <w:szCs w:val="21"/>
                    </w:rPr>
                    <w:t>0</w:t>
                  </w:r>
                </w:p>
              </w:tc>
              <w:tc>
                <w:tcPr>
                  <w:tcW w:w="1821" w:type="dxa"/>
                  <w:noWrap w:val="0"/>
                  <w:vAlign w:val="center"/>
                </w:tcPr>
                <w:p>
                  <w:pPr>
                    <w:spacing w:line="360" w:lineRule="auto"/>
                    <w:ind w:firstLine="210" w:firstLineChars="10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213" w:type="dxa"/>
                  <w:noWrap w:val="0"/>
                  <w:vAlign w:val="center"/>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劳动防护措施用品合理配置、正确使用率</w:t>
                  </w:r>
                </w:p>
              </w:tc>
              <w:tc>
                <w:tcPr>
                  <w:tcW w:w="1360" w:type="dxa"/>
                  <w:noWrap w:val="0"/>
                  <w:vAlign w:val="center"/>
                </w:tcPr>
                <w:p>
                  <w:pPr>
                    <w:spacing w:line="360" w:lineRule="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0</w:t>
                  </w:r>
                </w:p>
              </w:tc>
              <w:tc>
                <w:tcPr>
                  <w:tcW w:w="1821" w:type="dxa"/>
                  <w:noWrap w:val="0"/>
                  <w:vAlign w:val="center"/>
                </w:tcPr>
                <w:p>
                  <w:pPr>
                    <w:spacing w:line="360" w:lineRule="auto"/>
                    <w:ind w:firstLine="210" w:firstLineChars="10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213" w:type="dxa"/>
                  <w:noWrap w:val="0"/>
                  <w:vAlign w:val="center"/>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年度职工工伤死亡率</w:t>
                  </w:r>
                </w:p>
              </w:tc>
              <w:tc>
                <w:tcPr>
                  <w:tcW w:w="1360" w:type="dxa"/>
                  <w:noWrap w:val="0"/>
                  <w:vAlign w:val="center"/>
                </w:tcPr>
                <w:p>
                  <w:pPr>
                    <w:spacing w:line="360" w:lineRule="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0</w:t>
                  </w:r>
                </w:p>
              </w:tc>
              <w:tc>
                <w:tcPr>
                  <w:tcW w:w="1821" w:type="dxa"/>
                  <w:noWrap w:val="0"/>
                  <w:vAlign w:val="center"/>
                </w:tcPr>
                <w:p>
                  <w:pPr>
                    <w:spacing w:line="360" w:lineRule="auto"/>
                    <w:ind w:firstLine="210" w:firstLineChars="10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213" w:type="dxa"/>
                  <w:noWrap w:val="0"/>
                  <w:vAlign w:val="center"/>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年度职工因工重伤率</w:t>
                  </w:r>
                </w:p>
              </w:tc>
              <w:tc>
                <w:tcPr>
                  <w:tcW w:w="1360" w:type="dxa"/>
                  <w:noWrap w:val="0"/>
                  <w:vAlign w:val="center"/>
                </w:tcPr>
                <w:p>
                  <w:pPr>
                    <w:spacing w:line="360" w:lineRule="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0</w:t>
                  </w:r>
                </w:p>
              </w:tc>
              <w:tc>
                <w:tcPr>
                  <w:tcW w:w="1821" w:type="dxa"/>
                  <w:noWrap w:val="0"/>
                  <w:vAlign w:val="center"/>
                </w:tcPr>
                <w:p>
                  <w:pPr>
                    <w:spacing w:line="360" w:lineRule="auto"/>
                    <w:ind w:firstLine="210" w:firstLineChars="10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213" w:type="dxa"/>
                  <w:noWrap w:val="0"/>
                  <w:vAlign w:val="center"/>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年度职工轻伤发生次数</w:t>
                  </w:r>
                </w:p>
              </w:tc>
              <w:tc>
                <w:tcPr>
                  <w:tcW w:w="1360" w:type="dxa"/>
                  <w:noWrap w:val="0"/>
                  <w:vAlign w:val="center"/>
                </w:tcPr>
                <w:p>
                  <w:pPr>
                    <w:spacing w:line="360" w:lineRule="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0</w:t>
                  </w:r>
                </w:p>
              </w:tc>
              <w:tc>
                <w:tcPr>
                  <w:tcW w:w="1821" w:type="dxa"/>
                  <w:noWrap w:val="0"/>
                  <w:vAlign w:val="center"/>
                </w:tcPr>
                <w:p>
                  <w:pPr>
                    <w:spacing w:line="360" w:lineRule="auto"/>
                    <w:ind w:firstLine="210" w:firstLineChars="10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0</w:t>
                  </w:r>
                </w:p>
              </w:tc>
            </w:tr>
          </w:tbl>
          <w:p>
            <w:pPr>
              <w:spacing w:line="360" w:lineRule="auto"/>
              <w:jc w:val="left"/>
              <w:rPr>
                <w:rFonts w:hint="eastAsia" w:ascii="宋体" w:hAnsi="宋体" w:eastAsia="宋体" w:cs="宋体"/>
                <w:color w:val="000000" w:themeColor="text1"/>
                <w:sz w:val="21"/>
                <w:szCs w:val="21"/>
              </w:rPr>
            </w:pPr>
          </w:p>
          <w:p>
            <w:pPr>
              <w:pStyle w:val="9"/>
              <w:spacing w:line="360" w:lineRule="auto"/>
              <w:rPr>
                <w:rFonts w:hint="eastAsia"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职业健康安全目标、指标管理方案</w:t>
            </w:r>
            <w:r>
              <w:rPr>
                <w:rFonts w:hint="eastAsia" w:ascii="宋体" w:hAnsi="宋体" w:eastAsia="宋体" w:cs="宋体"/>
                <w:color w:val="000000" w:themeColor="text1"/>
                <w:kern w:val="2"/>
                <w:sz w:val="21"/>
                <w:szCs w:val="21"/>
                <w:lang w:val="en-US" w:eastAsia="zh-CN"/>
              </w:rPr>
              <w:t>2</w:t>
            </w:r>
            <w:r>
              <w:rPr>
                <w:rFonts w:hint="eastAsia" w:ascii="宋体" w:hAnsi="宋体" w:eastAsia="宋体" w:cs="宋体"/>
                <w:color w:val="000000" w:themeColor="text1"/>
                <w:kern w:val="2"/>
                <w:sz w:val="21"/>
                <w:szCs w:val="21"/>
              </w:rPr>
              <w:t>个：</w:t>
            </w:r>
          </w:p>
          <w:p>
            <w:pPr>
              <w:pStyle w:val="9"/>
              <w:spacing w:line="360" w:lineRule="auto"/>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 xml:space="preserve">杜绝火灾事故 </w:t>
            </w:r>
          </w:p>
          <w:p>
            <w:pPr>
              <w:pStyle w:val="9"/>
              <w:numPr>
                <w:ilvl w:val="0"/>
                <w:numId w:val="0"/>
              </w:numPr>
              <w:spacing w:line="360" w:lineRule="auto"/>
              <w:rPr>
                <w:rFonts w:hint="eastAsia"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一.主要技术方案</w:t>
            </w:r>
          </w:p>
          <w:p>
            <w:pPr>
              <w:pStyle w:val="9"/>
              <w:numPr>
                <w:ilvl w:val="0"/>
                <w:numId w:val="0"/>
              </w:numPr>
              <w:spacing w:line="360" w:lineRule="auto"/>
              <w:rPr>
                <w:rFonts w:hint="eastAsia"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做好应急预案的编制、培训；配置适宜的消防器材，在安全场所设置安全标识,对相关人员进行安全知识的教育和消防器材应用演练,成立安全领导小组,对公司和现场进行定期和不定期的安全检查。消除隐患.</w:t>
            </w:r>
          </w:p>
          <w:p>
            <w:pPr>
              <w:pStyle w:val="9"/>
              <w:numPr>
                <w:ilvl w:val="0"/>
                <w:numId w:val="0"/>
              </w:numPr>
              <w:spacing w:line="360" w:lineRule="auto"/>
              <w:rPr>
                <w:rFonts w:hint="eastAsia"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二.采取技术措施</w:t>
            </w:r>
          </w:p>
          <w:p>
            <w:pPr>
              <w:pStyle w:val="9"/>
              <w:numPr>
                <w:ilvl w:val="0"/>
                <w:numId w:val="0"/>
              </w:numPr>
              <w:spacing w:line="360" w:lineRule="auto"/>
              <w:rPr>
                <w:rFonts w:hint="eastAsia"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1.</w:t>
            </w:r>
            <w:r>
              <w:rPr>
                <w:rFonts w:hint="eastAsia" w:ascii="宋体" w:hAnsi="宋体" w:eastAsia="宋体" w:cs="宋体"/>
                <w:color w:val="000000" w:themeColor="text1"/>
                <w:kern w:val="2"/>
                <w:sz w:val="21"/>
                <w:szCs w:val="21"/>
                <w:lang w:val="en-US" w:eastAsia="zh-CN"/>
              </w:rPr>
              <w:t>定期</w:t>
            </w:r>
            <w:r>
              <w:rPr>
                <w:rFonts w:hint="eastAsia" w:ascii="宋体" w:hAnsi="宋体" w:eastAsia="宋体" w:cs="宋体"/>
                <w:color w:val="000000" w:themeColor="text1"/>
                <w:kern w:val="2"/>
                <w:sz w:val="21"/>
                <w:szCs w:val="21"/>
              </w:rPr>
              <w:t>进行</w:t>
            </w:r>
            <w:r>
              <w:rPr>
                <w:rFonts w:hint="eastAsia" w:ascii="宋体" w:hAnsi="宋体" w:eastAsia="宋体" w:cs="宋体"/>
                <w:color w:val="000000" w:themeColor="text1"/>
                <w:kern w:val="2"/>
                <w:sz w:val="21"/>
                <w:szCs w:val="21"/>
                <w:lang w:val="en-US" w:eastAsia="zh-CN"/>
              </w:rPr>
              <w:t>消防</w:t>
            </w:r>
            <w:r>
              <w:rPr>
                <w:rFonts w:hint="eastAsia" w:ascii="宋体" w:hAnsi="宋体" w:eastAsia="宋体" w:cs="宋体"/>
                <w:color w:val="000000" w:themeColor="text1"/>
                <w:kern w:val="2"/>
                <w:sz w:val="21"/>
                <w:szCs w:val="21"/>
              </w:rPr>
              <w:t>培训和演练</w:t>
            </w:r>
            <w:r>
              <w:rPr>
                <w:rFonts w:hint="eastAsia" w:ascii="宋体" w:hAnsi="宋体" w:eastAsia="宋体" w:cs="宋体"/>
                <w:color w:val="000000" w:themeColor="text1"/>
                <w:kern w:val="2"/>
                <w:sz w:val="21"/>
                <w:szCs w:val="21"/>
                <w:lang w:eastAsia="zh-CN"/>
              </w:rPr>
              <w:t>；</w:t>
            </w:r>
            <w:r>
              <w:rPr>
                <w:rFonts w:hint="eastAsia" w:ascii="宋体" w:hAnsi="宋体" w:eastAsia="宋体" w:cs="宋体"/>
                <w:color w:val="000000" w:themeColor="text1"/>
                <w:kern w:val="2"/>
                <w:sz w:val="21"/>
                <w:szCs w:val="21"/>
              </w:rPr>
              <w:t>2.配置足够数量的消防设施</w:t>
            </w:r>
            <w:r>
              <w:rPr>
                <w:rFonts w:hint="eastAsia" w:ascii="宋体" w:hAnsi="宋体" w:eastAsia="宋体" w:cs="宋体"/>
                <w:color w:val="000000" w:themeColor="text1"/>
                <w:kern w:val="2"/>
                <w:sz w:val="21"/>
                <w:szCs w:val="21"/>
                <w:lang w:eastAsia="zh-CN"/>
              </w:rPr>
              <w:t>；</w:t>
            </w:r>
            <w:r>
              <w:rPr>
                <w:rFonts w:hint="eastAsia" w:ascii="宋体" w:hAnsi="宋体" w:eastAsia="宋体" w:cs="宋体"/>
                <w:color w:val="000000" w:themeColor="text1"/>
                <w:kern w:val="2"/>
                <w:sz w:val="21"/>
                <w:szCs w:val="21"/>
              </w:rPr>
              <w:t>3.定期进行安全消防检查</w:t>
            </w:r>
          </w:p>
          <w:p>
            <w:pPr>
              <w:pStyle w:val="9"/>
              <w:numPr>
                <w:ilvl w:val="0"/>
                <w:numId w:val="0"/>
              </w:numPr>
              <w:spacing w:line="360" w:lineRule="auto"/>
              <w:rPr>
                <w:rFonts w:hint="eastAsia" w:ascii="宋体" w:hAnsi="宋体" w:eastAsia="宋体" w:cs="宋体"/>
                <w:color w:val="000000" w:themeColor="text1"/>
                <w:kern w:val="2"/>
                <w:sz w:val="21"/>
                <w:szCs w:val="21"/>
                <w:lang w:eastAsia="zh-CN"/>
              </w:rPr>
            </w:pPr>
            <w:r>
              <w:rPr>
                <w:rFonts w:hint="eastAsia" w:ascii="宋体" w:hAnsi="宋体" w:eastAsia="宋体" w:cs="宋体"/>
                <w:color w:val="000000" w:themeColor="text1"/>
                <w:kern w:val="2"/>
                <w:sz w:val="21"/>
                <w:szCs w:val="21"/>
              </w:rPr>
              <w:t>20</w:t>
            </w:r>
            <w:r>
              <w:rPr>
                <w:rFonts w:hint="eastAsia" w:ascii="宋体" w:hAnsi="宋体" w:eastAsia="宋体" w:cs="宋体"/>
                <w:color w:val="000000" w:themeColor="text1"/>
                <w:kern w:val="2"/>
                <w:sz w:val="21"/>
                <w:szCs w:val="21"/>
                <w:lang w:val="en-US" w:eastAsia="zh-CN"/>
              </w:rPr>
              <w:t>19</w:t>
            </w:r>
            <w:r>
              <w:rPr>
                <w:rFonts w:hint="eastAsia" w:ascii="宋体" w:hAnsi="宋体" w:eastAsia="宋体" w:cs="宋体"/>
                <w:color w:val="000000" w:themeColor="text1"/>
                <w:kern w:val="2"/>
                <w:sz w:val="21"/>
                <w:szCs w:val="21"/>
              </w:rPr>
              <w:t>年</w:t>
            </w:r>
            <w:r>
              <w:rPr>
                <w:rFonts w:hint="eastAsia" w:ascii="宋体" w:hAnsi="宋体" w:eastAsia="宋体" w:cs="宋体"/>
                <w:color w:val="000000" w:themeColor="text1"/>
                <w:kern w:val="2"/>
                <w:sz w:val="21"/>
                <w:szCs w:val="21"/>
                <w:lang w:val="en-US" w:eastAsia="zh-CN"/>
              </w:rPr>
              <w:t>12</w:t>
            </w:r>
            <w:r>
              <w:rPr>
                <w:rFonts w:hint="eastAsia" w:ascii="宋体" w:hAnsi="宋体" w:eastAsia="宋体" w:cs="宋体"/>
                <w:color w:val="000000" w:themeColor="text1"/>
                <w:kern w:val="2"/>
                <w:sz w:val="21"/>
                <w:szCs w:val="21"/>
              </w:rPr>
              <w:t>月30日</w:t>
            </w:r>
            <w:r>
              <w:rPr>
                <w:rFonts w:hint="eastAsia" w:ascii="宋体" w:hAnsi="宋体" w:eastAsia="宋体" w:cs="宋体"/>
                <w:color w:val="000000" w:themeColor="text1"/>
                <w:kern w:val="2"/>
                <w:sz w:val="21"/>
                <w:szCs w:val="21"/>
                <w:lang w:eastAsia="zh-CN"/>
              </w:rPr>
              <w:t>，</w:t>
            </w:r>
            <w:r>
              <w:rPr>
                <w:rFonts w:hint="eastAsia" w:ascii="宋体" w:hAnsi="宋体" w:eastAsia="宋体" w:cs="宋体"/>
                <w:color w:val="000000" w:themeColor="text1"/>
                <w:kern w:val="2"/>
                <w:sz w:val="21"/>
                <w:szCs w:val="21"/>
              </w:rPr>
              <w:t>方案已实施,验证有效</w:t>
            </w:r>
            <w:r>
              <w:rPr>
                <w:rFonts w:hint="eastAsia" w:ascii="宋体" w:hAnsi="宋体" w:eastAsia="宋体" w:cs="宋体"/>
                <w:color w:val="000000" w:themeColor="text1"/>
                <w:kern w:val="2"/>
                <w:sz w:val="21"/>
                <w:szCs w:val="21"/>
                <w:lang w:eastAsia="zh-CN"/>
              </w:rPr>
              <w:t>。</w:t>
            </w:r>
          </w:p>
          <w:p>
            <w:pPr>
              <w:pStyle w:val="9"/>
              <w:spacing w:line="360" w:lineRule="auto"/>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高温灼伤、机械伤害</w:t>
            </w:r>
          </w:p>
          <w:p>
            <w:pPr>
              <w:pStyle w:val="9"/>
              <w:numPr>
                <w:ilvl w:val="0"/>
                <w:numId w:val="0"/>
              </w:numPr>
              <w:spacing w:line="360" w:lineRule="auto"/>
              <w:rPr>
                <w:rFonts w:hint="eastAsia"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一.主要技术方案</w:t>
            </w:r>
          </w:p>
          <w:p>
            <w:pPr>
              <w:pStyle w:val="9"/>
              <w:numPr>
                <w:ilvl w:val="0"/>
                <w:numId w:val="0"/>
              </w:numPr>
              <w:spacing w:line="360" w:lineRule="auto"/>
              <w:rPr>
                <w:rFonts w:hint="eastAsia"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1.负责人向生产车间作业人员进行岗前操作指导和</w:t>
            </w:r>
            <w:r>
              <w:rPr>
                <w:rFonts w:hint="eastAsia" w:ascii="宋体" w:hAnsi="宋体" w:eastAsia="宋体" w:cs="宋体"/>
                <w:color w:val="000000" w:themeColor="text1"/>
                <w:kern w:val="2"/>
                <w:sz w:val="21"/>
                <w:szCs w:val="21"/>
                <w:lang w:val="en-US" w:eastAsia="zh-CN"/>
              </w:rPr>
              <w:t>安全警示牌告知</w:t>
            </w:r>
            <w:r>
              <w:rPr>
                <w:rFonts w:hint="eastAsia" w:ascii="宋体" w:hAnsi="宋体" w:eastAsia="宋体" w:cs="宋体"/>
                <w:color w:val="000000" w:themeColor="text1"/>
                <w:kern w:val="2"/>
                <w:sz w:val="21"/>
                <w:szCs w:val="21"/>
              </w:rPr>
              <w:t>；</w:t>
            </w:r>
          </w:p>
          <w:p>
            <w:pPr>
              <w:pStyle w:val="9"/>
              <w:numPr>
                <w:ilvl w:val="0"/>
                <w:numId w:val="0"/>
              </w:numPr>
              <w:spacing w:line="360" w:lineRule="auto"/>
              <w:rPr>
                <w:rFonts w:hint="eastAsia"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2.对生产</w:t>
            </w:r>
            <w:r>
              <w:rPr>
                <w:rFonts w:hint="eastAsia" w:ascii="宋体" w:hAnsi="宋体" w:eastAsia="宋体" w:cs="宋体"/>
                <w:color w:val="000000" w:themeColor="text1"/>
                <w:kern w:val="2"/>
                <w:sz w:val="21"/>
                <w:szCs w:val="21"/>
                <w:lang w:val="en-US" w:eastAsia="zh-CN"/>
              </w:rPr>
              <w:t>用</w:t>
            </w:r>
            <w:r>
              <w:rPr>
                <w:rFonts w:hint="eastAsia" w:ascii="宋体" w:hAnsi="宋体" w:eastAsia="宋体" w:cs="宋体"/>
                <w:color w:val="000000" w:themeColor="text1"/>
                <w:kern w:val="2"/>
                <w:sz w:val="21"/>
                <w:szCs w:val="21"/>
              </w:rPr>
              <w:t>的</w:t>
            </w:r>
            <w:r>
              <w:rPr>
                <w:rFonts w:hint="eastAsia" w:ascii="宋体" w:hAnsi="宋体" w:eastAsia="宋体" w:cs="宋体"/>
                <w:color w:val="000000" w:themeColor="text1"/>
                <w:kern w:val="2"/>
                <w:sz w:val="21"/>
                <w:szCs w:val="21"/>
                <w:lang w:val="en-US" w:eastAsia="zh-CN"/>
              </w:rPr>
              <w:t>铝锭融化炉加</w:t>
            </w:r>
            <w:r>
              <w:rPr>
                <w:rFonts w:hint="eastAsia" w:ascii="宋体" w:hAnsi="宋体" w:eastAsia="宋体" w:cs="宋体"/>
                <w:color w:val="000000" w:themeColor="text1"/>
                <w:kern w:val="2"/>
                <w:sz w:val="21"/>
                <w:szCs w:val="21"/>
              </w:rPr>
              <w:t>防护装置、</w:t>
            </w:r>
            <w:r>
              <w:rPr>
                <w:rFonts w:hint="eastAsia" w:ascii="宋体" w:hAnsi="宋体" w:eastAsia="宋体" w:cs="宋体"/>
                <w:color w:val="000000" w:themeColor="text1"/>
                <w:kern w:val="2"/>
                <w:sz w:val="21"/>
                <w:szCs w:val="21"/>
                <w:lang w:val="en-US" w:eastAsia="zh-CN"/>
              </w:rPr>
              <w:t>立式转子压铸机</w:t>
            </w:r>
            <w:r>
              <w:rPr>
                <w:rFonts w:hint="eastAsia" w:ascii="宋体" w:hAnsi="宋体" w:eastAsia="宋体" w:cs="宋体"/>
                <w:color w:val="000000" w:themeColor="text1"/>
                <w:kern w:val="2"/>
                <w:sz w:val="21"/>
                <w:szCs w:val="21"/>
              </w:rPr>
              <w:t>金加工设备进行监督检查，发现隐患督促整改。</w:t>
            </w:r>
          </w:p>
          <w:p>
            <w:pPr>
              <w:pStyle w:val="9"/>
              <w:numPr>
                <w:ilvl w:val="0"/>
                <w:numId w:val="0"/>
              </w:numPr>
              <w:spacing w:line="360" w:lineRule="auto"/>
              <w:rPr>
                <w:rFonts w:hint="eastAsia"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 xml:space="preserve">3.负责对操作设备进行安检,使用合格和有效的工具.对有隐患的工器具要杜绝使用. </w:t>
            </w:r>
          </w:p>
          <w:p>
            <w:pPr>
              <w:pStyle w:val="9"/>
              <w:numPr>
                <w:ilvl w:val="0"/>
                <w:numId w:val="0"/>
              </w:numPr>
              <w:spacing w:line="360" w:lineRule="auto"/>
              <w:rPr>
                <w:rFonts w:hint="eastAsia"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二.采取措施</w:t>
            </w:r>
          </w:p>
          <w:p>
            <w:pPr>
              <w:pStyle w:val="9"/>
              <w:numPr>
                <w:ilvl w:val="0"/>
                <w:numId w:val="0"/>
              </w:numPr>
              <w:spacing w:line="360" w:lineRule="auto"/>
              <w:rPr>
                <w:rFonts w:hint="eastAsia"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1、</w:t>
            </w:r>
            <w:r>
              <w:rPr>
                <w:rFonts w:hint="eastAsia" w:ascii="宋体" w:hAnsi="宋体" w:eastAsia="宋体" w:cs="宋体"/>
                <w:color w:val="000000" w:themeColor="text1"/>
                <w:kern w:val="2"/>
                <w:sz w:val="21"/>
                <w:szCs w:val="21"/>
              </w:rPr>
              <w:tab/>
            </w:r>
            <w:r>
              <w:rPr>
                <w:rFonts w:hint="eastAsia" w:ascii="宋体" w:hAnsi="宋体" w:eastAsia="宋体" w:cs="宋体"/>
                <w:color w:val="000000" w:themeColor="text1"/>
                <w:kern w:val="2"/>
                <w:sz w:val="21"/>
                <w:szCs w:val="21"/>
              </w:rPr>
              <w:t>加强对作业人员的安全技术培训和教育，提高作业人员的安全技能，安全意识，严格遵守安全操作规程，杜绝违章操作。</w:t>
            </w:r>
          </w:p>
          <w:p>
            <w:pPr>
              <w:pStyle w:val="9"/>
              <w:numPr>
                <w:ilvl w:val="0"/>
                <w:numId w:val="0"/>
              </w:numPr>
              <w:spacing w:line="360" w:lineRule="auto"/>
              <w:rPr>
                <w:rFonts w:hint="eastAsia"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2、</w:t>
            </w:r>
            <w:r>
              <w:rPr>
                <w:rFonts w:hint="eastAsia" w:ascii="宋体" w:hAnsi="宋体" w:eastAsia="宋体" w:cs="宋体"/>
                <w:color w:val="000000" w:themeColor="text1"/>
                <w:kern w:val="2"/>
                <w:sz w:val="21"/>
                <w:szCs w:val="21"/>
              </w:rPr>
              <w:tab/>
            </w:r>
            <w:r>
              <w:rPr>
                <w:rFonts w:hint="eastAsia" w:ascii="宋体" w:hAnsi="宋体" w:eastAsia="宋体" w:cs="宋体"/>
                <w:color w:val="000000" w:themeColor="text1"/>
                <w:kern w:val="2"/>
                <w:sz w:val="21"/>
                <w:szCs w:val="21"/>
              </w:rPr>
              <w:t>对操作人员进行安全操作规程，技术培训，合格者颁发上岗证，持证上岗。</w:t>
            </w:r>
          </w:p>
          <w:p>
            <w:pPr>
              <w:pStyle w:val="9"/>
              <w:numPr>
                <w:ilvl w:val="0"/>
                <w:numId w:val="0"/>
              </w:numPr>
              <w:spacing w:line="360" w:lineRule="auto"/>
              <w:rPr>
                <w:rFonts w:hint="eastAsia"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3、</w:t>
            </w:r>
            <w:r>
              <w:rPr>
                <w:rFonts w:hint="eastAsia" w:ascii="宋体" w:hAnsi="宋体" w:eastAsia="宋体" w:cs="宋体"/>
                <w:color w:val="000000" w:themeColor="text1"/>
                <w:kern w:val="2"/>
                <w:sz w:val="21"/>
                <w:szCs w:val="21"/>
              </w:rPr>
              <w:tab/>
            </w:r>
            <w:r>
              <w:rPr>
                <w:rFonts w:hint="eastAsia" w:ascii="宋体" w:hAnsi="宋体" w:eastAsia="宋体" w:cs="宋体"/>
                <w:color w:val="000000" w:themeColor="text1"/>
                <w:kern w:val="2"/>
                <w:sz w:val="21"/>
                <w:szCs w:val="21"/>
              </w:rPr>
              <w:t>坚持定期检查维修和日常保养，保证设备不“带病”运转，及时发现违反操作规程违章作业现象并加以纠正。</w:t>
            </w:r>
          </w:p>
          <w:p>
            <w:pPr>
              <w:pStyle w:val="9"/>
              <w:numPr>
                <w:ilvl w:val="0"/>
                <w:numId w:val="0"/>
              </w:numPr>
              <w:spacing w:line="360" w:lineRule="auto"/>
              <w:ind w:left="0" w:leftChars="0" w:firstLine="0" w:firstLineChars="0"/>
              <w:rPr>
                <w:rFonts w:hint="eastAsia" w:ascii="宋体" w:hAnsi="宋体" w:eastAsia="宋体" w:cs="宋体"/>
                <w:color w:val="000000" w:themeColor="text1"/>
                <w:kern w:val="0"/>
                <w:sz w:val="21"/>
                <w:szCs w:val="21"/>
                <w:lang w:val="en-US" w:eastAsia="zh-CN" w:bidi="ar-SA"/>
              </w:rPr>
            </w:pPr>
            <w:r>
              <w:rPr>
                <w:rFonts w:hint="eastAsia" w:ascii="宋体" w:hAnsi="宋体" w:eastAsia="宋体" w:cs="宋体"/>
                <w:color w:val="000000" w:themeColor="text1"/>
                <w:kern w:val="2"/>
                <w:sz w:val="21"/>
                <w:szCs w:val="21"/>
                <w:lang w:val="en-US" w:eastAsia="zh-CN"/>
              </w:rPr>
              <w:t>以上管理方案有计划完成时间、实际完成时间、实施结果、验证情况等，通过执行相关的控制程序、管理制度、安全排查等方式对以上管理方案进行管理，定期对方案进行检查，检查结果，以上方案已完成或阶段性完成。</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1892" w:type="dxa"/>
            <w:vAlign w:val="center"/>
          </w:tcPr>
          <w:p>
            <w:pPr>
              <w:spacing w:line="360" w:lineRule="auto"/>
              <w:jc w:val="left"/>
              <w:rPr>
                <w:rFonts w:hint="eastAsia" w:ascii="宋体" w:hAnsi="宋体" w:eastAsia="宋体" w:cs="宋体"/>
                <w:color w:val="000000"/>
                <w:spacing w:val="-4"/>
                <w:kern w:val="2"/>
                <w:sz w:val="21"/>
                <w:szCs w:val="21"/>
                <w:lang w:val="en-US" w:eastAsia="zh-CN" w:bidi="ar-SA"/>
              </w:rPr>
            </w:pPr>
            <w:r>
              <w:rPr>
                <w:rFonts w:hint="eastAsia" w:ascii="宋体" w:hAnsi="宋体" w:eastAsia="宋体" w:cs="宋体"/>
                <w:sz w:val="21"/>
                <w:szCs w:val="21"/>
              </w:rPr>
              <w:t>变更的策划及实施</w:t>
            </w:r>
          </w:p>
        </w:tc>
        <w:tc>
          <w:tcPr>
            <w:tcW w:w="1228" w:type="dxa"/>
            <w:vAlign w:val="center"/>
          </w:tcPr>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kern w:val="2"/>
                <w:sz w:val="21"/>
                <w:szCs w:val="21"/>
                <w:lang w:val="en-US" w:eastAsia="zh-CN" w:bidi="ar-SA"/>
              </w:rPr>
              <w:t>Q 6.3</w:t>
            </w:r>
          </w:p>
        </w:tc>
        <w:tc>
          <w:tcPr>
            <w:tcW w:w="10943"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查，公司的质量管理体系要求：当公司质量管理体系变更时，应考虑：</w:t>
            </w:r>
          </w:p>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1.变更的目的及潜在后果；2.体系的完整性；3.资源的可获得性；</w:t>
            </w:r>
          </w:p>
          <w:p>
            <w:pPr>
              <w:spacing w:line="360"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val="en-US" w:eastAsia="zh-CN" w:bidi="ar-SA"/>
              </w:rPr>
              <w:t>4.责权的分配和再分配等因素。经查：公司管理体系暂无变更。</w:t>
            </w:r>
          </w:p>
        </w:tc>
        <w:tc>
          <w:tcPr>
            <w:tcW w:w="646" w:type="dxa"/>
            <w:vAlign w:val="center"/>
          </w:tcPr>
          <w:p>
            <w:pPr>
              <w:spacing w:line="360" w:lineRule="auto"/>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资源提供情况</w:t>
            </w:r>
          </w:p>
        </w:tc>
        <w:tc>
          <w:tcPr>
            <w:tcW w:w="1228" w:type="dxa"/>
            <w:vAlign w:val="center"/>
          </w:tcPr>
          <w:p>
            <w:pPr>
              <w:pStyle w:val="17"/>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Q7.1.1</w:t>
            </w:r>
          </w:p>
          <w:p>
            <w:pPr>
              <w:pStyle w:val="17"/>
              <w:spacing w:line="360" w:lineRule="auto"/>
              <w:ind w:left="0" w:leftChars="0" w:firstLine="0" w:firstLineChars="0"/>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S4.4.1</w:t>
            </w:r>
          </w:p>
        </w:tc>
        <w:tc>
          <w:tcPr>
            <w:tcW w:w="10943" w:type="dxa"/>
            <w:vAlign w:val="center"/>
          </w:tcPr>
          <w:p>
            <w:pPr>
              <w:pStyle w:val="17"/>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查问总经理，公司运行质量管理体系策划资源需求。</w:t>
            </w:r>
          </w:p>
          <w:p>
            <w:pPr>
              <w:pStyle w:val="17"/>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询查“管理手册”中规定了资源控制的范围和基本方法。</w:t>
            </w:r>
          </w:p>
          <w:p>
            <w:pPr>
              <w:pStyle w:val="17"/>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公司拥有厂房占地面积近5100平方米，建筑面积3000平方米，南通市南通州区四安镇外环西路18号，东侧、南</w:t>
            </w:r>
            <w:r>
              <w:rPr>
                <w:rFonts w:hint="eastAsia" w:ascii="宋体" w:hAnsi="宋体" w:eastAsia="宋体" w:cs="宋体"/>
                <w:sz w:val="21"/>
                <w:szCs w:val="21"/>
              </w:rPr>
              <w:t>侧</w:t>
            </w:r>
            <w:r>
              <w:rPr>
                <w:rFonts w:hint="eastAsia" w:ascii="宋体" w:hAnsi="宋体" w:eastAsia="宋体" w:cs="宋体"/>
                <w:sz w:val="21"/>
                <w:szCs w:val="21"/>
                <w:lang w:val="en-US" w:eastAsia="zh-CN"/>
              </w:rPr>
              <w:t>其他厂、北侧和西侧农田；配备16吨－160吨冲床、高速单槽冲、定子压装、转子铸铝制造和维修设备等31台，其中63－160吨冲床24台，高速单槽冲床8台，63－200吨压铸机3台，40吨定子压装设备2台，</w:t>
            </w:r>
            <w:r>
              <w:rPr>
                <w:rFonts w:hint="eastAsia" w:ascii="宋体" w:hAnsi="宋体" w:eastAsia="宋体" w:cs="宋体"/>
                <w:color w:val="000000"/>
                <w:sz w:val="21"/>
                <w:szCs w:val="21"/>
                <w:lang w:val="en-US" w:eastAsia="zh-CN"/>
              </w:rPr>
              <w:t>监视和测量设备</w:t>
            </w:r>
            <w:r>
              <w:rPr>
                <w:rFonts w:hint="eastAsia" w:ascii="宋体" w:hAnsi="宋体" w:eastAsia="宋体" w:cs="宋体"/>
                <w:sz w:val="21"/>
                <w:szCs w:val="21"/>
                <w:lang w:val="en-US" w:eastAsia="zh-CN"/>
              </w:rPr>
              <w:t>10台，灭火器5个，主要产品是金属冲压件冲片均为来料加工能满足现有产品加工。</w:t>
            </w:r>
          </w:p>
          <w:p>
            <w:pPr>
              <w:pStyle w:val="17"/>
              <w:spacing w:line="360" w:lineRule="auto"/>
              <w:ind w:left="0" w:leftChars="0"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lang w:val="en-US" w:eastAsia="zh-CN"/>
              </w:rPr>
              <w:t>公司人力资源和设备等资源的配置基本能满足目前生产和管理活动以及体系的要求。</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组织的知识</w:t>
            </w:r>
          </w:p>
          <w:p>
            <w:pPr>
              <w:spacing w:line="360" w:lineRule="auto"/>
              <w:jc w:val="left"/>
              <w:rPr>
                <w:rFonts w:hint="eastAsia" w:ascii="宋体" w:hAnsi="宋体" w:eastAsia="宋体" w:cs="宋体"/>
                <w:kern w:val="2"/>
                <w:sz w:val="21"/>
                <w:szCs w:val="21"/>
                <w:lang w:val="en-US" w:eastAsia="zh-CN" w:bidi="ar-SA"/>
              </w:rPr>
            </w:pPr>
          </w:p>
        </w:tc>
        <w:tc>
          <w:tcPr>
            <w:tcW w:w="1228" w:type="dxa"/>
            <w:vAlign w:val="center"/>
          </w:tcPr>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Q7.1.6</w:t>
            </w:r>
          </w:p>
        </w:tc>
        <w:tc>
          <w:tcPr>
            <w:tcW w:w="10943" w:type="dxa"/>
            <w:vAlign w:val="center"/>
          </w:tcPr>
          <w:p>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安全会议，从顾客或外部供方收集的知识）。</w:t>
            </w:r>
          </w:p>
          <w:p>
            <w:pPr>
              <w:adjustRightInd w:val="0"/>
              <w:snapToGrid w:val="0"/>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rPr>
              <w:t>--公司明确组织知识作为公司的重要资源，按内部文件或外来文件予以受控管理，包括必要的分级保密措施。</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沟通</w:t>
            </w:r>
          </w:p>
          <w:p>
            <w:pPr>
              <w:spacing w:line="360" w:lineRule="auto"/>
              <w:jc w:val="left"/>
              <w:rPr>
                <w:rFonts w:hint="eastAsia" w:ascii="宋体" w:hAnsi="宋体" w:eastAsia="宋体" w:cs="宋体"/>
                <w:kern w:val="2"/>
                <w:sz w:val="21"/>
                <w:szCs w:val="21"/>
                <w:lang w:val="en-US" w:eastAsia="zh-CN" w:bidi="ar-SA"/>
              </w:rPr>
            </w:pPr>
          </w:p>
        </w:tc>
        <w:tc>
          <w:tcPr>
            <w:tcW w:w="1228" w:type="dxa"/>
            <w:vAlign w:val="center"/>
          </w:tcPr>
          <w:p>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Q7.4</w:t>
            </w:r>
          </w:p>
          <w:p>
            <w:pPr>
              <w:adjustRightInd w:val="0"/>
              <w:snapToGrid w:val="0"/>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S4.4.3</w:t>
            </w:r>
          </w:p>
        </w:tc>
        <w:tc>
          <w:tcPr>
            <w:tcW w:w="10943" w:type="dxa"/>
            <w:vAlign w:val="center"/>
          </w:tcPr>
          <w:p>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在公司内部主要采用口头、电话、会议、面谈等形式就与运输服务有关问题及与质量管理体系有关问题进行沟通，基本有效。未发生由于沟通不到位而影响工作的情况。</w:t>
            </w:r>
          </w:p>
          <w:p>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    相关方的沟通主要体现在和顾客的沟通方面，经常性的对顾客进行走访，了解顾客的意见。</w:t>
            </w:r>
          </w:p>
          <w:p>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产品订合同</w:t>
            </w:r>
            <w:r>
              <w:rPr>
                <w:rFonts w:hint="eastAsia" w:ascii="宋体" w:hAnsi="宋体" w:eastAsia="宋体" w:cs="宋体"/>
                <w:sz w:val="21"/>
                <w:szCs w:val="21"/>
              </w:rPr>
              <w:t>前：走访顾客、电话沟通、了解相关顾客需求信息等，</w:t>
            </w:r>
            <w:r>
              <w:rPr>
                <w:rFonts w:hint="eastAsia" w:ascii="宋体" w:hAnsi="宋体" w:eastAsia="宋体" w:cs="宋体"/>
                <w:sz w:val="21"/>
                <w:szCs w:val="21"/>
                <w:lang w:val="en-US" w:eastAsia="zh-CN"/>
              </w:rPr>
              <w:t>确定产品图纸、公差要求、原材料及成品验收</w:t>
            </w:r>
            <w:r>
              <w:rPr>
                <w:rFonts w:hint="eastAsia" w:ascii="宋体" w:hAnsi="宋体" w:eastAsia="宋体" w:cs="宋体"/>
                <w:sz w:val="21"/>
                <w:szCs w:val="21"/>
                <w:lang w:eastAsia="zh-CN"/>
              </w:rPr>
              <w:t>、</w:t>
            </w:r>
            <w:r>
              <w:rPr>
                <w:rFonts w:hint="eastAsia" w:ascii="宋体" w:hAnsi="宋体" w:eastAsia="宋体" w:cs="宋体"/>
                <w:sz w:val="21"/>
                <w:szCs w:val="21"/>
              </w:rPr>
              <w:t>交付期</w:t>
            </w:r>
            <w:r>
              <w:rPr>
                <w:rFonts w:hint="eastAsia" w:ascii="宋体" w:hAnsi="宋体" w:eastAsia="宋体" w:cs="宋体"/>
                <w:sz w:val="21"/>
                <w:szCs w:val="21"/>
                <w:lang w:val="en-US" w:eastAsia="zh-CN"/>
              </w:rPr>
              <w:t>等事宜。生产过程中，</w:t>
            </w:r>
            <w:r>
              <w:rPr>
                <w:rFonts w:hint="eastAsia" w:ascii="宋体" w:hAnsi="宋体" w:eastAsia="宋体" w:cs="宋体"/>
                <w:sz w:val="21"/>
                <w:szCs w:val="21"/>
              </w:rPr>
              <w:t>解决人员技能培训、上岗要求等关切问题；</w:t>
            </w:r>
          </w:p>
          <w:p>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交付后：与客户保持密切沟通，不定期回访用户，并对顾客反馈问题解答。针对存在的问题及时进行处理。定期发放顾客满意度调查，了解顾客满意或不满意的信息，并积极应对，确保顾客满意。</w:t>
            </w:r>
          </w:p>
          <w:p>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对顾客一般提出的问题，由专业相关人员负责解决。</w:t>
            </w:r>
          </w:p>
          <w:p>
            <w:pPr>
              <w:adjustRightInd w:val="0"/>
              <w:snapToGrid w:val="0"/>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rPr>
              <w:t>自体系运行以来，没有发生</w:t>
            </w:r>
            <w:r>
              <w:rPr>
                <w:rFonts w:hint="eastAsia" w:ascii="宋体" w:hAnsi="宋体" w:eastAsia="宋体" w:cs="宋体"/>
                <w:sz w:val="21"/>
                <w:szCs w:val="21"/>
                <w:lang w:val="en-US" w:eastAsia="zh-CN"/>
              </w:rPr>
              <w:t>产品质量</w:t>
            </w:r>
            <w:r>
              <w:rPr>
                <w:rFonts w:hint="eastAsia" w:ascii="宋体" w:hAnsi="宋体" w:eastAsia="宋体" w:cs="宋体"/>
                <w:sz w:val="21"/>
                <w:szCs w:val="21"/>
              </w:rPr>
              <w:t>的顾客投诉事件。</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监视和测量控制情况</w:t>
            </w:r>
          </w:p>
        </w:tc>
        <w:tc>
          <w:tcPr>
            <w:tcW w:w="1228" w:type="dxa"/>
            <w:vAlign w:val="center"/>
          </w:tcPr>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iCs/>
                <w:sz w:val="21"/>
                <w:szCs w:val="21"/>
              </w:rPr>
              <w:t>Q9.1.1</w:t>
            </w:r>
          </w:p>
        </w:tc>
        <w:tc>
          <w:tcPr>
            <w:tcW w:w="10943" w:type="dxa"/>
            <w:vAlign w:val="center"/>
          </w:tcPr>
          <w:p>
            <w:pPr>
              <w:adjustRightInd w:val="0"/>
              <w:snapToGrid w:val="0"/>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rPr>
              <w:t>对整个质量管理体系过程进行的监视和测量，主要通过内审、管理评审对服务过程进行监视，通过质量目标的定期考核对目标完成情况进行监测。查质量手册，规定了服务实现全过程的监视和测量方法、形式：评审准备活动、人员培训、</w:t>
            </w:r>
            <w:r>
              <w:rPr>
                <w:rFonts w:hint="eastAsia" w:ascii="宋体" w:hAnsi="宋体" w:eastAsia="宋体" w:cs="宋体"/>
                <w:sz w:val="21"/>
                <w:szCs w:val="21"/>
                <w:lang w:val="en-US" w:eastAsia="zh-CN"/>
              </w:rPr>
              <w:t>产品生产</w:t>
            </w:r>
            <w:r>
              <w:rPr>
                <w:rFonts w:hint="eastAsia" w:ascii="宋体" w:hAnsi="宋体" w:eastAsia="宋体" w:cs="宋体"/>
                <w:sz w:val="21"/>
                <w:szCs w:val="21"/>
              </w:rPr>
              <w:t>过程等监视和测量。通过日常与顾客沟通，反馈问题等来实现对整体情况的掌控，对日常发现的问题进行改进等。</w:t>
            </w:r>
            <w:r>
              <w:rPr>
                <w:rFonts w:hint="eastAsia" w:ascii="宋体" w:hAnsi="宋体" w:eastAsia="宋体" w:cs="宋体"/>
                <w:sz w:val="21"/>
                <w:szCs w:val="21"/>
                <w:lang w:val="en-US" w:eastAsia="zh-CN"/>
              </w:rPr>
              <w:t>查《监视和测量设备台帐及周检计划表》有10台，证书情况见其他审核记录。</w:t>
            </w:r>
          </w:p>
        </w:tc>
        <w:tc>
          <w:tcPr>
            <w:tcW w:w="646" w:type="dxa"/>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892" w:type="dxa"/>
            <w:vAlign w:val="center"/>
          </w:tcPr>
          <w:p>
            <w:pPr>
              <w:spacing w:line="360" w:lineRule="auto"/>
              <w:rPr>
                <w:rFonts w:hint="eastAsia" w:ascii="宋体" w:hAnsi="宋体" w:eastAsia="宋体" w:cs="宋体"/>
                <w:bCs/>
                <w:color w:val="000000"/>
                <w:sz w:val="21"/>
                <w:szCs w:val="21"/>
              </w:rPr>
            </w:pPr>
            <w:r>
              <w:rPr>
                <w:rFonts w:hint="eastAsia" w:ascii="宋体" w:hAnsi="宋体" w:eastAsia="宋体" w:cs="宋体"/>
                <w:bCs/>
                <w:color w:val="000000"/>
                <w:sz w:val="21"/>
                <w:szCs w:val="21"/>
              </w:rPr>
              <w:t>分析和评价</w:t>
            </w:r>
          </w:p>
          <w:p>
            <w:pPr>
              <w:spacing w:line="360" w:lineRule="auto"/>
              <w:jc w:val="left"/>
              <w:rPr>
                <w:rFonts w:hint="eastAsia" w:ascii="宋体" w:hAnsi="宋体" w:eastAsia="宋体" w:cs="宋体"/>
                <w:kern w:val="2"/>
                <w:sz w:val="21"/>
                <w:szCs w:val="21"/>
                <w:lang w:val="en-US" w:eastAsia="zh-CN" w:bidi="ar-SA"/>
              </w:rPr>
            </w:pPr>
          </w:p>
        </w:tc>
        <w:tc>
          <w:tcPr>
            <w:tcW w:w="1228" w:type="dxa"/>
            <w:vAlign w:val="center"/>
          </w:tcPr>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Q9.1.3</w:t>
            </w:r>
          </w:p>
          <w:p>
            <w:pPr>
              <w:spacing w:line="360" w:lineRule="auto"/>
              <w:rPr>
                <w:rFonts w:hint="eastAsia" w:ascii="宋体" w:hAnsi="宋体" w:eastAsia="宋体" w:cs="宋体"/>
                <w:b/>
                <w:kern w:val="2"/>
                <w:sz w:val="21"/>
                <w:szCs w:val="21"/>
                <w:lang w:val="en-US" w:eastAsia="zh-CN" w:bidi="ar-SA"/>
              </w:rPr>
            </w:pPr>
          </w:p>
        </w:tc>
        <w:tc>
          <w:tcPr>
            <w:tcW w:w="10943" w:type="dxa"/>
            <w:vAlign w:val="center"/>
          </w:tcPr>
          <w:p>
            <w:pPr>
              <w:adjustRightInd w:val="0"/>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1.质量手册及相关文件中对收集过程、体系数据的范围、类型、统计方法进行了规定。 </w:t>
            </w:r>
          </w:p>
          <w:p>
            <w:pPr>
              <w:adjustRightInd w:val="0"/>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2.顾客每月对供应商进行打分，统计2019年1月-2019年12月的满意度平均95%。</w:t>
            </w:r>
          </w:p>
          <w:p>
            <w:pPr>
              <w:adjustRightInd w:val="0"/>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3.查《管理评审资料》对过程和产品的特性及趋势、供方、顾客满意、服务的符合性进行了分析，均较满意。</w:t>
            </w:r>
          </w:p>
          <w:p>
            <w:pPr>
              <w:adjustRightInd w:val="0"/>
              <w:snapToGrid w:val="0"/>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lang w:val="en-US" w:eastAsia="zh-CN"/>
              </w:rPr>
              <w:t xml:space="preserve">  根据组织提供的相关文件资料，数据分析深度不够，缺乏实质性的支持性数据文件，现场已经口头提出。</w:t>
            </w:r>
          </w:p>
        </w:tc>
        <w:tc>
          <w:tcPr>
            <w:tcW w:w="646" w:type="dxa"/>
            <w:vAlign w:val="center"/>
          </w:tcPr>
          <w:p>
            <w:pPr>
              <w:spacing w:line="360" w:lineRule="auto"/>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892" w:type="dxa"/>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内部审核</w:t>
            </w:r>
          </w:p>
          <w:p>
            <w:pPr>
              <w:spacing w:line="360" w:lineRule="auto"/>
              <w:rPr>
                <w:rFonts w:hint="eastAsia" w:ascii="宋体" w:hAnsi="宋体" w:eastAsia="宋体" w:cs="宋体"/>
                <w:kern w:val="2"/>
                <w:sz w:val="21"/>
                <w:szCs w:val="21"/>
                <w:lang w:val="en-US" w:eastAsia="zh-CN" w:bidi="ar-SA"/>
              </w:rPr>
            </w:pPr>
          </w:p>
        </w:tc>
        <w:tc>
          <w:tcPr>
            <w:tcW w:w="1228" w:type="dxa"/>
            <w:vAlign w:val="center"/>
          </w:tcPr>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Q</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9.2</w:t>
            </w:r>
          </w:p>
          <w:p>
            <w:pPr>
              <w:spacing w:line="360" w:lineRule="auto"/>
              <w:jc w:val="left"/>
              <w:rPr>
                <w:rFonts w:hint="eastAsia" w:ascii="宋体" w:hAnsi="宋体" w:eastAsia="宋体" w:cs="宋体"/>
                <w:b/>
                <w:kern w:val="2"/>
                <w:sz w:val="21"/>
                <w:szCs w:val="21"/>
                <w:lang w:val="en-US" w:eastAsia="zh-CN" w:bidi="ar-SA"/>
              </w:rPr>
            </w:pPr>
            <w:r>
              <w:rPr>
                <w:rFonts w:hint="eastAsia" w:ascii="宋体" w:hAnsi="宋体" w:eastAsia="宋体" w:cs="宋体"/>
                <w:color w:val="000000"/>
                <w:sz w:val="21"/>
                <w:szCs w:val="21"/>
                <w:lang w:val="en-US" w:eastAsia="zh-CN"/>
              </w:rPr>
              <w:t>S4.5</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5</w:t>
            </w:r>
          </w:p>
        </w:tc>
        <w:tc>
          <w:tcPr>
            <w:tcW w:w="10943" w:type="dxa"/>
            <w:vAlign w:val="center"/>
          </w:tcPr>
          <w:p>
            <w:pPr>
              <w:adjustRightInd w:val="0"/>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编制有《内部审核程序》，程序中规定公司确定质量管理体系覆盖的每年（12个月）至少接受一次涉及所有条款活动的内部审核。</w:t>
            </w:r>
          </w:p>
          <w:p>
            <w:pPr>
              <w:adjustRightInd w:val="0"/>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提供有年度内部审核计划包括审核目的、范围、依据、频次、审核方式、审核日程安排。</w:t>
            </w:r>
          </w:p>
          <w:p>
            <w:pPr>
              <w:adjustRightInd w:val="0"/>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审核时间：2020年4月5日-6日开展了以GB/T19001-2016、GB/T28001-2011为标准的二标结合审核。</w:t>
            </w:r>
          </w:p>
          <w:p>
            <w:pPr>
              <w:adjustRightInd w:val="0"/>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范围：公司质量和体系覆盖的各部门、所有过程。</w:t>
            </w:r>
          </w:p>
          <w:p>
            <w:pPr>
              <w:adjustRightInd w:val="0"/>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审核组组成：张振林(组长）、冯霞、姜垚  （组员）</w:t>
            </w:r>
          </w:p>
          <w:p>
            <w:pPr>
              <w:adjustRightInd w:val="0"/>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查公司内审员经培训、授权书，内审员基本能满足内审的能力要求；</w:t>
            </w:r>
          </w:p>
          <w:p>
            <w:pPr>
              <w:adjustRightInd w:val="0"/>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查《管理层审核检查表》，《综合部审核检查表》、《供销部审核检查表》，《生产技术部审核检查表》审核过程及条款基本齐全，未出现审核本部门情况。</w:t>
            </w:r>
          </w:p>
          <w:p>
            <w:pPr>
              <w:adjustRightInd w:val="0"/>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对应有按审核计划实施审核的现场审核检查表，有审核条款、审核项目及审核记录，有基本内容，但记录较为简单。</w:t>
            </w:r>
          </w:p>
          <w:p>
            <w:pPr>
              <w:adjustRightInd w:val="0"/>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查，《内部管理体系审核报告》，审核结论：公司质量管理体系基本符合GB/T19001-2016、GB/T28001-2011的要求，且运行有效。</w:t>
            </w:r>
          </w:p>
          <w:p>
            <w:pPr>
              <w:adjustRightInd w:val="0"/>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此次开据的《内审不符合项报告》涉及的责任部门已经对所产生的不符合原因进行了分析并采取了纠正措施，且验证有效。</w:t>
            </w:r>
          </w:p>
          <w:p>
            <w:pPr>
              <w:adjustRightInd w:val="0"/>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提供有《内部审核报告》查，审核结论：本公司质量体系得到了有效实施，运行实施保持了适宜性。</w:t>
            </w:r>
          </w:p>
          <w:p>
            <w:pPr>
              <w:adjustRightInd w:val="0"/>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通过内部审核，公司质量管理体系的建立实施是有效的，符合标准要求。</w:t>
            </w:r>
          </w:p>
          <w:p>
            <w:pPr>
              <w:adjustRightInd w:val="0"/>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公司内审基本符合要求。</w:t>
            </w:r>
          </w:p>
        </w:tc>
        <w:tc>
          <w:tcPr>
            <w:tcW w:w="646" w:type="dxa"/>
            <w:vAlign w:val="center"/>
          </w:tcPr>
          <w:p>
            <w:pPr>
              <w:spacing w:line="360" w:lineRule="auto"/>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892" w:type="dxa"/>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管理评审</w:t>
            </w:r>
          </w:p>
          <w:p>
            <w:pPr>
              <w:spacing w:line="360" w:lineRule="auto"/>
              <w:rPr>
                <w:rFonts w:hint="eastAsia" w:ascii="宋体" w:hAnsi="宋体" w:eastAsia="宋体" w:cs="宋体"/>
                <w:kern w:val="2"/>
                <w:sz w:val="21"/>
                <w:szCs w:val="21"/>
                <w:lang w:val="en-US" w:eastAsia="zh-CN" w:bidi="ar-SA"/>
              </w:rPr>
            </w:pPr>
          </w:p>
        </w:tc>
        <w:tc>
          <w:tcPr>
            <w:tcW w:w="1228" w:type="dxa"/>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Q</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9.3</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S</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4.6</w:t>
            </w:r>
          </w:p>
          <w:p>
            <w:pPr>
              <w:spacing w:line="360" w:lineRule="auto"/>
              <w:rPr>
                <w:rFonts w:hint="eastAsia" w:ascii="宋体" w:hAnsi="宋体" w:eastAsia="宋体" w:cs="宋体"/>
                <w:b/>
                <w:kern w:val="2"/>
                <w:sz w:val="21"/>
                <w:szCs w:val="21"/>
                <w:lang w:val="en-US" w:eastAsia="zh-CN" w:bidi="ar-SA"/>
              </w:rPr>
            </w:pPr>
          </w:p>
        </w:tc>
        <w:tc>
          <w:tcPr>
            <w:tcW w:w="10943" w:type="dxa"/>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查，公司的质量</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体系策划了管理评审的管理要求。</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查，管理评审记录：</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时间：20</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12  </w:t>
            </w:r>
            <w:r>
              <w:rPr>
                <w:rFonts w:hint="eastAsia" w:ascii="宋体" w:hAnsi="宋体" w:eastAsia="宋体" w:cs="宋体"/>
                <w:color w:val="000000"/>
                <w:sz w:val="21"/>
                <w:szCs w:val="21"/>
              </w:rPr>
              <w:t>主持人：</w:t>
            </w:r>
            <w:r>
              <w:rPr>
                <w:rFonts w:hint="eastAsia" w:ascii="宋体" w:hAnsi="宋体" w:eastAsia="宋体" w:cs="宋体"/>
                <w:sz w:val="21"/>
                <w:szCs w:val="21"/>
                <w:lang w:val="en-US" w:eastAsia="zh-CN"/>
              </w:rPr>
              <w:t>张振林</w:t>
            </w:r>
            <w:r>
              <w:rPr>
                <w:rFonts w:hint="eastAsia" w:ascii="宋体" w:hAnsi="宋体" w:eastAsia="宋体" w:cs="宋体"/>
                <w:color w:val="000000"/>
                <w:sz w:val="21"/>
                <w:szCs w:val="21"/>
              </w:rPr>
              <w:t>（总经理）</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提供管理评审会议签到表。</w:t>
            </w:r>
          </w:p>
          <w:p>
            <w:pPr>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管理评审的输入资料主要是各部门提供的工作总结</w:t>
            </w:r>
            <w:r>
              <w:rPr>
                <w:rFonts w:hint="eastAsia" w:ascii="宋体" w:hAnsi="宋体" w:eastAsia="宋体" w:cs="宋体"/>
                <w:color w:val="000000"/>
                <w:sz w:val="21"/>
                <w:szCs w:val="21"/>
                <w:lang w:eastAsia="zh-CN"/>
              </w:rPr>
              <w:t>。</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查，管理评审输入资料：各部门运行情况报告，主要内容涵盖了公司质量方针、目标适宜性，质量目标完成情况报告，公司质量管理体系运行实施情况，资源状况，服务质量状况，过程控制情况，采取纠正和预防措施情况，顾客满意情况，公司全员质量意识、法规意识和顾客满意意识、组织机构和资源配置情况、体现改进建议、内审结果、与QS相关的内、外部因素变化、有关QS绩效和有效性的信息、资源的充分性、应对风险和机遇采取措施有效性、改进的机会等。</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提供有《管理评审报告》：</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公司的质量方针、质量目标和质量管理体系基本是适宜、充分、有效的，实现公司的质量目标，已建立了自我发现问题和持续改进质量管理体系有效性的机制。</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对上年管理评审提出的改进采取了一下措施：</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1)对</w:t>
            </w:r>
            <w:r>
              <w:rPr>
                <w:rFonts w:hint="eastAsia" w:ascii="宋体" w:hAnsi="宋体" w:eastAsia="宋体" w:cs="宋体"/>
                <w:sz w:val="21"/>
                <w:szCs w:val="21"/>
              </w:rPr>
              <w:t>GB/T19001-2016</w:t>
            </w:r>
            <w:r>
              <w:rPr>
                <w:rFonts w:hint="eastAsia" w:ascii="宋体" w:hAnsi="宋体" w:eastAsia="宋体" w:cs="宋体"/>
                <w:sz w:val="21"/>
                <w:szCs w:val="21"/>
                <w:lang w:eastAsia="zh-CN"/>
              </w:rPr>
              <w:t>、</w:t>
            </w:r>
            <w:r>
              <w:rPr>
                <w:rFonts w:hint="eastAsia" w:ascii="宋体" w:hAnsi="宋体" w:eastAsia="宋体" w:cs="宋体"/>
                <w:sz w:val="21"/>
                <w:szCs w:val="21"/>
              </w:rPr>
              <w:t>GB/T28001-2011标准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管理手册、程序文件进一步进行了培训学习。</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2)对内审员进行了培训；</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3）完善了能源管理制度，增加</w:t>
            </w:r>
            <w:r>
              <w:rPr>
                <w:rFonts w:hint="eastAsia" w:ascii="宋体" w:hAnsi="宋体" w:eastAsia="宋体" w:cs="宋体"/>
                <w:sz w:val="21"/>
                <w:szCs w:val="21"/>
              </w:rPr>
              <w:t>减少生产车间和办公区域资源能源和办公器材消耗量</w:t>
            </w:r>
            <w:r>
              <w:rPr>
                <w:rFonts w:hint="eastAsia" w:ascii="宋体" w:hAnsi="宋体" w:eastAsia="宋体" w:cs="宋体"/>
                <w:sz w:val="21"/>
                <w:szCs w:val="21"/>
                <w:lang w:val="en-US" w:eastAsia="zh-CN"/>
              </w:rPr>
              <w:t>的措施</w:t>
            </w:r>
            <w:r>
              <w:rPr>
                <w:rFonts w:hint="eastAsia" w:ascii="宋体" w:hAnsi="宋体" w:eastAsia="宋体" w:cs="宋体"/>
                <w:sz w:val="21"/>
                <w:szCs w:val="21"/>
              </w:rPr>
              <w:t>，</w:t>
            </w:r>
            <w:r>
              <w:rPr>
                <w:rFonts w:hint="eastAsia" w:ascii="宋体" w:hAnsi="宋体" w:eastAsia="宋体" w:cs="宋体"/>
                <w:sz w:val="21"/>
                <w:szCs w:val="21"/>
                <w:lang w:val="en-US" w:eastAsia="zh-CN"/>
              </w:rPr>
              <w:t>达到了减排</w:t>
            </w:r>
            <w:r>
              <w:rPr>
                <w:rFonts w:hint="eastAsia" w:ascii="宋体" w:hAnsi="宋体" w:eastAsia="宋体" w:cs="宋体"/>
                <w:sz w:val="21"/>
                <w:szCs w:val="21"/>
              </w:rPr>
              <w:t>增效</w:t>
            </w:r>
            <w:r>
              <w:rPr>
                <w:rFonts w:hint="eastAsia" w:ascii="宋体" w:hAnsi="宋体" w:eastAsia="宋体" w:cs="宋体"/>
                <w:sz w:val="21"/>
                <w:szCs w:val="21"/>
                <w:lang w:val="en-US" w:eastAsia="zh-CN"/>
              </w:rPr>
              <w:t>的目的</w:t>
            </w:r>
            <w:r>
              <w:rPr>
                <w:rFonts w:hint="eastAsia" w:ascii="宋体" w:hAnsi="宋体" w:eastAsia="宋体" w:cs="宋体"/>
                <w:sz w:val="21"/>
                <w:szCs w:val="21"/>
                <w:lang w:eastAsia="zh-CN"/>
              </w:rPr>
              <w:t>。</w:t>
            </w:r>
            <w:r>
              <w:rPr>
                <w:rFonts w:hint="eastAsia" w:ascii="宋体" w:hAnsi="宋体" w:eastAsia="宋体" w:cs="宋体"/>
                <w:sz w:val="21"/>
                <w:szCs w:val="21"/>
              </w:rPr>
              <w:t>管理评审结论：公司的质量管理体系运行是符合是GB/T19001-2016</w:t>
            </w:r>
            <w:r>
              <w:rPr>
                <w:rFonts w:hint="eastAsia" w:ascii="宋体" w:hAnsi="宋体" w:eastAsia="宋体" w:cs="宋体"/>
                <w:sz w:val="21"/>
                <w:szCs w:val="21"/>
                <w:lang w:eastAsia="zh-CN"/>
              </w:rPr>
              <w:t>、</w:t>
            </w:r>
            <w:r>
              <w:rPr>
                <w:rFonts w:hint="eastAsia" w:ascii="宋体" w:hAnsi="宋体" w:eastAsia="宋体" w:cs="宋体"/>
                <w:sz w:val="21"/>
                <w:szCs w:val="21"/>
              </w:rPr>
              <w:t>GB/T28001-2011标准要求的；公司的质量管理体系是有效的、适宜的和充分的。</w:t>
            </w:r>
          </w:p>
        </w:tc>
        <w:tc>
          <w:tcPr>
            <w:tcW w:w="646" w:type="dxa"/>
            <w:vAlign w:val="center"/>
          </w:tcPr>
          <w:p>
            <w:pPr>
              <w:spacing w:line="360" w:lineRule="auto"/>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改进的策划及相关的措施情况</w:t>
            </w:r>
          </w:p>
          <w:p>
            <w:pPr>
              <w:spacing w:line="360" w:lineRule="auto"/>
              <w:rPr>
                <w:rFonts w:hint="eastAsia" w:ascii="宋体" w:hAnsi="宋体" w:eastAsia="宋体" w:cs="宋体"/>
                <w:kern w:val="2"/>
                <w:sz w:val="21"/>
                <w:szCs w:val="21"/>
                <w:lang w:val="en-US" w:eastAsia="zh-CN" w:bidi="ar-SA"/>
              </w:rPr>
            </w:pPr>
          </w:p>
        </w:tc>
        <w:tc>
          <w:tcPr>
            <w:tcW w:w="1228" w:type="dxa"/>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Q</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10.1</w:t>
            </w:r>
          </w:p>
          <w:p>
            <w:pPr>
              <w:spacing w:line="360" w:lineRule="auto"/>
              <w:rPr>
                <w:rFonts w:hint="eastAsia" w:ascii="宋体" w:hAnsi="宋体" w:eastAsia="宋体" w:cs="宋体"/>
                <w:b/>
                <w:sz w:val="21"/>
                <w:szCs w:val="21"/>
              </w:rPr>
            </w:pPr>
          </w:p>
          <w:p>
            <w:pPr>
              <w:spacing w:line="360" w:lineRule="auto"/>
              <w:rPr>
                <w:rFonts w:hint="eastAsia" w:ascii="宋体" w:hAnsi="宋体" w:eastAsia="宋体" w:cs="宋体"/>
                <w:b/>
                <w:kern w:val="2"/>
                <w:sz w:val="21"/>
                <w:szCs w:val="21"/>
                <w:lang w:val="en-US" w:eastAsia="zh-CN" w:bidi="ar-SA"/>
              </w:rPr>
            </w:pPr>
          </w:p>
        </w:tc>
        <w:tc>
          <w:tcPr>
            <w:tcW w:w="10943" w:type="dxa"/>
            <w:vAlign w:val="center"/>
          </w:tcPr>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公司制定系列程序文件《管理评审程序》、《内部审核程序》、《不合格品控制程序》、《顾客满意度控制程序》、《</w:t>
            </w:r>
            <w:r>
              <w:rPr>
                <w:rFonts w:hint="eastAsia" w:ascii="宋体" w:hAnsi="宋体" w:eastAsia="宋体" w:cs="宋体"/>
                <w:color w:val="000000"/>
                <w:sz w:val="21"/>
                <w:szCs w:val="21"/>
                <w:lang w:val="zh-CN"/>
              </w:rPr>
              <w:t>生产和服务管理控制程序</w:t>
            </w:r>
            <w:r>
              <w:rPr>
                <w:rFonts w:hint="eastAsia" w:ascii="宋体" w:hAnsi="宋体" w:eastAsia="宋体" w:cs="宋体"/>
                <w:color w:val="000000"/>
                <w:sz w:val="21"/>
                <w:szCs w:val="21"/>
              </w:rPr>
              <w:t>》等程序文件，对持续改进的过程予以规定，以实现质量管理体系及产品符合性的持续改进。持续改进的过程包含持续改进的提出、立项、不合格的原因的分析、纠正措施的确定、跟踪和评价及负责部门和人员验证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公司通过质量方针、目标的达成分析、内部质量审核结果、数据资料统计分析、纠正和预防措施和管理评审等方式，以推动质量管理体系的持续改进。</w:t>
            </w:r>
          </w:p>
        </w:tc>
        <w:tc>
          <w:tcPr>
            <w:tcW w:w="646" w:type="dxa"/>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center"/>
          </w:tcPr>
          <w:p>
            <w:pPr>
              <w:spacing w:line="360" w:lineRule="auto"/>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持续改进</w:t>
            </w:r>
          </w:p>
          <w:p>
            <w:pPr>
              <w:spacing w:line="360" w:lineRule="auto"/>
              <w:rPr>
                <w:rFonts w:hint="eastAsia" w:ascii="宋体" w:hAnsi="宋体" w:eastAsia="宋体" w:cs="宋体"/>
                <w:kern w:val="2"/>
                <w:sz w:val="21"/>
                <w:szCs w:val="21"/>
                <w:lang w:val="en-US" w:eastAsia="zh-CN" w:bidi="ar-SA"/>
              </w:rPr>
            </w:pPr>
          </w:p>
        </w:tc>
        <w:tc>
          <w:tcPr>
            <w:tcW w:w="1228" w:type="dxa"/>
            <w:vAlign w:val="center"/>
          </w:tcPr>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color w:val="000000"/>
                <w:sz w:val="21"/>
                <w:szCs w:val="21"/>
              </w:rPr>
              <w:t>Q</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10.3</w:t>
            </w:r>
          </w:p>
        </w:tc>
        <w:tc>
          <w:tcPr>
            <w:tcW w:w="10943" w:type="dxa"/>
            <w:vAlign w:val="center"/>
          </w:tcPr>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公司主要按策划的质量手册、程序文件、安全生产制度等实施运行，主要采用内审、管理评审、数据分析、纠正和预防措施、质量方针和目标等来实现对质量管理体系的改进，另外主要通过日常工作中发现的问题及时予以调整解决来实现。</w:t>
            </w:r>
          </w:p>
        </w:tc>
        <w:tc>
          <w:tcPr>
            <w:tcW w:w="646" w:type="dxa"/>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892"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验证资质</w:t>
            </w:r>
          </w:p>
        </w:tc>
        <w:tc>
          <w:tcPr>
            <w:tcW w:w="1228" w:type="dxa"/>
          </w:tcPr>
          <w:p>
            <w:pPr>
              <w:spacing w:line="360" w:lineRule="auto"/>
              <w:ind w:firstLine="420" w:firstLineChars="200"/>
              <w:rPr>
                <w:rFonts w:hint="eastAsia" w:ascii="宋体" w:hAnsi="宋体" w:eastAsia="宋体" w:cs="宋体"/>
                <w:sz w:val="21"/>
                <w:szCs w:val="21"/>
              </w:rPr>
            </w:pPr>
          </w:p>
        </w:tc>
        <w:tc>
          <w:tcPr>
            <w:tcW w:w="10943" w:type="dxa"/>
          </w:tcPr>
          <w:p>
            <w:pPr>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提供营业执照（三证合一），均在有效期内</w:t>
            </w:r>
            <w:r>
              <w:rPr>
                <w:rFonts w:hint="eastAsia" w:ascii="宋体" w:hAnsi="宋体" w:eastAsia="宋体" w:cs="宋体"/>
                <w:color w:val="000000"/>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color w:val="000000"/>
                <w:sz w:val="21"/>
                <w:szCs w:val="21"/>
              </w:rPr>
              <w:t>公司严格执行国标及行业要求和法律、法规要求。</w:t>
            </w:r>
          </w:p>
        </w:tc>
        <w:tc>
          <w:tcPr>
            <w:tcW w:w="646" w:type="dxa"/>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892" w:type="dxa"/>
            <w:vAlign w:val="center"/>
          </w:tcPr>
          <w:p>
            <w:pPr>
              <w:spacing w:line="360" w:lineRule="auto"/>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初审时</w:t>
            </w:r>
            <w:r>
              <w:rPr>
                <w:rFonts w:hint="eastAsia" w:ascii="宋体" w:hAnsi="宋体" w:eastAsia="宋体" w:cs="宋体"/>
                <w:color w:val="000000" w:themeColor="text1"/>
                <w:sz w:val="21"/>
                <w:szCs w:val="21"/>
              </w:rPr>
              <w:t>问题验证</w:t>
            </w:r>
          </w:p>
        </w:tc>
        <w:tc>
          <w:tcPr>
            <w:tcW w:w="1228" w:type="dxa"/>
            <w:vAlign w:val="center"/>
          </w:tcPr>
          <w:p>
            <w:pPr>
              <w:spacing w:line="360" w:lineRule="auto"/>
              <w:jc w:val="center"/>
              <w:rPr>
                <w:rFonts w:hint="eastAsia" w:ascii="宋体" w:hAnsi="宋体" w:eastAsia="宋体" w:cs="宋体"/>
                <w:color w:val="000000" w:themeColor="text1"/>
                <w:sz w:val="21"/>
                <w:szCs w:val="21"/>
              </w:rPr>
            </w:pPr>
          </w:p>
        </w:tc>
        <w:tc>
          <w:tcPr>
            <w:tcW w:w="10943" w:type="dxa"/>
            <w:vAlign w:val="center"/>
          </w:tcPr>
          <w:p>
            <w:pPr>
              <w:spacing w:line="360" w:lineRule="auto"/>
              <w:jc w:val="both"/>
              <w:rPr>
                <w:rFonts w:hint="eastAsia" w:ascii="宋体" w:hAnsi="宋体" w:eastAsia="宋体" w:cs="宋体"/>
                <w:color w:val="000000" w:themeColor="text1"/>
                <w:sz w:val="21"/>
                <w:szCs w:val="21"/>
              </w:rPr>
            </w:pPr>
            <w:r>
              <w:rPr>
                <w:rFonts w:hint="eastAsia" w:ascii="宋体" w:hAnsi="宋体" w:eastAsia="宋体" w:cs="宋体"/>
                <w:sz w:val="21"/>
                <w:szCs w:val="21"/>
                <w:lang w:val="en-US" w:eastAsia="zh-CN" w:bidi="ar"/>
              </w:rPr>
              <w:t>2018年初审时涉及的不符合GB/T28001-2011标准4.5.2.2条款</w:t>
            </w:r>
            <w:r>
              <w:rPr>
                <w:rFonts w:hint="eastAsia" w:ascii="宋体" w:hAnsi="宋体" w:eastAsia="宋体" w:cs="宋体"/>
                <w:color w:val="000000" w:themeColor="text1"/>
                <w:sz w:val="21"/>
                <w:szCs w:val="21"/>
              </w:rPr>
              <w:t>的问题</w:t>
            </w:r>
            <w:r>
              <w:rPr>
                <w:rFonts w:hint="eastAsia" w:ascii="宋体" w:hAnsi="宋体" w:eastAsia="宋体" w:cs="宋体"/>
                <w:sz w:val="21"/>
                <w:szCs w:val="21"/>
                <w:lang w:val="en-US" w:eastAsia="zh-CN" w:bidi="ar"/>
              </w:rPr>
              <w:t>，</w:t>
            </w:r>
            <w:r>
              <w:rPr>
                <w:rFonts w:hint="eastAsia" w:ascii="宋体" w:hAnsi="宋体" w:eastAsia="宋体" w:cs="宋体"/>
                <w:color w:val="000000" w:themeColor="text1"/>
                <w:sz w:val="21"/>
                <w:szCs w:val="21"/>
              </w:rPr>
              <w:t>经现场验证已关闭，整改措施有效。</w:t>
            </w:r>
          </w:p>
        </w:tc>
        <w:tc>
          <w:tcPr>
            <w:tcW w:w="646" w:type="dxa"/>
          </w:tcPr>
          <w:p>
            <w:pPr>
              <w:spacing w:line="360" w:lineRule="auto"/>
              <w:rPr>
                <w:rFonts w:hint="eastAsia" w:ascii="宋体" w:hAnsi="宋体" w:eastAsia="宋体" w:cs="宋体"/>
                <w:sz w:val="21"/>
                <w:szCs w:val="21"/>
              </w:rPr>
            </w:pPr>
          </w:p>
        </w:tc>
      </w:tr>
    </w:tbl>
    <w:p>
      <w:pPr>
        <w:pStyle w:val="3"/>
        <w:ind w:left="0" w:leftChars="0" w:firstLine="0" w:firstLineChars="0"/>
        <w:rPr>
          <w:rFonts w:hint="eastAsia" w:ascii="隶书" w:hAnsi="宋体" w:eastAsia="隶书"/>
          <w:bCs/>
          <w:color w:val="000000"/>
          <w:sz w:val="36"/>
          <w:szCs w:val="36"/>
        </w:rPr>
      </w:pPr>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9078F"/>
    <w:multiLevelType w:val="singleLevel"/>
    <w:tmpl w:val="5A59078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5927"/>
    <w:rsid w:val="000237F6"/>
    <w:rsid w:val="0003373A"/>
    <w:rsid w:val="000F52FD"/>
    <w:rsid w:val="00122FE8"/>
    <w:rsid w:val="001A2D7F"/>
    <w:rsid w:val="001C5D0F"/>
    <w:rsid w:val="0023220B"/>
    <w:rsid w:val="002D34D5"/>
    <w:rsid w:val="002F4173"/>
    <w:rsid w:val="00337922"/>
    <w:rsid w:val="00340867"/>
    <w:rsid w:val="00355DE5"/>
    <w:rsid w:val="00380837"/>
    <w:rsid w:val="00393034"/>
    <w:rsid w:val="003A198A"/>
    <w:rsid w:val="003B0BFB"/>
    <w:rsid w:val="00410914"/>
    <w:rsid w:val="00417312"/>
    <w:rsid w:val="00536930"/>
    <w:rsid w:val="00564E53"/>
    <w:rsid w:val="00607DF5"/>
    <w:rsid w:val="00644FE2"/>
    <w:rsid w:val="0067640C"/>
    <w:rsid w:val="006B0238"/>
    <w:rsid w:val="006C71AB"/>
    <w:rsid w:val="006E678B"/>
    <w:rsid w:val="007045E0"/>
    <w:rsid w:val="00732F2B"/>
    <w:rsid w:val="007757F3"/>
    <w:rsid w:val="007E6AEB"/>
    <w:rsid w:val="00863FFA"/>
    <w:rsid w:val="00865AF9"/>
    <w:rsid w:val="00875566"/>
    <w:rsid w:val="008973EE"/>
    <w:rsid w:val="008F47AB"/>
    <w:rsid w:val="009256F5"/>
    <w:rsid w:val="009549FC"/>
    <w:rsid w:val="00960502"/>
    <w:rsid w:val="00971600"/>
    <w:rsid w:val="009973B4"/>
    <w:rsid w:val="009A2DE9"/>
    <w:rsid w:val="009B31E6"/>
    <w:rsid w:val="009C28C1"/>
    <w:rsid w:val="009F7EED"/>
    <w:rsid w:val="00A0549C"/>
    <w:rsid w:val="00A94495"/>
    <w:rsid w:val="00AF0AAB"/>
    <w:rsid w:val="00B11AB0"/>
    <w:rsid w:val="00B17249"/>
    <w:rsid w:val="00B23E34"/>
    <w:rsid w:val="00B61836"/>
    <w:rsid w:val="00BF597E"/>
    <w:rsid w:val="00C056E2"/>
    <w:rsid w:val="00C51A36"/>
    <w:rsid w:val="00C55228"/>
    <w:rsid w:val="00CB3C0B"/>
    <w:rsid w:val="00CD5430"/>
    <w:rsid w:val="00CE315A"/>
    <w:rsid w:val="00CF3070"/>
    <w:rsid w:val="00D06F59"/>
    <w:rsid w:val="00D14E37"/>
    <w:rsid w:val="00D8388C"/>
    <w:rsid w:val="00DE5240"/>
    <w:rsid w:val="00E642C8"/>
    <w:rsid w:val="00E7083C"/>
    <w:rsid w:val="00EB0164"/>
    <w:rsid w:val="00ED0F62"/>
    <w:rsid w:val="00EF4552"/>
    <w:rsid w:val="00F219DA"/>
    <w:rsid w:val="00F7504A"/>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C6A3782"/>
    <w:rsid w:val="0D3A6D3B"/>
    <w:rsid w:val="0D9D1D5C"/>
    <w:rsid w:val="0E897CBB"/>
    <w:rsid w:val="0EC76BFE"/>
    <w:rsid w:val="0F162D0F"/>
    <w:rsid w:val="101971EF"/>
    <w:rsid w:val="108219C2"/>
    <w:rsid w:val="10BD58B0"/>
    <w:rsid w:val="10CC02BD"/>
    <w:rsid w:val="132F76B2"/>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A7B0400"/>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137D18"/>
    <w:rsid w:val="214827EA"/>
    <w:rsid w:val="21D85A19"/>
    <w:rsid w:val="235E3FCA"/>
    <w:rsid w:val="246D2075"/>
    <w:rsid w:val="249D1B51"/>
    <w:rsid w:val="258C1377"/>
    <w:rsid w:val="25B63D74"/>
    <w:rsid w:val="26EF525E"/>
    <w:rsid w:val="272F0E48"/>
    <w:rsid w:val="27B32443"/>
    <w:rsid w:val="27F35084"/>
    <w:rsid w:val="28191FAD"/>
    <w:rsid w:val="28D83944"/>
    <w:rsid w:val="28FE2F29"/>
    <w:rsid w:val="2A163E1B"/>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1B259E"/>
    <w:rsid w:val="35EB5546"/>
    <w:rsid w:val="37363BAF"/>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365029B"/>
    <w:rsid w:val="45256947"/>
    <w:rsid w:val="454511DF"/>
    <w:rsid w:val="458C0DD7"/>
    <w:rsid w:val="46C6402F"/>
    <w:rsid w:val="46F92C4C"/>
    <w:rsid w:val="46FC186C"/>
    <w:rsid w:val="48E731AA"/>
    <w:rsid w:val="49046B1C"/>
    <w:rsid w:val="4AF12E50"/>
    <w:rsid w:val="4B8F4629"/>
    <w:rsid w:val="4BFD6D0A"/>
    <w:rsid w:val="4D034732"/>
    <w:rsid w:val="4D226AAC"/>
    <w:rsid w:val="4DA45115"/>
    <w:rsid w:val="4EA743E6"/>
    <w:rsid w:val="505E674E"/>
    <w:rsid w:val="50D81641"/>
    <w:rsid w:val="50DE4DBD"/>
    <w:rsid w:val="51C3292E"/>
    <w:rsid w:val="51F65C49"/>
    <w:rsid w:val="52A87672"/>
    <w:rsid w:val="52EA70C8"/>
    <w:rsid w:val="52F26A7F"/>
    <w:rsid w:val="54CA19B0"/>
    <w:rsid w:val="554E28FE"/>
    <w:rsid w:val="55DD7700"/>
    <w:rsid w:val="566C2870"/>
    <w:rsid w:val="571F4B32"/>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043725"/>
    <w:rsid w:val="65631D09"/>
    <w:rsid w:val="65E676AE"/>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654137B"/>
    <w:rsid w:val="77107979"/>
    <w:rsid w:val="77144069"/>
    <w:rsid w:val="780B6495"/>
    <w:rsid w:val="7A8D6040"/>
    <w:rsid w:val="7BDD4178"/>
    <w:rsid w:val="7C5A28BF"/>
    <w:rsid w:val="7E42085A"/>
    <w:rsid w:val="7E98350E"/>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ody Text Indent"/>
    <w:basedOn w:val="1"/>
    <w:qFormat/>
    <w:uiPriority w:val="0"/>
    <w:pPr>
      <w:ind w:firstLine="480" w:firstLineChars="200"/>
    </w:pPr>
    <w:rPr>
      <w:sz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rFonts w:cs="Times New Roman"/>
      <w:color w:val="000000"/>
      <w:kern w:val="0"/>
      <w:szCs w:val="24"/>
    </w:rPr>
  </w:style>
  <w:style w:type="paragraph" w:customStyle="1" w:styleId="12">
    <w:name w:val="表格文字"/>
    <w:basedOn w:val="1"/>
    <w:qFormat/>
    <w:uiPriority w:val="0"/>
    <w:pPr>
      <w:spacing w:before="25" w:after="25"/>
    </w:pPr>
    <w:rPr>
      <w:bCs/>
      <w:spacing w:val="10"/>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964</Words>
  <Characters>5499</Characters>
  <Lines>45</Lines>
  <Paragraphs>12</Paragraphs>
  <TotalTime>6</TotalTime>
  <ScaleCrop>false</ScaleCrop>
  <LinksUpToDate>false</LinksUpToDate>
  <CharactersWithSpaces>6451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2020-08-15T01:06:19Z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