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0EC" w:themeFill="accent4" w:themeFillTint="32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6"/>
        <w:gridCol w:w="906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14" w:type="dxa"/>
            <w:gridSpan w:val="2"/>
            <w:vMerge w:val="restart"/>
            <w:shd w:val="clear" w:color="auto" w:fill="E6E0EC" w:themeFill="accent4" w:themeFillTint="32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06" w:type="dxa"/>
            <w:vMerge w:val="restart"/>
            <w:shd w:val="clear" w:color="auto" w:fill="E6E0EC" w:themeFill="accent4" w:themeFillTint="3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shd w:val="clear" w:color="auto" w:fill="E6E0EC" w:themeFill="accent4" w:themeFillTint="3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加工厂（采购销售）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主管领导：周德强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郑巧媛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403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  <w:vAlign w:val="center"/>
          </w:tcPr>
          <w:p/>
        </w:tc>
        <w:tc>
          <w:tcPr>
            <w:tcW w:w="906" w:type="dxa"/>
            <w:vMerge w:val="continue"/>
            <w:shd w:val="clear" w:color="auto" w:fill="E6E0EC" w:themeFill="accent4" w:themeFillTint="32"/>
            <w:vAlign w:val="center"/>
          </w:tcPr>
          <w:p/>
        </w:tc>
        <w:tc>
          <w:tcPr>
            <w:tcW w:w="10004" w:type="dxa"/>
            <w:gridSpan w:val="2"/>
            <w:shd w:val="clear" w:color="auto" w:fill="E6E0EC" w:themeFill="accent4" w:themeFillTint="3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</w:t>
            </w:r>
            <w:r>
              <w:rPr>
                <w:rFonts w:hint="eastAsia"/>
                <w:sz w:val="24"/>
                <w:szCs w:val="24"/>
              </w:rPr>
              <w:t xml:space="preserve">       审核日期：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2-12-04</w:t>
            </w: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  <w:vAlign w:val="center"/>
          </w:tcPr>
          <w:p/>
        </w:tc>
        <w:tc>
          <w:tcPr>
            <w:tcW w:w="906" w:type="dxa"/>
            <w:vMerge w:val="continue"/>
            <w:shd w:val="clear" w:color="auto" w:fill="E6E0EC" w:themeFill="accent4" w:themeFillTint="32"/>
            <w:vAlign w:val="center"/>
          </w:tcPr>
          <w:p/>
        </w:tc>
        <w:tc>
          <w:tcPr>
            <w:tcW w:w="10004" w:type="dxa"/>
            <w:gridSpan w:val="2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审核条款：Q</w:t>
            </w:r>
            <w:r>
              <w:rPr>
                <w:rFonts w:hint="eastAsia"/>
                <w:lang w:val="en-US" w:eastAsia="zh-CN"/>
              </w:rPr>
              <w:t>MS</w:t>
            </w:r>
            <w:r>
              <w:rPr>
                <w:rFonts w:hint="eastAsia"/>
              </w:rPr>
              <w:t>:5.3/6.2/7.4/8.2/</w:t>
            </w:r>
            <w:r>
              <w:rPr>
                <w:rFonts w:hint="eastAsia"/>
                <w:lang w:val="en-US" w:eastAsia="zh-CN"/>
              </w:rPr>
              <w:t>8.4/</w:t>
            </w:r>
            <w:r>
              <w:rPr>
                <w:rFonts w:hint="eastAsia"/>
              </w:rPr>
              <w:t>8.5.5/9.1.2</w:t>
            </w:r>
          </w:p>
          <w:p>
            <w:pPr>
              <w:ind w:firstLine="1260" w:firstLineChars="600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</w:rPr>
              <w:t>F</w:t>
            </w:r>
            <w:r>
              <w:rPr>
                <w:rFonts w:hint="eastAsia"/>
                <w:lang w:val="en-US" w:eastAsia="zh-CN"/>
              </w:rPr>
              <w:t>SMS</w:t>
            </w:r>
            <w:r>
              <w:rPr>
                <w:rFonts w:hint="eastAsia"/>
              </w:rPr>
              <w:t>：5.3/6.2/7.1.6/7.4</w:t>
            </w: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443" w:hRule="atLeast"/>
        </w:trPr>
        <w:tc>
          <w:tcPr>
            <w:tcW w:w="2214" w:type="dxa"/>
            <w:gridSpan w:val="2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906" w:type="dxa"/>
            <w:vMerge w:val="restart"/>
            <w:shd w:val="clear" w:color="auto" w:fill="E6E0EC" w:themeFill="accent4" w:themeFillTint="32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Q5.3</w:t>
            </w:r>
          </w:p>
          <w:p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如：</w:t>
            </w:r>
            <w:r>
              <w:rPr/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val="en-US" w:eastAsia="zh-CN"/>
              </w:rPr>
              <w:t>5.3条款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/>
              <w:sym w:font="Wingdings" w:char="F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ascii="宋体" w:hAnsi="宋体"/>
              </w:rPr>
            </w:pPr>
            <w:r>
              <w:rPr/>
              <w:sym w:font="Wingdings" w:char="F0A8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906" w:type="dxa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与部门职责相关的主要职责是：</w:t>
            </w:r>
          </w:p>
          <w:p>
            <w:pPr>
              <w:pStyle w:val="2"/>
              <w:ind w:firstLine="460" w:firstLineChars="20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主要负责接受客户订单、客户订单情况完成以及产品交付工作；负责原材料采购管理，合格供方评价管理、负责采购过程中不合格品的管理，负责顾客满意度调查、顾客抱怨投诉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经询问本部门职责未发生变化。</w:t>
            </w: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14" w:type="dxa"/>
            <w:gridSpan w:val="2"/>
            <w:vMerge w:val="restart"/>
            <w:shd w:val="clear" w:color="auto" w:fill="E6E0EC" w:themeFill="accent4" w:themeFillTint="32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质量/食品安全目标及其实现的策划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906" w:type="dxa"/>
            <w:vMerge w:val="restart"/>
            <w:shd w:val="clear" w:color="auto" w:fill="E6E0EC" w:themeFill="accent4" w:themeFillTint="32"/>
          </w:tcPr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Q6.2</w:t>
            </w:r>
          </w:p>
          <w:p>
            <w:pPr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F</w:t>
            </w:r>
            <w:r>
              <w:rPr>
                <w:color w:val="000000"/>
                <w:szCs w:val="21"/>
                <w:highlight w:val="none"/>
              </w:rPr>
              <w:t>6.2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手册第6.2条款、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highlight w:val="none"/>
              </w:rPr>
              <w:instrText xml:space="preserve">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《质量/食品安全目标及分解目标考核表》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 w:ascii="宋体" w:hAnsi="宋体"/>
                <w:highlight w:val="none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906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质量/食品安全</w:t>
            </w:r>
            <w:r>
              <w:rPr>
                <w:rFonts w:hint="eastAsia"/>
                <w:highlight w:val="none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质量/食品安全</w:t>
            </w:r>
            <w:r>
              <w:rPr>
                <w:rFonts w:hint="eastAsia"/>
                <w:highlight w:val="none"/>
              </w:rPr>
              <w:t>目标具体、有针对性、可测量并且可实现。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</w:t>
            </w:r>
            <w:r>
              <w:rPr>
                <w:rFonts w:hint="eastAsia"/>
                <w:color w:val="000000"/>
                <w:szCs w:val="21"/>
                <w:highlight w:val="none"/>
              </w:rPr>
              <w:t>质量/食品安全</w:t>
            </w:r>
            <w:r>
              <w:rPr>
                <w:rFonts w:hint="eastAsia"/>
                <w:highlight w:val="none"/>
              </w:rPr>
              <w:t>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6"/>
              <w:gridCol w:w="2551"/>
              <w:gridCol w:w="1012"/>
              <w:gridCol w:w="2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6" w:type="dxa"/>
                  <w:shd w:val="clear" w:color="auto" w:fill="auto"/>
                </w:tcPr>
                <w:p>
                  <w:pPr>
                    <w:rPr>
                      <w:rFonts w:hint="default" w:ascii="宋体" w:hAnsi="宋体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质量目标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/食品安全目标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计算方法</w:t>
                  </w:r>
                </w:p>
              </w:tc>
              <w:tc>
                <w:tcPr>
                  <w:tcW w:w="101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责任部门</w:t>
                  </w:r>
                </w:p>
              </w:tc>
              <w:tc>
                <w:tcPr>
                  <w:tcW w:w="2112" w:type="dxa"/>
                  <w:shd w:val="clear" w:color="auto" w:fill="auto"/>
                </w:tcPr>
                <w:p>
                  <w:pPr>
                    <w:rPr>
                      <w:rFonts w:hint="eastAsia" w:ascii="宋体" w:hAnsi="宋体" w:eastAsia="宋体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highlight w:val="none"/>
                    </w:rPr>
                    <w:t>目标实际完成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  <w:t>2022年第一到第三季度</w:t>
                  </w:r>
                  <w:r>
                    <w:rPr>
                      <w:rFonts w:hint="eastAsia" w:ascii="宋体" w:hAnsi="宋体"/>
                      <w:szCs w:val="21"/>
                      <w:highlight w:val="no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Times New Roman"/>
                      <w:spacing w:val="1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/>
                    </w:rPr>
                    <w:t>顾客满意率90%以上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顾客满意度调查统计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加工厂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96%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/>
                    </w:rPr>
                    <w:t>采购物资及时率≥98%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打分</w:t>
                  </w: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加工厂</w:t>
                  </w: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＞98%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szCs w:val="21"/>
                      <w:highlight w:val="none"/>
                    </w:rPr>
                  </w:pPr>
                </w:p>
              </w:tc>
              <w:tc>
                <w:tcPr>
                  <w:tcW w:w="101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112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目标已实现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顾客沟通</w:t>
            </w:r>
          </w:p>
        </w:tc>
        <w:tc>
          <w:tcPr>
            <w:tcW w:w="922" w:type="dxa"/>
            <w:gridSpan w:val="2"/>
            <w:vMerge w:val="restart"/>
            <w:shd w:val="clear" w:color="auto" w:fill="E6E0EC" w:themeFill="accent4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Q8.2.1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F7.4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Q7.4</w:t>
            </w:r>
          </w:p>
          <w:p>
            <w:pPr>
              <w:pStyle w:val="7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F8.2</w:t>
            </w:r>
          </w:p>
          <w:p>
            <w:pPr>
              <w:pStyle w:val="7"/>
              <w:jc w:val="both"/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98" w:type="dxa"/>
            <w:vMerge w:val="continue"/>
            <w:shd w:val="clear" w:color="auto" w:fill="E6E0EC" w:themeFill="accent4" w:themeFillTint="32"/>
          </w:tcPr>
          <w:p/>
        </w:tc>
        <w:tc>
          <w:tcPr>
            <w:tcW w:w="922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与顾客沟通的内容包括：</w:t>
            </w:r>
          </w:p>
          <w:p>
            <w:pPr>
              <w:pStyle w:val="7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审核周期内大客户未新增，主要都是老合作客户，即将开展《待宰委托协议》；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8"/>
              <w:gridCol w:w="2865"/>
              <w:gridCol w:w="2445"/>
              <w:gridCol w:w="26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28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2615" w:type="dxa"/>
                </w:tcPr>
                <w:p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286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提供有关产品和服务的信息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处理问询（产品介绍、订货会）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会议、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电话、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微信、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访问</w:t>
                  </w:r>
                </w:p>
              </w:tc>
              <w:tc>
                <w:tcPr>
                  <w:tcW w:w="2615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待宰委托协议》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rPr>
                      <w:b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售中</w:t>
                  </w:r>
                </w:p>
              </w:tc>
              <w:tc>
                <w:tcPr>
                  <w:tcW w:w="286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签订合同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订单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处理变更（适用时）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</w:tc>
              <w:tc>
                <w:tcPr>
                  <w:tcW w:w="2615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驻场兽医出具检疫合格证明、</w:t>
                  </w:r>
                </w:p>
                <w:p>
                  <w:pPr>
                    <w:pStyle w:val="2"/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《分销凭证》、《浙食链系统》、《肉品品质合格证》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286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获取顾客反馈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投诉处理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电子版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纸质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客诉电话</w:t>
                  </w:r>
                </w:p>
              </w:tc>
              <w:tc>
                <w:tcPr>
                  <w:tcW w:w="2615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《</w:t>
                  </w:r>
                  <w:r>
                    <w:rPr>
                      <w:rFonts w:hint="eastAsia"/>
                      <w:lang w:val="en-US" w:eastAsia="zh-CN"/>
                    </w:rPr>
                    <w:t>顾客满意度调查</w:t>
                  </w:r>
                  <w:r>
                    <w:rPr>
                      <w:rFonts w:hint="eastAsia"/>
                      <w:lang w:eastAsia="zh-CN"/>
                    </w:rPr>
                    <w:t>》、《</w:t>
                  </w:r>
                  <w:r>
                    <w:rPr>
                      <w:rFonts w:hint="eastAsia"/>
                      <w:lang w:val="en-US" w:eastAsia="zh-CN"/>
                    </w:rPr>
                    <w:t>顾客投诉</w:t>
                  </w:r>
                  <w:r>
                    <w:rPr>
                      <w:rFonts w:hint="eastAsia"/>
                      <w:lang w:eastAsia="zh-CN"/>
                    </w:rPr>
                    <w:t>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286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处置或控制顾客财产，如：</w:t>
                  </w:r>
                </w:p>
                <w:p>
                  <w:pPr>
                    <w:pStyle w:val="2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《应急死亡猪/病害猪》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现场沟通、</w:t>
                  </w:r>
                </w:p>
              </w:tc>
              <w:tc>
                <w:tcPr>
                  <w:tcW w:w="261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《无害化处理报告单》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18" w:type="dxa"/>
                </w:tcPr>
                <w:p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286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面对面或者电话等</w:t>
                  </w:r>
                </w:p>
              </w:tc>
              <w:tc>
                <w:tcPr>
                  <w:tcW w:w="261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在MSDS和安全标签中包括：火灾</w:t>
                  </w:r>
                </w:p>
              </w:tc>
            </w:tr>
          </w:tbl>
          <w:p>
            <w:pPr>
              <w:pStyle w:val="7"/>
              <w:rPr>
                <w:rFonts w:hint="eastAsia"/>
              </w:rPr>
            </w:pPr>
          </w:p>
          <w:p/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 xml:space="preserve">产品和服务要求的确定 </w:t>
            </w:r>
          </w:p>
          <w:p/>
        </w:tc>
        <w:tc>
          <w:tcPr>
            <w:tcW w:w="922" w:type="dxa"/>
            <w:gridSpan w:val="2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Q8.2.2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98" w:type="dxa"/>
            <w:vMerge w:val="continue"/>
            <w:shd w:val="clear" w:color="auto" w:fill="E6E0EC" w:themeFill="accent4" w:themeFillTint="32"/>
          </w:tcPr>
          <w:p/>
        </w:tc>
        <w:tc>
          <w:tcPr>
            <w:tcW w:w="922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 xml:space="preserve">向顾客提供的产品和服务的要求取决于： </w:t>
            </w:r>
          </w:p>
          <w:p>
            <w:pPr>
              <w:rPr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适用的法律法规要求（含产品标准），如：</w:t>
            </w:r>
            <w:r>
              <w:rPr>
                <w:rFonts w:hint="eastAsia"/>
                <w:u w:val="single"/>
              </w:rPr>
              <w:t xml:space="preserve">    食品安全国家标准、</w:t>
            </w:r>
            <w:r>
              <w:rPr>
                <w:rFonts w:hint="eastAsia"/>
                <w:u w:val="single"/>
                <w:lang w:val="en-US" w:eastAsia="zh-CN"/>
              </w:rPr>
              <w:t>GB31650、</w:t>
            </w:r>
            <w:r>
              <w:rPr>
                <w:rFonts w:hint="eastAsia"/>
                <w:sz w:val="21"/>
                <w:szCs w:val="21"/>
                <w:u w:val="single"/>
              </w:rPr>
              <w:t>GB/T19479 生猪屠宰良好操作规范、GB17236 生猪屠宰操作规程；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等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 组织认为的必要要求（企业或顾客技术要求）如：</w:t>
            </w:r>
            <w:r>
              <w:rPr>
                <w:rFonts w:hint="eastAsia"/>
                <w:u w:val="single"/>
              </w:rPr>
              <w:t xml:space="preserve">   顾客</w:t>
            </w:r>
            <w:r>
              <w:rPr>
                <w:rFonts w:hint="eastAsia"/>
                <w:u w:val="single"/>
                <w:lang w:val="en-US" w:eastAsia="zh-CN"/>
              </w:rPr>
              <w:t>特殊</w:t>
            </w:r>
            <w:r>
              <w:rPr>
                <w:rFonts w:hint="eastAsia"/>
                <w:u w:val="single"/>
              </w:rPr>
              <w:t>要求</w:t>
            </w:r>
            <w:r>
              <w:rPr>
                <w:rFonts w:hint="eastAsia"/>
                <w:u w:val="single"/>
                <w:lang w:eastAsia="zh-CN"/>
              </w:rPr>
              <w:t>【</w:t>
            </w:r>
            <w:r>
              <w:rPr>
                <w:rFonts w:hint="eastAsia"/>
                <w:u w:val="single"/>
                <w:lang w:val="en-US" w:eastAsia="zh-CN"/>
              </w:rPr>
              <w:t>暂无特殊要求</w:t>
            </w:r>
            <w:r>
              <w:rPr>
                <w:rFonts w:hint="eastAsia"/>
                <w:u w:val="single"/>
                <w:lang w:eastAsia="zh-CN"/>
              </w:rPr>
              <w:t>】</w:t>
            </w:r>
            <w:r>
              <w:rPr>
                <w:rFonts w:hint="eastAsia"/>
                <w:u w:val="single"/>
              </w:rPr>
              <w:t xml:space="preserve">                             </w:t>
            </w:r>
          </w:p>
          <w:p>
            <w:pPr>
              <w:rPr>
                <w:rFonts w:hint="eastAsia"/>
                <w:u w:val="single"/>
              </w:rPr>
            </w:pPr>
          </w:p>
          <w:p>
            <w:r>
              <w:rPr>
                <w:rFonts w:hint="eastAsia"/>
                <w:lang w:val="en-US" w:eastAsia="zh-CN"/>
              </w:rPr>
              <w:t>提供的产品和服务能够满足所声明的要求的证据，如：</w:t>
            </w:r>
            <w:r>
              <w:rPr>
                <w:rFonts w:hint="eastAsia"/>
                <w:u w:val="single"/>
                <w:lang w:val="en-US" w:eastAsia="zh-CN"/>
              </w:rPr>
              <w:t>《分销凭证》、《浙食链系统》、《肉品品质合格证》等</w:t>
            </w:r>
            <w:r>
              <w:rPr>
                <w:rFonts w:hint="eastAsia"/>
                <w:u w:val="single"/>
              </w:rPr>
              <w:t xml:space="preserve">      </w:t>
            </w: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产品和服务要求的评审</w:t>
            </w:r>
          </w:p>
        </w:tc>
        <w:tc>
          <w:tcPr>
            <w:tcW w:w="922" w:type="dxa"/>
            <w:gridSpan w:val="2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 xml:space="preserve">Q8.2.3 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98" w:type="dxa"/>
            <w:vMerge w:val="continue"/>
            <w:shd w:val="clear" w:color="auto" w:fill="E6E0EC" w:themeFill="accent4" w:themeFillTint="32"/>
          </w:tcPr>
          <w:p/>
        </w:tc>
        <w:tc>
          <w:tcPr>
            <w:tcW w:w="922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目前和顾客约定的形式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招标书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投标书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书面合同（标书、合同、订单、传真）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口头合同（电话、口述）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电子合同（e-mail）</w:t>
            </w:r>
          </w:p>
          <w:p/>
          <w:p>
            <w:r>
              <w:rPr>
                <w:rFonts w:hint="eastAsia"/>
              </w:rPr>
              <w:t>评审的方式：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授权人签字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会签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开会讨论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盖章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填写表格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在系统中审批</w:t>
            </w:r>
          </w:p>
          <w:p/>
          <w:p>
            <w:r>
              <w:rPr>
                <w:rFonts w:hint="eastAsia"/>
              </w:rPr>
              <w:t>向顾客提供的产品和服务的要求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56"/>
              <w:gridCol w:w="488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56" w:type="dxa"/>
                </w:tcPr>
                <w:p>
                  <w:r>
                    <w:rPr>
                      <w:rFonts w:hint="eastAsia"/>
                    </w:rPr>
                    <w:t>顾客明确的要求，包括对交付及交付后活动的要求；</w:t>
                  </w:r>
                </w:p>
              </w:tc>
              <w:tc>
                <w:tcPr>
                  <w:tcW w:w="488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严格控制肉品品质、宰杀及时、售后服务及时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56" w:type="dxa"/>
                </w:tcPr>
                <w:p>
                  <w:r>
                    <w:rPr>
                      <w:rFonts w:hint="eastAsia"/>
                    </w:rPr>
                    <w:t>顾客虽然没有明示，但规定的用途或已知的预期用途所必需的要求；</w:t>
                  </w:r>
                </w:p>
              </w:tc>
              <w:tc>
                <w:tcPr>
                  <w:tcW w:w="488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确保产品质量和安全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56" w:type="dxa"/>
                </w:tcPr>
                <w:p>
                  <w:r>
                    <w:rPr>
                      <w:rFonts w:hint="eastAsia"/>
                    </w:rPr>
                    <w:t>组织规定的要求；</w:t>
                  </w:r>
                </w:p>
              </w:tc>
              <w:tc>
                <w:tcPr>
                  <w:tcW w:w="488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按照农业农村局畜牧农机中心等监管部门的要求实施生猪屠宰、按照GB31650标准控制肉品品质等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56" w:type="dxa"/>
                </w:tcPr>
                <w:p>
                  <w:r>
                    <w:rPr>
                      <w:rFonts w:hint="eastAsia"/>
                    </w:rPr>
                    <w:t>适用于产品和服务的法律法规要求</w:t>
                  </w:r>
                </w:p>
              </w:tc>
              <w:tc>
                <w:tcPr>
                  <w:tcW w:w="488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国</w:t>
                  </w:r>
                  <w:r>
                    <w:t>家</w:t>
                  </w:r>
                  <w:r>
                    <w:rPr>
                      <w:rFonts w:hint="eastAsia"/>
                    </w:rPr>
                    <w:t>食品安全</w:t>
                  </w:r>
                  <w:r>
                    <w:t>法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</w:rPr>
                    <w:t xml:space="preserve"> GB/T19479、GB17236 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  <w:lang w:eastAsia="zh-CN"/>
                    </w:rPr>
                    <w:t>、</w:t>
                  </w:r>
                  <w:r>
                    <w:rPr>
                      <w:rFonts w:hint="eastAsia"/>
                      <w:sz w:val="21"/>
                      <w:szCs w:val="21"/>
                      <w:u w:val="single"/>
                      <w:lang w:val="en-US" w:eastAsia="zh-CN"/>
                    </w:rPr>
                    <w:t>GB31650等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156" w:type="dxa"/>
                </w:tcPr>
                <w:p>
                  <w:r>
                    <w:rPr>
                      <w:rFonts w:hint="eastAsia"/>
                    </w:rPr>
                    <w:t>与先前表述存在差异的合同或订单要求</w:t>
                  </w:r>
                </w:p>
              </w:tc>
              <w:tc>
                <w:tcPr>
                  <w:tcW w:w="4887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56" w:type="dxa"/>
                </w:tcPr>
                <w:p>
                  <w:r>
                    <w:rPr>
                      <w:rFonts w:hint="eastAsia"/>
                    </w:rPr>
                    <w:t>产品和服务的新要求</w:t>
                  </w:r>
                </w:p>
              </w:tc>
              <w:tc>
                <w:tcPr>
                  <w:tcW w:w="4887" w:type="dxa"/>
                </w:tcPr>
                <w:p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/>
          <w:p>
            <w:pPr>
              <w:pStyle w:val="7"/>
            </w:pP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抽取产品和服务要求的评审相关记录名称：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合同/订单评审记录 </w:t>
            </w:r>
            <w:r>
              <w:rPr>
                <w:rFonts w:hint="eastAsia"/>
                <w:highlight w:val="none"/>
                <w:u w:val="single"/>
              </w:rPr>
              <w:t>》</w:t>
            </w:r>
          </w:p>
          <w:tbl>
            <w:tblPr>
              <w:tblStyle w:val="9"/>
              <w:tblW w:w="90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2"/>
              <w:gridCol w:w="1618"/>
              <w:gridCol w:w="1088"/>
              <w:gridCol w:w="1287"/>
              <w:gridCol w:w="2144"/>
              <w:gridCol w:w="15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322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18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产品名称</w:t>
                  </w:r>
                </w:p>
              </w:tc>
              <w:tc>
                <w:tcPr>
                  <w:tcW w:w="1088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规格型号</w:t>
                  </w:r>
                </w:p>
              </w:tc>
              <w:tc>
                <w:tcPr>
                  <w:tcW w:w="1287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数量</w:t>
                  </w:r>
                  <w:r>
                    <w:rPr>
                      <w:highlight w:val="none"/>
                    </w:rPr>
                    <w:t>/</w:t>
                  </w:r>
                  <w:r>
                    <w:rPr>
                      <w:rFonts w:hint="eastAsia"/>
                      <w:highlight w:val="none"/>
                    </w:rPr>
                    <w:t>金</w:t>
                  </w:r>
                  <w:r>
                    <w:rPr>
                      <w:highlight w:val="none"/>
                    </w:rPr>
                    <w:t>额</w:t>
                  </w:r>
                </w:p>
              </w:tc>
              <w:tc>
                <w:tcPr>
                  <w:tcW w:w="2144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实际交付日期</w:t>
                  </w:r>
                </w:p>
              </w:tc>
              <w:tc>
                <w:tcPr>
                  <w:tcW w:w="1597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客</w:t>
                  </w:r>
                  <w:r>
                    <w:rPr>
                      <w:highlight w:val="none"/>
                    </w:rPr>
                    <w:t>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322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2-09-13 </w:t>
                  </w:r>
                </w:p>
              </w:tc>
              <w:tc>
                <w:tcPr>
                  <w:tcW w:w="161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生猪屠宰</w:t>
                  </w:r>
                </w:p>
              </w:tc>
              <w:tc>
                <w:tcPr>
                  <w:tcW w:w="1088" w:type="dxa"/>
                </w:tcPr>
                <w:p>
                  <w:pPr>
                    <w:jc w:val="center"/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活猪</w:t>
                  </w:r>
                </w:p>
              </w:tc>
              <w:tc>
                <w:tcPr>
                  <w:tcW w:w="1287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120头</w:t>
                  </w:r>
                </w:p>
              </w:tc>
              <w:tc>
                <w:tcPr>
                  <w:tcW w:w="2144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2022.09.15</w:t>
                  </w:r>
                </w:p>
              </w:tc>
              <w:tc>
                <w:tcPr>
                  <w:tcW w:w="1597" w:type="dxa"/>
                </w:tcPr>
                <w:p>
                  <w:pPr>
                    <w:jc w:val="center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内乡县牧原现代农业综合体有限公司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1" w:hRule="atLeast"/>
              </w:trPr>
              <w:tc>
                <w:tcPr>
                  <w:tcW w:w="1322" w:type="dxa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61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088" w:type="dxa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287" w:type="dxa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144" w:type="dxa"/>
                  <w:vAlign w:val="top"/>
                </w:tcPr>
                <w:p>
                  <w:pPr>
                    <w:pStyle w:val="7"/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97" w:type="dxa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322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61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8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87" w:type="dxa"/>
                </w:tcPr>
                <w:p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2144" w:type="dxa"/>
                </w:tcPr>
                <w:p>
                  <w:pPr>
                    <w:ind w:firstLine="420" w:firstLineChars="200"/>
                    <w:rPr>
                      <w:highlight w:val="yellow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ind w:firstLine="420" w:firstLineChars="200"/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与先前合同或订单的要求存在差异，有关事项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已得到解决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未解决，说明</w:t>
            </w:r>
            <w:r>
              <w:rPr>
                <w:rFonts w:hint="eastAsia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对顾客没有提供形成文件的要求，在接受顾客要求前应对顾客要求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进行确认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未进行确认，说明</w:t>
            </w:r>
            <w:r>
              <w:rPr>
                <w:rFonts w:hint="eastAsia"/>
                <w:highlight w:val="none"/>
                <w:u w:val="single"/>
              </w:rPr>
              <w:t xml:space="preserve">                                </w:t>
            </w:r>
            <w:r>
              <w:rPr>
                <w:rFonts w:hint="eastAsia"/>
                <w:highlight w:val="none"/>
              </w:rPr>
              <w:t xml:space="preserve">。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网上销售——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已存在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不存在 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不适用</w:t>
            </w:r>
            <w:r>
              <w:rPr>
                <w:rFonts w:hint="eastAsia"/>
                <w:highlight w:val="none"/>
                <w:lang w:eastAsia="zh-CN"/>
              </w:rPr>
              <w:t>）</w:t>
            </w:r>
          </w:p>
          <w:p>
            <w:pPr>
              <w:pStyle w:val="7"/>
              <w:rPr>
                <w:rFonts w:hint="eastAsia"/>
                <w:highlight w:val="none"/>
                <w:lang w:eastAsia="zh-CN"/>
              </w:rPr>
            </w:pPr>
          </w:p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查看公司网站的产品信息，如产品目录：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不适用）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具备提供产品或服务的能力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不具备提供产品或服务的能力</w:t>
            </w:r>
          </w:p>
          <w:p/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产品和服务要求的更改</w:t>
            </w:r>
          </w:p>
          <w:p/>
        </w:tc>
        <w:tc>
          <w:tcPr>
            <w:tcW w:w="922" w:type="dxa"/>
            <w:gridSpan w:val="2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Q8.2.4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顾客要求评审程序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8" w:type="dxa"/>
            <w:vMerge w:val="continue"/>
            <w:shd w:val="clear" w:color="auto" w:fill="E6E0EC" w:themeFill="accent4" w:themeFillTint="32"/>
          </w:tcPr>
          <w:p/>
        </w:tc>
        <w:tc>
          <w:tcPr>
            <w:tcW w:w="922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变更的内容：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数量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交期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□技术要求（图纸、工艺）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交付方式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包装形式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>
            <w:r>
              <w:rPr>
                <w:rFonts w:hint="eastAsia"/>
              </w:rPr>
              <w:t>变更的原因：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顾客需求变化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原材料</w:t>
            </w:r>
            <w:r>
              <w:rPr>
                <w:rFonts w:hint="eastAsia"/>
              </w:rPr>
              <w:t xml:space="preserve">供货不足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法律</w:t>
            </w:r>
            <w:r>
              <w:rPr>
                <w:rFonts w:hint="eastAsia"/>
              </w:rPr>
              <w:t xml:space="preserve">法规限制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其他；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抽取产品和服务变更相关记录名称：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近一年</w:t>
            </w:r>
            <w:r>
              <w:rPr>
                <w:rFonts w:hint="eastAsia"/>
                <w:u w:val="single"/>
              </w:rPr>
              <w:t>以来，未发生变更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726"/>
              <w:gridCol w:w="3075"/>
              <w:gridCol w:w="1429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726" w:type="dxa"/>
                </w:tcPr>
                <w:p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3075" w:type="dxa"/>
                </w:tcPr>
                <w:p>
                  <w:r>
                    <w:rPr>
                      <w:rFonts w:hint="eastAsia"/>
                    </w:rPr>
                    <w:t>变更的内容</w:t>
                  </w:r>
                </w:p>
              </w:tc>
              <w:tc>
                <w:tcPr>
                  <w:tcW w:w="1429" w:type="dxa"/>
                </w:tcPr>
                <w:p>
                  <w:r>
                    <w:rPr>
                      <w:rFonts w:hint="eastAsia"/>
                    </w:rPr>
                    <w:t>评审结果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传递到相关人员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3075" w:type="dxa"/>
                </w:tcPr>
                <w:p/>
              </w:tc>
              <w:tc>
                <w:tcPr>
                  <w:tcW w:w="1429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3075" w:type="dxa"/>
                </w:tcPr>
                <w:p/>
              </w:tc>
              <w:tc>
                <w:tcPr>
                  <w:tcW w:w="1429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726" w:type="dxa"/>
                </w:tcPr>
                <w:p/>
              </w:tc>
              <w:tc>
                <w:tcPr>
                  <w:tcW w:w="3075" w:type="dxa"/>
                </w:tcPr>
                <w:p/>
              </w:tc>
              <w:tc>
                <w:tcPr>
                  <w:tcW w:w="1429" w:type="dxa"/>
                </w:tcPr>
                <w:p/>
              </w:tc>
              <w:tc>
                <w:tcPr>
                  <w:tcW w:w="2046" w:type="dxa"/>
                </w:tcPr>
                <w:p/>
              </w:tc>
            </w:tr>
          </w:tbl>
          <w:p/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14" w:type="dxa"/>
            <w:gridSpan w:val="2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外部提供的过程、产品和</w:t>
            </w:r>
            <w:bookmarkStart w:id="1" w:name="_GoBack"/>
            <w:bookmarkEnd w:id="1"/>
            <w:r>
              <w:rPr>
                <w:rFonts w:hint="eastAsia"/>
              </w:rPr>
              <w:t>服务的控制</w:t>
            </w:r>
          </w:p>
        </w:tc>
        <w:tc>
          <w:tcPr>
            <w:tcW w:w="906" w:type="dxa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Q8.4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F7.1.6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管理程序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不合格品控制程序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 w:ascii="宋体" w:hAnsi="宋体"/>
              </w:rPr>
              <w:t>符合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906" w:type="dxa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外部提供的过程、产品和服务包括：</w:t>
            </w:r>
          </w:p>
          <w:p>
            <w:pPr>
              <w:ind w:left="210" w:leftChars="100"/>
              <w:rPr>
                <w:rFonts w:hint="eastAsia"/>
                <w:lang w:eastAsia="zh-CN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原材料采购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产品的设计和开发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产品检测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某加工工序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部分产品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工装订制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设备维修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运输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售后服务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不合格品处置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顾客满意调查  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</w:instrText>
            </w:r>
            <w:r>
              <w:rPr>
                <w:rFonts w:hint="eastAsia" w:ascii="宋体" w:hAnsi="宋体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</w:rPr>
              <w:instrText xml:space="preserve"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  <w:lang w:val="en-US" w:eastAsia="zh-CN"/>
              </w:rPr>
              <w:t xml:space="preserve">虫害控制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lang w:eastAsia="zh-CN"/>
              </w:rPr>
              <w:t>——</w:t>
            </w:r>
          </w:p>
          <w:p>
            <w:pPr>
              <w:ind w:left="210" w:leftChars="100"/>
              <w:rPr>
                <w:rFonts w:hint="eastAsia"/>
                <w:lang w:eastAsia="zh-CN"/>
              </w:rPr>
            </w:pPr>
          </w:p>
          <w:p>
            <w:pPr>
              <w:pStyle w:val="2"/>
              <w:spacing w:line="360" w:lineRule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公司经营特点：主要以客户上门委托屠宰为主，涉及的生猪由客户提供，经驻场兽医检疫合格；方可入厂进行宰杀，宰杀后，客户自提见“检验室”审核记录；采购主要负责辅料等的采购；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从《合格</w:t>
            </w:r>
            <w:r>
              <w:rPr>
                <w:rFonts w:hint="eastAsia"/>
                <w:lang w:eastAsia="zh-CN"/>
              </w:rPr>
              <w:t>供货商信息记录表</w:t>
            </w:r>
            <w:r>
              <w:rPr>
                <w:rFonts w:hint="eastAsia"/>
              </w:rPr>
              <w:t>》中抽取下列证据：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新外部供方的初始评价和选择要求——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暂无新合格供方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抽查新外部供方的评价记录名称：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合格供方名单</w:t>
            </w:r>
            <w:r>
              <w:rPr>
                <w:rFonts w:hint="eastAsia"/>
                <w:u w:val="single"/>
              </w:rPr>
              <w:t xml:space="preserve">  》</w:t>
            </w:r>
            <w:r>
              <w:rPr>
                <w:rFonts w:hint="eastAsia"/>
                <w:u w:val="single"/>
                <w:lang w:val="en-US" w:eastAsia="zh-CN"/>
              </w:rPr>
              <w:t>合格供方5家，随机抽取:</w:t>
            </w:r>
          </w:p>
          <w:p>
            <w:pPr>
              <w:rPr>
                <w:rFonts w:hint="eastAsia"/>
                <w:u w:val="singl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北京明日达科技发展有限责任公司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lang w:val="en-US" w:eastAsia="zh-CN"/>
                    </w:rPr>
                    <w:t>非洲猪瘟病毒荧光PCR核酸检测试剂盒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91110108102113233N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兽药生产许可证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（2020）兽药生产证字01068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中华人民共和国农业农村部兽药产品批准文号批件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07040020210126-070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印刷经营许可证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 型式检测报告编号：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rFonts w:hint="default"/>
                      <w:highlight w:val="yellow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  <w:u w:val="single"/>
                    </w:rPr>
                    <w:t>其他</w:t>
                  </w:r>
                  <w:r>
                    <w:rPr>
                      <w:rFonts w:hint="eastAsia"/>
                      <w:highlight w:val="none"/>
                      <w:u w:val="single"/>
                      <w:lang w:val="en-US" w:eastAsia="zh-CN"/>
                    </w:rPr>
                    <w:t>:—兽用生物制品生产与检验报告，报告编号BGSCP2022013;报告日期：2022-10-13，包括特异性检验、敏感性检验等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满足合格供方要求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不符合合格供方要求</w:t>
                  </w:r>
                </w:p>
              </w:tc>
            </w:tr>
          </w:tbl>
          <w:p/>
          <w:p/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北京维德维康生物技术有限公司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克伦莱克沙丁三联快速检测卡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9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111101086796241695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兽药经营学许可证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（2019）兽药经营证字01001145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克伦莱克沙丁三联快速检测卡验证报告，验证单位：中国农业大学国家兽药残留基准实验室，评价结论：北京维德维康生物技术有限公司提供的k克伦莱克沙丁三联快速检测卡，其适用范围为尿液，检测限分别为：克伦特罗3微克/升，莱克多巴胺3微克/升，沙丁胺醇5微克/升，日期：2022-05-27；</w:t>
                  </w:r>
                </w:p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三门县民生医药器材有限公司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兽用一次性采血盛血器 5mL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>9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13310227047030463</w:t>
                  </w:r>
                  <w:r>
                    <w:rPr>
                      <w:rFonts w:hint="eastAsia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医疗器械经营许可证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浙台食药监械经营许20160092号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——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成品检验报告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u w:val="single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/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湖南五指峰生化有限公司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菌毒涤、消毒威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收集评价资质材料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《营业执照》编号：</w:t>
                  </w:r>
                  <w:r>
                    <w:rPr>
                      <w:rFonts w:hint="eastAsia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u w:val="single"/>
                      <w:lang w:val="en-US" w:eastAsia="zh-CN"/>
                    </w:rPr>
                    <w:t>91430181184213632W</w:t>
                  </w:r>
                  <w:r>
                    <w:rPr>
                      <w:rFonts w:hint="eastAsia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中华人民共和国农业农村部兽药产品批准文号批件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07040020210519-173/07040020210519-192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  <w:r>
                    <w:rPr>
                      <w:rFonts w:hint="eastAsia"/>
                      <w:color w:val="auto"/>
                      <w:lang w:eastAsia="zh-CN"/>
                    </w:rPr>
                    <w:t>——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二氯异氰尿酸钠粉（五指峰消毒威）报告书编号：100220007；报告日期：2022-09-30；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u w:val="single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提供产品、过程和服务的绩效情况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满足要求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供方现场评价情况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第二方审核情况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其他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继续为合格供方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不继续为合格供方</w:t>
                  </w:r>
                </w:p>
              </w:tc>
            </w:tr>
          </w:tbl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同时还抽查了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虫害控制服务  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武义佳家环保科技有限公司 【合同：2022-09-01至2023-08-31，实施情况见加工厂审核记录</w:t>
            </w:r>
            <w:r>
              <w:rPr>
                <w:rFonts w:hint="eastAsia"/>
                <w:color w:val="FF0000"/>
                <w:highlight w:val="none"/>
                <w:u w:val="single"/>
                <w:lang w:val="en-US" w:eastAsia="zh-CN"/>
              </w:rPr>
              <w:t>】【未将外部提供虫害控制服务的供方列入《合格供应商名录》，也未见2022年度对其进行供方复评的证据】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XXX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XXX有限公司 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XXX  </w:t>
            </w:r>
            <w:r>
              <w:rPr>
                <w:rFonts w:hint="eastAsia"/>
                <w:highlight w:val="none"/>
              </w:rPr>
              <w:t>的供方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XXXXX </w:t>
            </w:r>
            <w:r>
              <w:rPr>
                <w:rFonts w:hint="eastAsia"/>
                <w:highlight w:val="none"/>
              </w:rPr>
              <w:t>；与上述供方评价和选择控制情况。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一致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不充分，说明： </w:t>
            </w:r>
            <w:r>
              <w:rPr>
                <w:rFonts w:hint="eastAsia"/>
                <w:highlight w:val="none"/>
                <w:u w:val="single"/>
              </w:rPr>
              <w:t xml:space="preserve">                  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产品运输：</w:t>
            </w:r>
            <w:r>
              <w:rPr>
                <w:rFonts w:hint="eastAsia"/>
                <w:color w:val="0000FF"/>
                <w:highlight w:val="none"/>
                <w:u w:val="single"/>
                <w:lang w:val="en-US" w:eastAsia="zh-CN"/>
              </w:rPr>
              <w:t>客户来厂自提 ，进厂有车辆消毒，出厂时有车辆卫生检查记录，见加工厂审核记录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。</w:t>
            </w: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906" w:type="dxa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在生产现场和库房确认有是否有是从非合格供方处采购的材料。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 xml:space="preserve">没有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14" w:type="dxa"/>
            <w:gridSpan w:val="2"/>
            <w:vMerge w:val="restart"/>
            <w:shd w:val="clear" w:color="auto" w:fill="E6E0EC" w:themeFill="accent4" w:themeFillTint="32"/>
          </w:tcPr>
          <w:p>
            <w:r>
              <w:rPr>
                <w:rFonts w:hint="eastAsia"/>
              </w:rPr>
              <w:t>控制类型和程度</w:t>
            </w:r>
          </w:p>
          <w:p/>
          <w:p/>
        </w:tc>
        <w:tc>
          <w:tcPr>
            <w:tcW w:w="906" w:type="dxa"/>
            <w:vMerge w:val="restart"/>
            <w:shd w:val="clear" w:color="auto" w:fill="E6E0EC" w:themeFill="accent4" w:themeFillTint="3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Q8.4.2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F7.4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Q7.4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手册8</w:t>
            </w:r>
            <w:r>
              <w:t>.4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《采购</w:t>
            </w:r>
            <w:r>
              <w:rPr>
                <w:rFonts w:hint="eastAsia"/>
                <w:lang w:val="en-US" w:eastAsia="zh-CN"/>
              </w:rPr>
              <w:t>管理程序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</w:rPr>
              <w:t>符合</w:t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4175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</w:tcPr>
          <w:p/>
        </w:tc>
        <w:tc>
          <w:tcPr>
            <w:tcW w:w="906" w:type="dxa"/>
            <w:vMerge w:val="continue"/>
            <w:shd w:val="clear" w:color="auto" w:fill="E6E0EC" w:themeFill="accent4" w:themeFillTint="32"/>
          </w:tcPr>
          <w:p/>
        </w:tc>
        <w:tc>
          <w:tcPr>
            <w:tcW w:w="745" w:type="dxa"/>
            <w:shd w:val="clear" w:color="auto" w:fill="E6E0EC" w:themeFill="accent4" w:themeFillTint="32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对供方控制的类型和程度要求：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/>
          <w:p>
            <w:pPr>
              <w:jc w:val="left"/>
            </w:pPr>
            <w:r>
              <w:rPr>
                <w:rFonts w:hint="eastAsia"/>
              </w:rPr>
              <w:t>抽查重要供方的评价记录名称：</w:t>
            </w:r>
            <w:r>
              <w:rPr>
                <w:rFonts w:hint="eastAsia"/>
                <w:u w:val="single"/>
              </w:rPr>
              <w:t xml:space="preserve">《  </w:t>
            </w:r>
            <w:r>
              <w:rPr>
                <w:rFonts w:hint="eastAsia"/>
                <w:u w:val="single"/>
                <w:lang w:val="en-US" w:eastAsia="zh-CN"/>
              </w:rPr>
              <w:t>供方评调查表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北京维德维康生物技术有限公司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克伦莱克沙丁三联快速检测卡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对供方控制有效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对供方控制失效 </w:t>
                  </w:r>
                </w:p>
              </w:tc>
            </w:tr>
          </w:tbl>
          <w:p/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北京维德维康生物技术有限公司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克伦莱克沙丁三联快速检测卡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评价方法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对供方控制有效   </w:t>
                  </w: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对供方控制失效 </w:t>
                  </w:r>
                </w:p>
              </w:tc>
            </w:tr>
          </w:tbl>
          <w:p/>
          <w:p>
            <w:pPr>
              <w:pStyle w:val="2"/>
            </w:pPr>
          </w:p>
          <w:p>
            <w:pPr>
              <w:pStyle w:val="2"/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8"/>
              <w:gridCol w:w="70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供方名称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pStyle w:val="2"/>
                    <w:rPr>
                      <w:rFonts w:hint="default" w:ascii="宋体" w:hAnsi="宋体" w:eastAsia="宋体" w:cs="宋体"/>
                      <w:bCs/>
                      <w:color w:val="000000"/>
                      <w:kern w:val="0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湖南五指峰生化有限公司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提供的产品/过程/服务种类</w:t>
                  </w:r>
                </w:p>
              </w:tc>
              <w:tc>
                <w:tcPr>
                  <w:tcW w:w="7085" w:type="dxa"/>
                  <w:vAlign w:val="top"/>
                </w:tcPr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菌毒涤、消毒威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评价方法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验证数量、外观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查验供方的产品合格证、检验报告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采购（外包过程）产品的进货检验或验证要求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查验国家、行业、第三方产品检验报告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第三方管理体系、产品认证的要求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第二方体系、过程产品的审核、验证的要求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生产件批准程序的要求（或部分要求——产品、过程和设备的批准要求）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人员资格的要求</w:t>
                  </w:r>
                </w:p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对供方的供方的管理体系要求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供货及时、价格合理</w:t>
                  </w:r>
                </w:p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评价、选择和再评价供方的内容、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资质、价格、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产品质量、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信誉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设备水平和状况、测量系统、技术水平、人员素质和能力、交付、守法意识、本行业中的地位、以往业绩、其他顾客满意程度、财务、售后服务、潜在按期高效供货的潜在能力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58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7085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对供方控制有效  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对供方控制失效 </w:t>
                  </w:r>
                </w:p>
              </w:tc>
            </w:tr>
          </w:tbl>
          <w:p/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同时还抽查了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XXX 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XXXX公司  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XXX   </w:t>
            </w:r>
            <w:r>
              <w:rPr>
                <w:rFonts w:hint="eastAsia"/>
              </w:rPr>
              <w:t>的供方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XXXX公司    </w:t>
            </w:r>
            <w:r>
              <w:rPr>
                <w:rFonts w:hint="eastAsia"/>
              </w:rPr>
              <w:t>；与上述供方评价和选择控制情况。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/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14" w:type="dxa"/>
            <w:gridSpan w:val="2"/>
            <w:vMerge w:val="restart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提供给外部供方的信息</w:t>
            </w:r>
          </w:p>
        </w:tc>
        <w:tc>
          <w:tcPr>
            <w:tcW w:w="906" w:type="dxa"/>
            <w:vMerge w:val="restart"/>
            <w:shd w:val="clear" w:color="auto" w:fill="E6E0EC" w:themeFill="accent4" w:themeFillTint="32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Q8.4.3 </w:t>
            </w:r>
          </w:p>
          <w:p>
            <w:pP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F7.4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Q7.4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手册8</w:t>
            </w:r>
            <w:r>
              <w:rPr>
                <w:highlight w:val="none"/>
              </w:rPr>
              <w:t>.4</w:t>
            </w:r>
            <w:r>
              <w:rPr>
                <w:rFonts w:hint="eastAsia"/>
                <w:highlight w:val="none"/>
              </w:rPr>
              <w:t>条款、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《采购</w:t>
            </w:r>
            <w:r>
              <w:rPr>
                <w:rFonts w:hint="eastAsia"/>
                <w:highlight w:val="none"/>
                <w:lang w:val="en-US" w:eastAsia="zh-CN"/>
              </w:rPr>
              <w:t>管理程序</w:t>
            </w:r>
            <w:r>
              <w:rPr>
                <w:rFonts w:hint="eastAsia"/>
                <w:highlight w:val="none"/>
              </w:rPr>
              <w:t>》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合格供方选择与管理程序</w:t>
            </w:r>
            <w:r>
              <w:rPr>
                <w:rFonts w:hint="eastAsia" w:ascii="宋体" w:hAnsi="宋体"/>
                <w:highlight w:val="none"/>
                <w:lang w:eastAsia="zh-CN"/>
              </w:rPr>
              <w:t>》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 w:ascii="宋体" w:hAnsi="宋体"/>
                <w:highlight w:val="none"/>
              </w:rPr>
              <w:t>符合</w:t>
            </w:r>
          </w:p>
          <w:p>
            <w:pPr>
              <w:rPr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 w:ascii="宋体" w:hAnsi="宋体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90" w:hRule="atLeast"/>
        </w:trPr>
        <w:tc>
          <w:tcPr>
            <w:tcW w:w="2214" w:type="dxa"/>
            <w:gridSpan w:val="2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906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在与外部供方沟通之前，所确定的要求是：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充分适宜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不充分适宜，说明： </w:t>
            </w:r>
            <w:r>
              <w:rPr>
                <w:rFonts w:hint="eastAsia"/>
                <w:highlight w:val="none"/>
                <w:u w:val="single"/>
              </w:rPr>
              <w:t xml:space="preserve">                     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</w:p>
          <w:p>
            <w:pPr>
              <w:rPr>
                <w:strike w:val="0"/>
                <w:dstrike w:val="0"/>
                <w:highlight w:val="none"/>
              </w:rPr>
            </w:pPr>
            <w:r>
              <w:rPr>
                <w:rFonts w:hint="eastAsia"/>
                <w:strike w:val="0"/>
                <w:dstrike w:val="0"/>
                <w:highlight w:val="none"/>
              </w:rPr>
              <w:t>抽查</w:t>
            </w:r>
            <w:bookmarkStart w:id="0" w:name="_Hlk55997104"/>
            <w:r>
              <w:rPr>
                <w:rFonts w:hint="eastAsia"/>
                <w:strike w:val="0"/>
                <w:dstrike w:val="0"/>
                <w:highlight w:val="none"/>
              </w:rPr>
              <w:t>《采购合同》及《采购计划》</w:t>
            </w:r>
            <w:bookmarkEnd w:id="0"/>
            <w:r>
              <w:rPr>
                <w:rFonts w:hint="eastAsia"/>
                <w:strike w:val="0"/>
                <w:dstrike w:val="0"/>
                <w:highlight w:val="none"/>
              </w:rPr>
              <w:t>。组织与外部供方沟通以下要求：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1"/>
              <w:gridCol w:w="2608"/>
              <w:gridCol w:w="2427"/>
              <w:gridCol w:w="9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采购订单号/日期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日期：2022年11月3日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日期：2022年6月1日</w:t>
                  </w:r>
                </w:p>
              </w:tc>
              <w:tc>
                <w:tcPr>
                  <w:tcW w:w="967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过程、产品和服务名称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瘦肉精检测卡、非瘟检测试剂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瘦肉精检测卡、非瘟检测试剂</w:t>
                  </w:r>
                </w:p>
              </w:tc>
              <w:tc>
                <w:tcPr>
                  <w:tcW w:w="967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过程、产品和服务要求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符合产品要求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符合产品要求</w:t>
                  </w:r>
                </w:p>
              </w:tc>
              <w:tc>
                <w:tcPr>
                  <w:tcW w:w="967" w:type="dxa"/>
                </w:tcPr>
                <w:p>
                  <w:pPr>
                    <w:rPr>
                      <w:rFonts w:hint="default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 xml:space="preserve">产品和服务批准； 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符合采购要求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符合采购要求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方法、过程和设备的批准；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加工厂厂长总经理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加工厂厂长总经理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产品和服务的放行的批准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加工厂总经理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加工厂总经理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能力，包括所要求的人员资格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符合公司的人员能力要求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符合公司的人员能力要求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外部供方与组织的互动；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供方发货到公司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供方发货到公司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组织使用的外部供方绩效的控制和监视；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default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每年进行供方评价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每年进行供方评价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组织或其顾客拟在外部供方</w:t>
                  </w:r>
                </w:p>
                <w:p>
                  <w:pPr>
                    <w:rPr>
                      <w:strike w:val="0"/>
                      <w:dstrike w:val="0"/>
                      <w:highlight w:val="none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</w:rPr>
                    <w:t>实施的验证或确认活动。</w:t>
                  </w: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eastAsia" w:eastAsia="宋体"/>
                      <w:strike w:val="0"/>
                      <w:dstrike w:val="0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不涉及</w:t>
                  </w: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trike w:val="0"/>
                      <w:dstrike w:val="0"/>
                      <w:highlight w:val="none"/>
                      <w:lang w:val="en-US" w:eastAsia="zh-CN"/>
                    </w:rPr>
                    <w:t>不涉及</w:t>
                  </w: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strike w:val="0"/>
                      <w:dstrike w:val="0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strike w:val="0"/>
                      <w:dstrike w:val="0"/>
                      <w:highlight w:val="none"/>
                    </w:rPr>
                  </w:pP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eastAsia"/>
                      <w:strike w:val="0"/>
                      <w:dstrike w:val="0"/>
                      <w:highlight w:val="none"/>
                    </w:rPr>
                  </w:pP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eastAsia"/>
                      <w:strike w:val="0"/>
                      <w:dstrike w:val="0"/>
                      <w:highlight w:val="none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eastAsia"/>
                      <w:strike w:val="0"/>
                      <w:dstrike w:val="0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1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2608" w:type="dxa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2427" w:type="dxa"/>
                  <w:vAlign w:val="top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  <w:tc>
                <w:tcPr>
                  <w:tcW w:w="967" w:type="dxa"/>
                  <w:vAlign w:val="top"/>
                </w:tcPr>
                <w:p>
                  <w:pPr>
                    <w:rPr>
                      <w:rFonts w:hint="eastAsia"/>
                      <w:strike/>
                      <w:dstrike w:val="0"/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468" w:hRule="atLeast"/>
        </w:trPr>
        <w:tc>
          <w:tcPr>
            <w:tcW w:w="2198" w:type="dxa"/>
            <w:vMerge w:val="restart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交付后的活动</w:t>
            </w:r>
          </w:p>
        </w:tc>
        <w:tc>
          <w:tcPr>
            <w:tcW w:w="922" w:type="dxa"/>
            <w:gridSpan w:val="2"/>
            <w:vMerge w:val="restart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Q8.5.5 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手册8</w:t>
            </w:r>
            <w:r>
              <w:rPr>
                <w:highlight w:val="none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条款、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顾客要求评审程序</w:t>
            </w:r>
            <w:r>
              <w:rPr>
                <w:rFonts w:hint="eastAsia"/>
                <w:highlight w:val="none"/>
              </w:rPr>
              <w:t>》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服务管理程序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fldChar w:fldCharType="begin"/>
            </w:r>
            <w:r>
              <w:rPr>
                <w:rFonts w:ascii="宋体" w:hAnsi="宋体"/>
                <w:color w:val="auto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auto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)</w:instrText>
            </w:r>
            <w:r>
              <w:rPr>
                <w:rFonts w:ascii="宋体" w:hAnsi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highlight w:val="none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0EC" w:themeFill="accent4" w:themeFillTint="32"/>
        </w:tblPrEx>
        <w:trPr>
          <w:trHeight w:val="765" w:hRule="atLeast"/>
        </w:trPr>
        <w:tc>
          <w:tcPr>
            <w:tcW w:w="2198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922" w:type="dxa"/>
            <w:gridSpan w:val="2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pStyle w:val="7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经沟通，顾客无特殊的食品安全要求。</w:t>
            </w:r>
          </w:p>
          <w:p>
            <w:pPr>
              <w:pStyle w:val="7"/>
              <w:ind w:left="0" w:leftChars="0" w:firstLine="420" w:firstLineChars="2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交付过程：顾客根据需要，每批拉生猪到厂进行屠宰，屠宰结束，经加工厂检验合格后，出具肉品品质合格证明等文件，并上报浙食链，客户来厂自提；</w:t>
            </w: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交付后服务的内容：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技术咨询/培训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安装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调试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维修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</w:instrText>
            </w:r>
            <w:r>
              <w:rPr>
                <w:rFonts w:hint="eastAsia"/>
                <w:highlight w:val="none"/>
              </w:rPr>
              <w:instrText xml:space="preserve">eq \o\ac(□)</w:instrText>
            </w:r>
            <w:r>
              <w:rPr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三包（包退、包换、包修）</w:t>
            </w:r>
          </w:p>
          <w:p>
            <w:pPr>
              <w:ind w:firstLine="1890" w:firstLineChars="9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回收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最终报废处置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其他</w:t>
            </w:r>
            <w:r>
              <w:rPr>
                <w:rFonts w:hint="eastAsia"/>
                <w:highlight w:val="none"/>
                <w:lang w:eastAsia="zh-CN"/>
              </w:rPr>
              <w:t>——</w:t>
            </w:r>
            <w:r>
              <w:rPr>
                <w:rFonts w:hint="eastAsia"/>
                <w:highlight w:val="none"/>
                <w:lang w:val="en-US" w:eastAsia="zh-CN"/>
              </w:rPr>
              <w:t xml:space="preserve">退换货   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其他</w:t>
            </w:r>
            <w:r>
              <w:rPr>
                <w:rFonts w:hint="eastAsia"/>
                <w:highlight w:val="none"/>
                <w:lang w:eastAsia="zh-CN"/>
              </w:rPr>
              <w:t>—</w:t>
            </w:r>
            <w:r>
              <w:rPr>
                <w:rFonts w:hint="eastAsia"/>
                <w:highlight w:val="none"/>
                <w:lang w:val="en-US" w:eastAsia="zh-CN"/>
              </w:rPr>
              <w:t>屠宰质量的反馈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抽取交付后的活动控制相关记录名称：《  </w:t>
            </w:r>
            <w:r>
              <w:rPr>
                <w:rFonts w:hint="eastAsia"/>
                <w:highlight w:val="none"/>
                <w:lang w:val="en-US" w:eastAsia="zh-CN"/>
              </w:rPr>
              <w:t>近一年以来未发生顾客反馈/投诉情况</w:t>
            </w:r>
            <w:r>
              <w:rPr>
                <w:rFonts w:hint="eastAsia"/>
                <w:highlight w:val="none"/>
              </w:rPr>
              <w:t xml:space="preserve">    》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0"/>
              <w:gridCol w:w="1533"/>
              <w:gridCol w:w="1200"/>
              <w:gridCol w:w="200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客户名称</w:t>
                  </w:r>
                </w:p>
              </w:tc>
              <w:tc>
                <w:tcPr>
                  <w:tcW w:w="120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服务地点</w:t>
                  </w:r>
                </w:p>
              </w:tc>
              <w:tc>
                <w:tcPr>
                  <w:tcW w:w="200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 xml:space="preserve"> 售后服务内容</w:t>
                  </w:r>
                </w:p>
              </w:tc>
              <w:tc>
                <w:tcPr>
                  <w:tcW w:w="159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服务始末时间</w:t>
                  </w:r>
                </w:p>
              </w:tc>
              <w:tc>
                <w:tcPr>
                  <w:tcW w:w="175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顾客确认意见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3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20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03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9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5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pStyle w:val="7"/>
              <w:ind w:left="0" w:leftChars="0" w:firstLine="0" w:firstLineChars="0"/>
              <w:rPr>
                <w:rFonts w:hint="default" w:eastAsia="宋体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98" w:type="dxa"/>
            <w:vMerge w:val="restart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顾客满意</w:t>
            </w:r>
          </w:p>
        </w:tc>
        <w:tc>
          <w:tcPr>
            <w:tcW w:w="922" w:type="dxa"/>
            <w:gridSpan w:val="2"/>
            <w:vMerge w:val="restart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Q9.1.2</w:t>
            </w: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\o\ac(□,√)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highlight w:val="none"/>
              </w:rPr>
              <w:t>《顾客满意</w:t>
            </w:r>
            <w:r>
              <w:rPr>
                <w:rFonts w:hint="eastAsia"/>
                <w:highlight w:val="none"/>
                <w:lang w:val="en-US" w:eastAsia="zh-CN"/>
              </w:rPr>
              <w:t>度测量</w:t>
            </w:r>
            <w:r>
              <w:rPr>
                <w:rFonts w:hint="eastAsia"/>
                <w:highlight w:val="none"/>
              </w:rPr>
              <w:t>控制程序》</w:t>
            </w:r>
          </w:p>
        </w:tc>
        <w:tc>
          <w:tcPr>
            <w:tcW w:w="1585" w:type="dxa"/>
            <w:vMerge w:val="restart"/>
            <w:shd w:val="clear" w:color="auto" w:fill="E6E0EC" w:themeFill="accent4" w:themeFillTint="32"/>
          </w:tcPr>
          <w:p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fldChar w:fldCharType="begin"/>
            </w:r>
            <w:r>
              <w:rPr>
                <w:rFonts w:ascii="宋体" w:hAnsi="宋体"/>
                <w:color w:val="auto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eq \o\ac(□</w:instrTex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color w:val="auto"/>
                <w:position w:val="2"/>
                <w:sz w:val="13"/>
                <w:highlight w:val="none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color w:val="auto"/>
                <w:highlight w:val="none"/>
              </w:rPr>
              <w:instrText xml:space="preserve">)</w:instrText>
            </w:r>
            <w:r>
              <w:rPr>
                <w:rFonts w:ascii="宋体" w:hAnsi="宋体"/>
                <w:color w:val="auto"/>
                <w:highlight w:val="none"/>
              </w:rPr>
              <w:fldChar w:fldCharType="end"/>
            </w:r>
            <w:r>
              <w:rPr>
                <w:rFonts w:hint="eastAsia" w:ascii="宋体" w:hAnsi="宋体"/>
                <w:color w:val="auto"/>
                <w:highlight w:val="none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98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922" w:type="dxa"/>
            <w:gridSpan w:val="2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  <w:tc>
          <w:tcPr>
            <w:tcW w:w="745" w:type="dxa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E6E0EC" w:themeFill="accent4" w:themeFillTint="32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ascii="宋体" w:hAnsi="宋体"/>
                <w:highlight w:val="none"/>
              </w:rPr>
              <w:fldChar w:fldCharType="begin"/>
            </w:r>
            <w:r>
              <w:rPr>
                <w:rFonts w:ascii="宋体" w:hAnsi="宋体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highlight w:val="none"/>
              </w:rPr>
              <w:instrText xml:space="preserve">eq \o\ac(□)</w:instrText>
            </w:r>
            <w:r>
              <w:rPr>
                <w:rFonts w:ascii="宋体" w:hAnsi="宋体"/>
                <w:highlight w:val="none"/>
              </w:rPr>
              <w:fldChar w:fldCharType="end"/>
            </w:r>
            <w:r>
              <w:rPr>
                <w:rFonts w:hint="eastAsia"/>
                <w:color w:val="000000"/>
                <w:szCs w:val="18"/>
                <w:highlight w:val="none"/>
              </w:rPr>
              <w:t>自管理体系建立后/</w:t>
            </w:r>
            <w:r>
              <w:rPr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近一年</w:t>
            </w:r>
            <w:r>
              <w:rPr>
                <w:rFonts w:hint="eastAsia"/>
                <w:color w:val="000000"/>
                <w:szCs w:val="18"/>
                <w:highlight w:val="none"/>
              </w:rPr>
              <w:t>，顾客满意的收集、分析和改进证据如下：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1556"/>
              <w:gridCol w:w="3045"/>
              <w:gridCol w:w="25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顾客满意获取方法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获取周期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评价概述或结果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改进措施描述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顾客调查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每年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highlight w:val="none"/>
                    </w:rPr>
                    <w:t>份问卷；收回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highlight w:val="none"/>
                    </w:rPr>
                    <w:t>份 ，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顾客满意度调查表</w:t>
                  </w:r>
                  <w:r>
                    <w:rPr>
                      <w:rFonts w:hint="eastAsia"/>
                      <w:highlight w:val="none"/>
                      <w:lang w:eastAsia="zh-CN"/>
                    </w:rPr>
                    <w:t>》</w:t>
                  </w:r>
                </w:p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结果：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无不满意情况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顾客对交付产品或服务的反馈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每批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顾客座谈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市场占有率分析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顾客赞扬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随时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没有发生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担保索赔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每批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经销商报告</w:t>
                  </w:r>
                </w:p>
              </w:tc>
              <w:tc>
                <w:tcPr>
                  <w:tcW w:w="15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每年</w:t>
                  </w:r>
                </w:p>
              </w:tc>
              <w:tc>
                <w:tcPr>
                  <w:tcW w:w="3045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25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continue"/>
            <w:shd w:val="clear" w:color="auto" w:fill="E6E0EC" w:themeFill="accent4" w:themeFillTint="32"/>
          </w:tcPr>
          <w:p>
            <w:pPr>
              <w:rPr>
                <w:highlight w:val="none"/>
              </w:rPr>
            </w:pPr>
          </w:p>
        </w:tc>
      </w:tr>
    </w:tbl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7678420</wp:posOffset>
              </wp:positionH>
              <wp:positionV relativeFrom="paragraph">
                <wp:posOffset>194310</wp:posOffset>
              </wp:positionV>
              <wp:extent cx="1497965" cy="256540"/>
              <wp:effectExtent l="0" t="0" r="635" b="1016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6pt;margin-top:15.3pt;height:20.2pt;width:117.95pt;z-index:251660288;mso-width-relative:page;mso-height-relative:page;" fillcolor="#FFFFFF" filled="t" stroked="f" coordsize="21600,21600" o:gfxdata="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mi8V/2AAAAAsBAAAPAAAAAAAAAAEAIAAAACIAAABkcnMvZG93bnJl&#10;di54bWxQSwECFAAUAAAACACHTuJA7dtsHcQBAAB3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-20320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237F6"/>
    <w:rsid w:val="0003373A"/>
    <w:rsid w:val="000400E2"/>
    <w:rsid w:val="00062E46"/>
    <w:rsid w:val="000B79E3"/>
    <w:rsid w:val="000E3204"/>
    <w:rsid w:val="000E6B21"/>
    <w:rsid w:val="00122075"/>
    <w:rsid w:val="00171679"/>
    <w:rsid w:val="001773AF"/>
    <w:rsid w:val="001A2D7F"/>
    <w:rsid w:val="001A51B0"/>
    <w:rsid w:val="001F36D0"/>
    <w:rsid w:val="00210204"/>
    <w:rsid w:val="00221B13"/>
    <w:rsid w:val="00241DEF"/>
    <w:rsid w:val="00243015"/>
    <w:rsid w:val="0027309B"/>
    <w:rsid w:val="002939AD"/>
    <w:rsid w:val="002C664E"/>
    <w:rsid w:val="00305BEA"/>
    <w:rsid w:val="00314AF6"/>
    <w:rsid w:val="00337922"/>
    <w:rsid w:val="00340867"/>
    <w:rsid w:val="00355667"/>
    <w:rsid w:val="00362B03"/>
    <w:rsid w:val="00380837"/>
    <w:rsid w:val="003A198A"/>
    <w:rsid w:val="003D08C9"/>
    <w:rsid w:val="00410914"/>
    <w:rsid w:val="0048201E"/>
    <w:rsid w:val="004B5C09"/>
    <w:rsid w:val="004C0B44"/>
    <w:rsid w:val="00536930"/>
    <w:rsid w:val="00564E53"/>
    <w:rsid w:val="00565EE9"/>
    <w:rsid w:val="005B5BD8"/>
    <w:rsid w:val="005D5659"/>
    <w:rsid w:val="00600C20"/>
    <w:rsid w:val="0063353F"/>
    <w:rsid w:val="00644FE2"/>
    <w:rsid w:val="00646668"/>
    <w:rsid w:val="0067640C"/>
    <w:rsid w:val="00681BAF"/>
    <w:rsid w:val="00690136"/>
    <w:rsid w:val="006E33B6"/>
    <w:rsid w:val="006E678B"/>
    <w:rsid w:val="006E7B1D"/>
    <w:rsid w:val="007115EB"/>
    <w:rsid w:val="007757F3"/>
    <w:rsid w:val="007C1B48"/>
    <w:rsid w:val="007E3B15"/>
    <w:rsid w:val="007E6AEB"/>
    <w:rsid w:val="00826637"/>
    <w:rsid w:val="00851CEC"/>
    <w:rsid w:val="008973EE"/>
    <w:rsid w:val="00921913"/>
    <w:rsid w:val="009532DC"/>
    <w:rsid w:val="00971600"/>
    <w:rsid w:val="00972F81"/>
    <w:rsid w:val="009973B4"/>
    <w:rsid w:val="009C28C1"/>
    <w:rsid w:val="009E6741"/>
    <w:rsid w:val="009F486D"/>
    <w:rsid w:val="009F7EED"/>
    <w:rsid w:val="00A31DEF"/>
    <w:rsid w:val="00A557F6"/>
    <w:rsid w:val="00A80636"/>
    <w:rsid w:val="00AA760D"/>
    <w:rsid w:val="00AF0AAB"/>
    <w:rsid w:val="00B5672F"/>
    <w:rsid w:val="00B835FE"/>
    <w:rsid w:val="00BB72B1"/>
    <w:rsid w:val="00BF597E"/>
    <w:rsid w:val="00C51A36"/>
    <w:rsid w:val="00C55228"/>
    <w:rsid w:val="00C579AA"/>
    <w:rsid w:val="00C63768"/>
    <w:rsid w:val="00CB3731"/>
    <w:rsid w:val="00CD141B"/>
    <w:rsid w:val="00CD5FC0"/>
    <w:rsid w:val="00CE315A"/>
    <w:rsid w:val="00D06F59"/>
    <w:rsid w:val="00D8388C"/>
    <w:rsid w:val="00DC5FE3"/>
    <w:rsid w:val="00DD53EE"/>
    <w:rsid w:val="00DD601F"/>
    <w:rsid w:val="00DD7454"/>
    <w:rsid w:val="00DE3E05"/>
    <w:rsid w:val="00E2733D"/>
    <w:rsid w:val="00E6224C"/>
    <w:rsid w:val="00E82C36"/>
    <w:rsid w:val="00E848FE"/>
    <w:rsid w:val="00E97B0A"/>
    <w:rsid w:val="00EB0164"/>
    <w:rsid w:val="00ED0F62"/>
    <w:rsid w:val="00EF6744"/>
    <w:rsid w:val="00F8074F"/>
    <w:rsid w:val="00FC1366"/>
    <w:rsid w:val="00FF72CC"/>
    <w:rsid w:val="01212A83"/>
    <w:rsid w:val="01260C71"/>
    <w:rsid w:val="012D092D"/>
    <w:rsid w:val="01D274B5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C6170"/>
    <w:rsid w:val="050D3D1E"/>
    <w:rsid w:val="05107A08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767210"/>
    <w:rsid w:val="08851DD7"/>
    <w:rsid w:val="08C22483"/>
    <w:rsid w:val="08ED1EE8"/>
    <w:rsid w:val="08FB4323"/>
    <w:rsid w:val="09005957"/>
    <w:rsid w:val="096333C5"/>
    <w:rsid w:val="09933EF9"/>
    <w:rsid w:val="09AA0CA5"/>
    <w:rsid w:val="09EF285E"/>
    <w:rsid w:val="09FA6045"/>
    <w:rsid w:val="0A0F142E"/>
    <w:rsid w:val="0A147CC9"/>
    <w:rsid w:val="0A1C56C1"/>
    <w:rsid w:val="0A3B44BE"/>
    <w:rsid w:val="0A904067"/>
    <w:rsid w:val="0ACA6ED2"/>
    <w:rsid w:val="0ACE51B6"/>
    <w:rsid w:val="0AEF4D8D"/>
    <w:rsid w:val="0B5A6731"/>
    <w:rsid w:val="0BE64DFF"/>
    <w:rsid w:val="0BFB50F5"/>
    <w:rsid w:val="0C5423F7"/>
    <w:rsid w:val="0C8009B8"/>
    <w:rsid w:val="0C913FB2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112C5A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DA3C5B"/>
    <w:rsid w:val="14F1297E"/>
    <w:rsid w:val="14F26225"/>
    <w:rsid w:val="15023387"/>
    <w:rsid w:val="15051B66"/>
    <w:rsid w:val="151414F9"/>
    <w:rsid w:val="15167847"/>
    <w:rsid w:val="154C7AB0"/>
    <w:rsid w:val="155F4281"/>
    <w:rsid w:val="1580220E"/>
    <w:rsid w:val="15BC540D"/>
    <w:rsid w:val="16210B83"/>
    <w:rsid w:val="16583F2B"/>
    <w:rsid w:val="169D3E09"/>
    <w:rsid w:val="16AB3CAD"/>
    <w:rsid w:val="16E341B9"/>
    <w:rsid w:val="16F10A78"/>
    <w:rsid w:val="16F60A4C"/>
    <w:rsid w:val="17226BDD"/>
    <w:rsid w:val="17446813"/>
    <w:rsid w:val="176D1242"/>
    <w:rsid w:val="177551EA"/>
    <w:rsid w:val="179B1D36"/>
    <w:rsid w:val="17C079EC"/>
    <w:rsid w:val="17F76BA3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975B8D"/>
    <w:rsid w:val="1BF54651"/>
    <w:rsid w:val="1C392A3A"/>
    <w:rsid w:val="1CB1322F"/>
    <w:rsid w:val="1D171355"/>
    <w:rsid w:val="1D1B443C"/>
    <w:rsid w:val="1D4C7A3F"/>
    <w:rsid w:val="1D4D4A00"/>
    <w:rsid w:val="1D7A3AD2"/>
    <w:rsid w:val="1DC4038A"/>
    <w:rsid w:val="1DF36090"/>
    <w:rsid w:val="1DFE25B1"/>
    <w:rsid w:val="1E1D5C58"/>
    <w:rsid w:val="1E511FFA"/>
    <w:rsid w:val="1E752FA2"/>
    <w:rsid w:val="1E9A57F3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03038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3461CA8"/>
    <w:rsid w:val="238A1BAA"/>
    <w:rsid w:val="23900E62"/>
    <w:rsid w:val="23BF3886"/>
    <w:rsid w:val="241A6B34"/>
    <w:rsid w:val="24285E2F"/>
    <w:rsid w:val="242A7B69"/>
    <w:rsid w:val="247622DE"/>
    <w:rsid w:val="247B12FA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74354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7D3F5C"/>
    <w:rsid w:val="31B477DB"/>
    <w:rsid w:val="31B67BE2"/>
    <w:rsid w:val="31CA71DD"/>
    <w:rsid w:val="324E5138"/>
    <w:rsid w:val="325906DB"/>
    <w:rsid w:val="328B2DCA"/>
    <w:rsid w:val="331E21CE"/>
    <w:rsid w:val="33562A0D"/>
    <w:rsid w:val="33715F28"/>
    <w:rsid w:val="33F07155"/>
    <w:rsid w:val="340C6245"/>
    <w:rsid w:val="343C4522"/>
    <w:rsid w:val="347A0336"/>
    <w:rsid w:val="34F92D63"/>
    <w:rsid w:val="35527F1F"/>
    <w:rsid w:val="357914C0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4B6092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227AA7"/>
    <w:rsid w:val="3B31777F"/>
    <w:rsid w:val="3B4241C0"/>
    <w:rsid w:val="3B5F0280"/>
    <w:rsid w:val="3BEE1D6F"/>
    <w:rsid w:val="3BF1473C"/>
    <w:rsid w:val="3CA475E5"/>
    <w:rsid w:val="3CA717F2"/>
    <w:rsid w:val="3CC56579"/>
    <w:rsid w:val="3D600DA0"/>
    <w:rsid w:val="3DAB460B"/>
    <w:rsid w:val="3DDA7DB2"/>
    <w:rsid w:val="3E342793"/>
    <w:rsid w:val="3E3C5235"/>
    <w:rsid w:val="3E872D9B"/>
    <w:rsid w:val="3EA34B57"/>
    <w:rsid w:val="3EEF1E6E"/>
    <w:rsid w:val="3F654598"/>
    <w:rsid w:val="3FDD27F6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5F6217"/>
    <w:rsid w:val="45635AEC"/>
    <w:rsid w:val="45911437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8171BF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CE84F66"/>
    <w:rsid w:val="4D352804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953BE7"/>
    <w:rsid w:val="53C354C8"/>
    <w:rsid w:val="53F51637"/>
    <w:rsid w:val="54124FEF"/>
    <w:rsid w:val="541C4B67"/>
    <w:rsid w:val="543656F9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C358C"/>
    <w:rsid w:val="601E0F43"/>
    <w:rsid w:val="60596F8D"/>
    <w:rsid w:val="608075E1"/>
    <w:rsid w:val="60E9316D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7E745F"/>
    <w:rsid w:val="64A537DD"/>
    <w:rsid w:val="64B96E85"/>
    <w:rsid w:val="64BB6795"/>
    <w:rsid w:val="64C36B3C"/>
    <w:rsid w:val="64D069A0"/>
    <w:rsid w:val="64E375F7"/>
    <w:rsid w:val="64EC1190"/>
    <w:rsid w:val="64F27E75"/>
    <w:rsid w:val="65067C78"/>
    <w:rsid w:val="65662197"/>
    <w:rsid w:val="658C1A47"/>
    <w:rsid w:val="658C79F9"/>
    <w:rsid w:val="65A33DF6"/>
    <w:rsid w:val="65BE04E1"/>
    <w:rsid w:val="65F429F0"/>
    <w:rsid w:val="665A6FDB"/>
    <w:rsid w:val="66B368AE"/>
    <w:rsid w:val="66B47BD2"/>
    <w:rsid w:val="66B532F3"/>
    <w:rsid w:val="66C2760F"/>
    <w:rsid w:val="66E93B58"/>
    <w:rsid w:val="675A3B6C"/>
    <w:rsid w:val="67791A4D"/>
    <w:rsid w:val="67AF7DB6"/>
    <w:rsid w:val="680564C6"/>
    <w:rsid w:val="681B3F7A"/>
    <w:rsid w:val="68233428"/>
    <w:rsid w:val="68B54AF7"/>
    <w:rsid w:val="68CA009F"/>
    <w:rsid w:val="68DC0EF8"/>
    <w:rsid w:val="68DD04C8"/>
    <w:rsid w:val="695B5920"/>
    <w:rsid w:val="69B35A0D"/>
    <w:rsid w:val="69CC607C"/>
    <w:rsid w:val="69EA1163"/>
    <w:rsid w:val="69F96768"/>
    <w:rsid w:val="6A287F98"/>
    <w:rsid w:val="6A715206"/>
    <w:rsid w:val="6AB40496"/>
    <w:rsid w:val="6ABD1D5E"/>
    <w:rsid w:val="6AF33939"/>
    <w:rsid w:val="6B795D62"/>
    <w:rsid w:val="6B9149FE"/>
    <w:rsid w:val="6BC747F5"/>
    <w:rsid w:val="6BD35CE4"/>
    <w:rsid w:val="6C3014BE"/>
    <w:rsid w:val="6C5D414F"/>
    <w:rsid w:val="6C761A36"/>
    <w:rsid w:val="6CA324B4"/>
    <w:rsid w:val="6CDE17FD"/>
    <w:rsid w:val="6D1159BD"/>
    <w:rsid w:val="6D1D2C91"/>
    <w:rsid w:val="6D232D3C"/>
    <w:rsid w:val="6D2F5D1E"/>
    <w:rsid w:val="6D792112"/>
    <w:rsid w:val="6E641038"/>
    <w:rsid w:val="6EBD0EA6"/>
    <w:rsid w:val="6F104060"/>
    <w:rsid w:val="6F435405"/>
    <w:rsid w:val="6F4810D8"/>
    <w:rsid w:val="6F6D2BAA"/>
    <w:rsid w:val="6F9A4A47"/>
    <w:rsid w:val="701710D0"/>
    <w:rsid w:val="70795456"/>
    <w:rsid w:val="709946EC"/>
    <w:rsid w:val="72052DF0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1480A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342BE7"/>
    <w:rsid w:val="79826449"/>
    <w:rsid w:val="79D339B9"/>
    <w:rsid w:val="7A200C95"/>
    <w:rsid w:val="7A594332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2912F3"/>
    <w:rsid w:val="7F9026D0"/>
    <w:rsid w:val="7F984417"/>
    <w:rsid w:val="7FDB73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3462</Characters>
  <Lines>28</Lines>
  <Paragraphs>8</Paragraphs>
  <TotalTime>3</TotalTime>
  <ScaleCrop>false</ScaleCrop>
  <LinksUpToDate>false</LinksUpToDate>
  <CharactersWithSpaces>4061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2022-12-03T12:39:27Z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FE604F9BE68B48AC80284D7173A02E0B</vt:lpwstr>
  </property>
</Properties>
</file>