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93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22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武义县食品有限公司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22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浙江省金华市武义县文教旅游工业园区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22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浙江省金华市武义县壶山街道文兴路11号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郑巧媛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13758908580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黄明之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管代电话"/>
            <w:bookmarkEnd w:id="6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676863674@qq.com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0714-2020-QF-2022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9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22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9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22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9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远程审核方式</w:t>
            </w:r>
          </w:p>
        </w:tc>
        <w:tc>
          <w:tcPr>
            <w:tcW w:w="9022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9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远程审核资源</w:t>
            </w:r>
          </w:p>
        </w:tc>
        <w:tc>
          <w:tcPr>
            <w:tcW w:w="9022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22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93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Q：生猪的屠宰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F：位于浙江省金华市武义县壶山街道文兴路11号屠宰车间的生猪屠宰所涉及的食品安全管理活动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Q：03.01.01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F：CI-1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2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22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99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2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2022年12月03日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</w:rPr>
              <w:t>至2022年12月04日 上午</w:t>
            </w:r>
            <w:bookmarkEnd w:id="33"/>
            <w:r>
              <w:rPr>
                <w:rFonts w:hint="eastAsia"/>
                <w:b/>
                <w:sz w:val="20"/>
                <w:lang w:val="en-US" w:eastAsia="zh-CN"/>
              </w:rPr>
              <w:t>12:30</w:t>
            </w:r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9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2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2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F:CI-1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-B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F:CI-1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9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119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9" w:type="dxa"/>
            <w:vAlign w:val="center"/>
          </w:tcPr>
          <w:p/>
        </w:tc>
        <w:tc>
          <w:tcPr>
            <w:tcW w:w="119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2022-11-28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3662"/>
        <w:gridCol w:w="224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2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t>202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2-12-03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8</w:t>
            </w:r>
            <w:r>
              <w:rPr>
                <w:rFonts w:hint="eastAsia"/>
                <w:color w:val="FF0000"/>
                <w:sz w:val="21"/>
                <w:szCs w:val="21"/>
              </w:rPr>
              <w:t>:</w:t>
            </w:r>
            <w:r>
              <w:rPr>
                <w:color w:val="FF0000"/>
                <w:sz w:val="21"/>
                <w:szCs w:val="21"/>
              </w:rPr>
              <w:t>25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到达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8:30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245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662" w:type="dxa"/>
            <w:shd w:val="clear" w:color="auto" w:fill="EBF1DE" w:themeFill="accent3" w:themeFillTint="32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内外部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sz w:val="21"/>
                <w:szCs w:val="21"/>
              </w:rPr>
              <w:t>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管理体系过程、</w:t>
            </w:r>
            <w:r>
              <w:rPr>
                <w:sz w:val="21"/>
                <w:szCs w:val="21"/>
              </w:rPr>
              <w:t>认证范围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领导作用、风险和机遇的控制、方针和目标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管理、</w:t>
            </w:r>
            <w:r>
              <w:rPr>
                <w:sz w:val="21"/>
                <w:szCs w:val="21"/>
              </w:rPr>
              <w:t>管理承诺相关过程、内外部沟通、资源提供过程、管理评审过程、监视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测量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分析及评价、持续改进、</w:t>
            </w:r>
          </w:p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245" w:type="dxa"/>
            <w:shd w:val="clear" w:color="auto" w:fill="EBF1DE" w:themeFill="accent3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4.4/5.1/5.2/5.3/6.1/6.2/6.3/7.1.1/</w:t>
            </w:r>
            <w:r>
              <w:rPr>
                <w:rFonts w:hint="eastAsia"/>
                <w:sz w:val="21"/>
                <w:szCs w:val="21"/>
              </w:rPr>
              <w:t>7.4/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1064" w:type="dxa"/>
            <w:shd w:val="clear" w:color="auto" w:fill="EBF1DE" w:themeFill="accent3" w:themeFillTint="32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pacing w:val="40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662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食品安全小组及职责、前提方案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策划、外部提供的食品安全管理体系要素</w:t>
            </w:r>
            <w:r>
              <w:rPr>
                <w:sz w:val="21"/>
                <w:szCs w:val="21"/>
              </w:rPr>
              <w:t>、实施危害分析的预备步骤、危害分析、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危害控制计划的建立</w:t>
            </w:r>
            <w:r>
              <w:rPr>
                <w:sz w:val="21"/>
                <w:szCs w:val="21"/>
              </w:rPr>
              <w:t>、预备信息的更新、规定前提方案和HACCP计划文件的更新、验证策划、控制措施组合的确认、食品安全管理体系的验证及结果分析、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食品安全管理体系更新</w:t>
            </w:r>
          </w:p>
        </w:tc>
        <w:tc>
          <w:tcPr>
            <w:tcW w:w="2245" w:type="dxa"/>
            <w:shd w:val="clear" w:color="auto" w:fill="EBF1DE" w:themeFill="accent3" w:themeFillTint="3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8.1/8.2/8.5/8.6/8.8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9:00-12：30</w:t>
            </w:r>
          </w:p>
        </w:tc>
        <w:tc>
          <w:tcPr>
            <w:tcW w:w="1064" w:type="dxa"/>
            <w:shd w:val="clear" w:color="auto" w:fill="DBEEF3" w:themeFill="accent5" w:themeFillTint="32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检验室</w:t>
            </w:r>
          </w:p>
        </w:tc>
        <w:tc>
          <w:tcPr>
            <w:tcW w:w="3662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职责和权限、目标管理、监视和测量资源管理、产品放行、不合格品管理、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OPRP及CCP实施、</w:t>
            </w:r>
            <w:r>
              <w:rPr>
                <w:sz w:val="21"/>
                <w:szCs w:val="21"/>
              </w:rPr>
              <w:t>纠偏及现场情况</w:t>
            </w:r>
            <w:r>
              <w:rPr>
                <w:rFonts w:hint="eastAsia"/>
                <w:sz w:val="21"/>
                <w:szCs w:val="21"/>
              </w:rPr>
              <w:t>、数据统计与分析</w:t>
            </w:r>
          </w:p>
        </w:tc>
        <w:tc>
          <w:tcPr>
            <w:tcW w:w="2245" w:type="dxa"/>
            <w:shd w:val="clear" w:color="auto" w:fill="DBEEF3" w:themeFill="accent5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 5.3/6.2/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/8.7</w:t>
            </w:r>
            <w:r>
              <w:rPr>
                <w:sz w:val="21"/>
                <w:szCs w:val="21"/>
              </w:rPr>
              <w:t>/9.1.3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1"/>
              </w:rPr>
              <w:t>/8.7/8.9.1-8.9.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12:30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午餐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2245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:00-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3662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</w:rPr>
              <w:t>；分析与评估；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；不合格和纠正措施</w:t>
            </w:r>
          </w:p>
        </w:tc>
        <w:tc>
          <w:tcPr>
            <w:tcW w:w="2245" w:type="dxa"/>
            <w:shd w:val="clear" w:color="auto" w:fill="EBF1DE" w:themeFill="accent3" w:themeFillTint="32"/>
            <w:vAlign w:val="top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：5.3/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6.2/7.1.2/ 7.1.6/7.2/7.3/7.4/7.5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/9.2/10.2；</w:t>
            </w:r>
          </w:p>
          <w:p>
            <w:pPr>
              <w:pStyle w:val="14"/>
              <w:spacing w:after="0"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：5.3/6.2/7.1.2/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9.2/10.1 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:00-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DAEEF3" w:themeFill="accent5" w:themeFillTint="33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加工厂</w:t>
            </w:r>
            <w:r>
              <w:rPr>
                <w:rFonts w:hint="eastAsia" w:eastAsia="楷体_GB2312"/>
                <w:sz w:val="21"/>
                <w:szCs w:val="21"/>
              </w:rPr>
              <w:t>及屠宰现场</w:t>
            </w:r>
          </w:p>
        </w:tc>
        <w:tc>
          <w:tcPr>
            <w:tcW w:w="3662" w:type="dxa"/>
            <w:shd w:val="clear" w:color="auto" w:fill="DAEEF3" w:themeFill="accent5" w:themeFillTint="33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目标管理、岗位职责、</w:t>
            </w:r>
            <w:r>
              <w:rPr>
                <w:sz w:val="21"/>
                <w:szCs w:val="21"/>
              </w:rPr>
              <w:t>基础设施、工作环境控制、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运行的策划和控制、</w:t>
            </w:r>
            <w:r>
              <w:rPr>
                <w:sz w:val="21"/>
                <w:szCs w:val="21"/>
              </w:rPr>
              <w:t xml:space="preserve">(PRPs)前提方案、可追溯性系统、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OPRP及</w:t>
            </w:r>
            <w:r>
              <w:rPr>
                <w:sz w:val="21"/>
                <w:szCs w:val="21"/>
              </w:rPr>
              <w:t>CCP的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实施及监控情况</w:t>
            </w:r>
            <w:r>
              <w:rPr>
                <w:sz w:val="21"/>
                <w:szCs w:val="21"/>
              </w:rPr>
              <w:t>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sz w:val="21"/>
                <w:szCs w:val="21"/>
              </w:rPr>
              <w:t>和服务的提供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产品防护、变更控制、顾客财产</w:t>
            </w:r>
          </w:p>
        </w:tc>
        <w:tc>
          <w:tcPr>
            <w:tcW w:w="2245" w:type="dxa"/>
            <w:shd w:val="clear" w:color="auto" w:fill="DAEEF3" w:themeFill="accent5" w:themeFillTint="33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.1/8.5.2/8.5.3/8.5.4/8.5.6，8.3条款不适用确认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sz w:val="21"/>
                <w:szCs w:val="21"/>
              </w:rPr>
              <w:t>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17:00-21:00</w:t>
            </w:r>
          </w:p>
        </w:tc>
        <w:tc>
          <w:tcPr>
            <w:tcW w:w="1064" w:type="dxa"/>
            <w:shd w:val="clear" w:color="auto" w:fill="DAEEF3" w:themeFill="accent5" w:themeFillTint="33"/>
            <w:vAlign w:val="top"/>
          </w:tcPr>
          <w:p>
            <w:pPr>
              <w:spacing w:line="300" w:lineRule="exact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662" w:type="dxa"/>
            <w:shd w:val="clear" w:color="auto" w:fill="DAEEF3" w:themeFill="accent5" w:themeFillTint="33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晚餐及休息</w:t>
            </w:r>
          </w:p>
        </w:tc>
        <w:tc>
          <w:tcPr>
            <w:tcW w:w="2245" w:type="dxa"/>
            <w:shd w:val="clear" w:color="auto" w:fill="DAEEF3" w:themeFill="accent5" w:themeFillTint="33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:00-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23：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DAEEF3" w:themeFill="accent5" w:themeFillTint="33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加工厂</w:t>
            </w:r>
            <w:r>
              <w:rPr>
                <w:rFonts w:hint="eastAsia" w:eastAsia="楷体_GB2312"/>
                <w:sz w:val="21"/>
                <w:szCs w:val="21"/>
              </w:rPr>
              <w:t>及屠宰现场</w:t>
            </w:r>
            <w:r>
              <w:rPr>
                <w:rFonts w:hint="eastAsia" w:eastAsia="楷体_GB2312"/>
                <w:sz w:val="21"/>
                <w:szCs w:val="21"/>
                <w:lang w:eastAsia="zh-CN"/>
              </w:rPr>
              <w:t>【</w:t>
            </w: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eastAsia="楷体_GB2312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3662" w:type="dxa"/>
            <w:shd w:val="clear" w:color="auto" w:fill="DAEEF3" w:themeFill="accent5" w:themeFillTint="33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目标管理、岗位职责、</w:t>
            </w:r>
            <w:r>
              <w:rPr>
                <w:sz w:val="21"/>
                <w:szCs w:val="21"/>
              </w:rPr>
              <w:t>基础设施、工作环境控制、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运行的策划和控制、</w:t>
            </w:r>
            <w:r>
              <w:rPr>
                <w:sz w:val="21"/>
                <w:szCs w:val="21"/>
              </w:rPr>
              <w:t xml:space="preserve">(PRPs)前提方案、可追溯性系统、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OPRP及</w:t>
            </w:r>
            <w:r>
              <w:rPr>
                <w:sz w:val="21"/>
                <w:szCs w:val="21"/>
              </w:rPr>
              <w:t>CCP的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实施及监控情况</w:t>
            </w:r>
            <w:r>
              <w:rPr>
                <w:sz w:val="21"/>
                <w:szCs w:val="21"/>
              </w:rPr>
              <w:t>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sz w:val="21"/>
                <w:szCs w:val="21"/>
              </w:rPr>
              <w:t>和服务的提供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产品防护、变更控制、顾客财产——现场审核</w:t>
            </w:r>
          </w:p>
        </w:tc>
        <w:tc>
          <w:tcPr>
            <w:tcW w:w="2245" w:type="dxa"/>
            <w:shd w:val="clear" w:color="auto" w:fill="DAEEF3" w:themeFill="accent5" w:themeFillTint="33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.1/8.5.2/8.5.3/8.5.4/8.5.6，8.3条款不适用确认</w:t>
            </w:r>
          </w:p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sz w:val="21"/>
                <w:szCs w:val="21"/>
              </w:rPr>
              <w:t>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23:00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pacing w:val="40"/>
                <w:kern w:val="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第一天审核结束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t>202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2-12-04上午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第二天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245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到达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1064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加工厂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（采购销售）</w:t>
            </w:r>
          </w:p>
        </w:tc>
        <w:tc>
          <w:tcPr>
            <w:tcW w:w="3662" w:type="dxa"/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职责、部门目标、与顾客有关过程管理、交付后活动、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顾客满意度调查</w:t>
            </w:r>
            <w:r>
              <w:rPr>
                <w:rFonts w:hint="eastAsia"/>
                <w:sz w:val="21"/>
                <w:szCs w:val="21"/>
              </w:rPr>
              <w:t>、投诉/退货及召回/撤回、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外部提供的产品、过程及服务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45" w:type="dxa"/>
            <w:shd w:val="clear" w:color="auto" w:fill="EBF1DE" w:themeFill="accent3" w:themeFillTint="32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_GoBack"/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/>
                <w:sz w:val="21"/>
                <w:szCs w:val="21"/>
              </w:rPr>
              <w:t>:5.3/6.2/7.4/8.2/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/>
                <w:sz w:val="21"/>
                <w:szCs w:val="21"/>
              </w:rPr>
              <w:t>8.5.5/9.1.2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5.3/6.2/7.1.6</w:t>
            </w:r>
            <w:bookmarkEnd w:id="36"/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1064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加工厂</w:t>
            </w:r>
            <w:r>
              <w:rPr>
                <w:rFonts w:hint="eastAsia" w:eastAsia="楷体_GB2312"/>
                <w:sz w:val="21"/>
                <w:szCs w:val="21"/>
              </w:rPr>
              <w:t>及屠宰现场</w:t>
            </w:r>
          </w:p>
        </w:tc>
        <w:tc>
          <w:tcPr>
            <w:tcW w:w="3662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目标管理、岗位职责、</w:t>
            </w:r>
            <w:r>
              <w:rPr>
                <w:sz w:val="21"/>
                <w:szCs w:val="21"/>
              </w:rPr>
              <w:t>基础设施、工作环境控制、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运行的策划和控制、</w:t>
            </w:r>
            <w:r>
              <w:rPr>
                <w:sz w:val="21"/>
                <w:szCs w:val="21"/>
              </w:rPr>
              <w:t xml:space="preserve">(PRPs)前提方案、可追溯性系统、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OPRP及</w:t>
            </w:r>
            <w:r>
              <w:rPr>
                <w:sz w:val="21"/>
                <w:szCs w:val="21"/>
              </w:rPr>
              <w:t>CCP的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实施及监控情况</w:t>
            </w:r>
            <w:r>
              <w:rPr>
                <w:sz w:val="21"/>
                <w:szCs w:val="21"/>
              </w:rPr>
              <w:t>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sz w:val="21"/>
                <w:szCs w:val="21"/>
              </w:rPr>
              <w:t>和服务的提供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产品防护、变更控制、顾客财产——继续审核</w:t>
            </w:r>
          </w:p>
        </w:tc>
        <w:tc>
          <w:tcPr>
            <w:tcW w:w="2245" w:type="dxa"/>
            <w:shd w:val="clear" w:color="auto" w:fill="DBEEF3" w:themeFill="accent5" w:themeFillTint="32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.1/8.5.2/8.5.3/8.5.4/8.5.6，8.3条款不适用确认</w:t>
            </w:r>
          </w:p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sz w:val="21"/>
                <w:szCs w:val="21"/>
              </w:rPr>
              <w:t>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064" w:type="dxa"/>
            <w:shd w:val="clear" w:color="auto" w:fill="auto"/>
          </w:tcPr>
          <w:p>
            <w:pPr>
              <w:jc w:val="left"/>
              <w:rPr>
                <w:rFonts w:hint="eastAsia" w:eastAsia="宋体"/>
                <w:kern w:val="10"/>
                <w:sz w:val="21"/>
                <w:szCs w:val="21"/>
                <w:lang w:eastAsia="zh-CN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补充审核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</w:t>
            </w:r>
            <w:r>
              <w:rPr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审核结束</w:t>
            </w:r>
          </w:p>
        </w:tc>
        <w:tc>
          <w:tcPr>
            <w:tcW w:w="2245" w:type="dxa"/>
            <w:shd w:val="clear" w:color="auto" w:fill="FFFFFF" w:themeFill="background1"/>
            <w:vAlign w:val="top"/>
          </w:tcPr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08523ACC"/>
    <w:rsid w:val="2309002F"/>
    <w:rsid w:val="2D7A303A"/>
    <w:rsid w:val="61A945F6"/>
    <w:rsid w:val="632A17AA"/>
    <w:rsid w:val="7B672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</TotalTime>
  <ScaleCrop>false</ScaleCrop>
  <LinksUpToDate>false</LinksUpToDate>
  <CharactersWithSpaces>5345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2022-12-03T10:14:10Z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