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受审核部门：综合办公室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主管领导：辜吟雪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陪同人员：高佳伟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/远程/微信、腾讯会议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</w:t>
            </w:r>
            <w:r>
              <w:rPr>
                <w:rFonts w:hint="eastAsia"/>
                <w:lang w:val="en-US" w:eastAsia="zh-CN"/>
              </w:rPr>
              <w:t>11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30 </w:t>
            </w:r>
            <w:r>
              <w:t>日</w:t>
            </w:r>
            <w:r>
              <w:rPr>
                <w:rFonts w:hint="eastAsia"/>
                <w:lang w:val="en-US" w:eastAsia="zh-CN"/>
              </w:rPr>
              <w:t>-</w:t>
            </w:r>
            <w:r>
              <w:t xml:space="preserve"> </w:t>
            </w:r>
            <w:bookmarkEnd w:id="1"/>
            <w:r>
              <w:rPr>
                <w:rFonts w:hint="eastAsia"/>
                <w:lang w:val="en-US" w:eastAsia="zh-CN"/>
              </w:rPr>
              <w:t xml:space="preserve"> 12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2 </w:t>
            </w:r>
            <w: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/7.1.6/7.4/7.5/9.2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5.3/7.2/7.3/7.4/7.5/9.2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7.2/7.3/7.4/7.5/9.2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QES5.3</w:t>
            </w:r>
          </w:p>
        </w:tc>
        <w:tc>
          <w:tcPr>
            <w:tcW w:w="10004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查管理手册5.3.3 各级岗位（角色）职责和权限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7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(3)  </w:t>
            </w:r>
            <w:bookmarkEnd w:id="2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综合办公室：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3" w:name="OLE_LINK21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• </w:t>
            </w:r>
            <w:bookmarkEnd w:id="3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负责组织协调和督促检查全公司的管理和质量</w:t>
            </w:r>
            <w:bookmarkStart w:id="4" w:name="OLE_LINK29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/环境/职业健康安全</w:t>
            </w:r>
            <w:bookmarkEnd w:id="4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管理工作；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• 归口管理质量环境安全管理体系文件、技术标准类文件和其他管理类文件；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7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• </w:t>
            </w:r>
            <w:bookmarkEnd w:id="5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负责公司档案的管理工作包括组织产品文件和质量/环境/职业健康安全管理体系运行文件的记录的归档管理；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•  负责公司各类资质的申报、文件的管理更新；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•  参与对供方的评价，需要时组织对供方管理体系的审核；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等等。。。。。。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与部门负责人微信沟通，其表述的职责与文件内容基本一致。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——基本符合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目标及其实施的策划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Q6.2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---策划有《</w:t>
            </w:r>
            <w:r>
              <w:rPr>
                <w:rFonts w:hint="eastAsia"/>
                <w:sz w:val="21"/>
                <w:szCs w:val="21"/>
              </w:rPr>
              <w:t xml:space="preserve"> 目标、指标和管理方案控制程序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本部门主控。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查“2022年度目标分解一览表”：内容显示，贯标期内公司及本部门目标均已达成。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6210935" cy="2645410"/>
                  <wp:effectExtent l="0" t="0" r="1206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264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能力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意识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QES7.2/7.3;Q7.1.2</w:t>
            </w:r>
          </w:p>
        </w:tc>
        <w:tc>
          <w:tcPr>
            <w:tcW w:w="10004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---策划有《XCJ/QES/CX-2020-08  培训、意识和能力控制程序》，确定各岗位人员所必备的质量、环境及职业健康安全的能力要求。本部门为主控部门。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---查“管理手册5.3.3 各级岗位（角色）职责和权限”，主要有公司经理、管理者代表、综合办公室、市场营销部等的岗位职责和要求。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-查员工名录：提供有“四川兴成锦智能交通科技有限公司人员信息统计表”，包含有领导班子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部门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部长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职员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等共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人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，外包人员44人（动态变化中）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。——与认证审核申请人数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基本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一致。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-提供有员工劳动合同及2022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.的社保缴纳记录。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---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查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持证上岗人员：包含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安全管理人员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、焊工、电工。抽查：</w:t>
            </w:r>
          </w:p>
          <w:p>
            <w:pPr>
              <w:numPr>
                <w:ilvl w:val="0"/>
                <w:numId w:val="1"/>
              </w:numP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李小平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；焊接与热切割作业；</w:t>
            </w:r>
            <w:bookmarkStart w:id="6" w:name="OLE_LINK1"/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编号：</w:t>
            </w:r>
            <w:bookmarkEnd w:id="6"/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T510130196808143954；有效期：2027.6.3.；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古仁良；Q2；</w:t>
            </w:r>
            <w:bookmarkStart w:id="7" w:name="OLE_LINK2"/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编号：</w:t>
            </w:r>
            <w:bookmarkEnd w:id="7"/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511522198605214291；有效期：2025.6.；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8" w:name="OLE_LINK3"/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景建兵；高压电工作业；编号：510921197608247435；有效期：2023.1.6..；</w:t>
            </w:r>
            <w:bookmarkEnd w:id="8"/>
          </w:p>
          <w:p>
            <w:pPr>
              <w:pStyle w:val="3"/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高佳伟；A；编号：21051001406883；有效期：2024.7.28.；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陈贤国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；健康证；编号:川(2022)51011306一0l495；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有效期：2023.10.21.；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---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查能力评价：提供有“岗位任职要求评价表”，评价内容主要包括工作态度、工作能力、政治素质、学习能力、工作作风等。抽高嘉伟、余修明、周磊，评价结果为符合要求。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-查2022-2023年“培训计划”，内容包括“中层及以上人员：手册和程序文件”，“相关人员：关键、特殊过程培训、产品特性作业指导书，提高相关人员技能，在组织特定范围内进行改进”、“新员工：基础教育、厂规厂纪、相关法律和其他要求、操作技能”等共9项培训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跟踪核查其培训内容：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1、2022.8.1.；QES标准培训；参加人员：公司全体人员；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2、2022.8.7-9.；质量、环境、职业健康安全管理体系管理手册和程序文件、质量、环境、安全意识；参加人员：全体人员；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3、2022.8.9.；检验员基础知识培训；参加人员：工程技术部的有关人员；</w:t>
            </w:r>
          </w:p>
          <w:p>
            <w:pPr>
              <w:pStyle w:val="3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——以上培训均有效果评价；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--查三级安全教育：出示有“员工三级安全教育卡”，内容包含姓名、工种、公司级、车间级、班组级教育内容，有效果评价；抽查：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杨开富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；工种：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贴膜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；执教者签字：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唐勇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2022.9.16.</w:t>
            </w:r>
          </w:p>
          <w:p>
            <w:pPr>
              <w:pStyle w:val="3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---远程视频询问</w:t>
            </w:r>
            <w:r>
              <w:rPr>
                <w:rFonts w:hint="eastAsia"/>
                <w:sz w:val="21"/>
                <w:szCs w:val="21"/>
              </w:rPr>
              <w:t>辜吟雪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高佳伟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对公司方针、目标的了解，对其自身行为对公司QES管理体系绩效的影响，其回答基本正确。</w:t>
            </w:r>
          </w:p>
          <w:p>
            <w:pPr>
              <w:pStyle w:val="3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——人员、能力、意识基本符合要求。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组织的知识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QES7.1.6</w:t>
            </w:r>
          </w:p>
        </w:tc>
        <w:tc>
          <w:tcPr>
            <w:tcW w:w="10004" w:type="dxa"/>
          </w:tcPr>
          <w:p>
            <w:pPr>
              <w:pStyle w:val="3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---策划有“</w:t>
            </w:r>
            <w:r>
              <w:rPr>
                <w:rFonts w:hint="eastAsia" w:ascii="宋体" w:hAnsi="宋体"/>
                <w:sz w:val="21"/>
                <w:szCs w:val="21"/>
              </w:rPr>
              <w:t>组织知识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控制程序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本部门主控。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组织的知识包括内部知识和外部知识。内部知识包括：政策法规、企业的管理制度、技术总结、经验资料、客户知识资料、体系文件、法律法规、标准、管理制度、工作制度、各类改进措施、总结报告等，与供方和合作伙伴学习和交流所收集的关于交通行业通用要求、技术知识以及其他相关信息等。外部知识包括：ISO体系标准、国家政策，相关方的要求、行业情况分析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综合办公室负责所需知识的获取渠道，包括：如标准；学术交流；专业会议，从顾客或外部供方收集的知识、网络搜素（如百度）、邮件采集、建立经验库、知识库和行业数据库等方式。综合办公室定期对搜集的知识进行评价和更新，使知识保持有效状态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——基本适宜。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QES7.4</w:t>
            </w:r>
          </w:p>
        </w:tc>
        <w:tc>
          <w:tcPr>
            <w:tcW w:w="10004" w:type="dxa"/>
          </w:tcPr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---提供了“信息交流、协商与沟通控制程序”，本部门负责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a）综合办公室是信息的归口管理部门，负责内、外部质量、环境和职业健康安全信息的交流、回应、保存和管理；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b）各部门负责相应业务范围内信息的交流，并配合综合办公室做好信息交流工作；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c）市场营销部、综合办公室负责服务质量信息、相关测试结果的接收、处理、传递和回复；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d）综合办公室负责管理体系的内外部审核信息的接收、传递和回应保存和管理。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e）综合办公室负责上级综合办公室门、劳动、环保、安全、疾病控制中心等信息的接收、传递和回应保存和管理。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---提供有职业健康安全事务代表任命书，高佳伟为公司的职业健康安全事务代表，并规定了其职责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---公司内部通过发放文件、会议（每周部门会议，每月公司会议）、培训等进行沟通，沟通内容包括公司方针、目标、环境因素、危险源、内审、管评等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---采用电话和回访的方式对顾客满意度进行调查，详见Ｑ９．１．２记录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---通过口头、电话、网络等与供方进行沟通，索要其相关资质等。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形成文件的信息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QES7.5</w:t>
            </w:r>
          </w:p>
        </w:tc>
        <w:tc>
          <w:tcPr>
            <w:tcW w:w="10004" w:type="dxa"/>
          </w:tcPr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---策划有“文件控制程序”、“记录控制程序”，本部门主控。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---查“管理体系文件一览表”，登记有管理手册、程序文件、三级文件的编号、版次、分发范围等。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---查“程序文件汇编”XCJ/QES/CX-2020，编审批受控齐全，2022.8.1.发布实施，包括：</w:t>
            </w:r>
          </w:p>
          <w:p>
            <w:pPr>
              <w:pStyle w:val="3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文件控制程序</w:t>
            </w:r>
          </w:p>
          <w:p>
            <w:pPr>
              <w:pStyle w:val="3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记录控制程序</w:t>
            </w:r>
          </w:p>
          <w:p>
            <w:pPr>
              <w:pStyle w:val="3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环境因素的识别与评价控制程序</w:t>
            </w:r>
          </w:p>
          <w:p>
            <w:pPr>
              <w:pStyle w:val="3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危险源辨识、风险评价控制程序</w:t>
            </w:r>
          </w:p>
          <w:p>
            <w:pPr>
              <w:pStyle w:val="3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法律法规及其他要求控制程序</w:t>
            </w:r>
          </w:p>
          <w:p>
            <w:pPr>
              <w:pStyle w:val="3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等共31项。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查“体系记录一览表”，记录有记录名称、编号和保存年限，包括相关方交流记录表、法律法规及其他要求清单、合格供方名单、供方评价表、顾客满意度调查表、重要环境因素清单、管理评审报告、内审报告等96项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---查“外来文件一览表”，内容包括《中华人民共和国产品质量法》、《中华人民共和国劳动法》、《中华人民共和国合同法》等。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---查“文件发放、回收记录”，编审批日期齐全，内容包括：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2022.8.1..发放管理手册、程序文件汇编、目标分解表给总经理、综合办公室、市场营销部、质检主管等。</w:t>
            </w:r>
          </w:p>
          <w:p>
            <w:pPr>
              <w:pStyle w:val="3"/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---查内审记录、管理评审记录、培训记录均能提供。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---策划有“应急准备和响应控制程序”。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---制订有触电、火灾共2份应急预案并进行了相应的演练。</w:t>
            </w:r>
          </w:p>
          <w:p>
            <w:pPr>
              <w:pStyle w:val="3"/>
              <w:spacing w:line="240" w:lineRule="auto"/>
              <w:rPr>
                <w:rFonts w:hint="eastAsia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2.8.7.进行了火灾演练并进行了效果评价，提供有“应急预案演练记录”及“应急预案评审记录”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QES9.2</w:t>
            </w:r>
          </w:p>
        </w:tc>
        <w:tc>
          <w:tcPr>
            <w:tcW w:w="10004" w:type="dxa"/>
          </w:tcPr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---制定了《内部审核控制程序》进行内部审核过程控制。提供内审记录，抽查内容如下：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审核组：金玉明、高佳伟：签到表显示，管代及各部门负责人参与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了内部审核的首末次会议；提供了内审员任命书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及首末次手写签到表。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查2022.10.7.制定计划，2022.10.8.实施的内部审核，内容包括审核目的、审核范围、审核准则、审核具体日程安排、编制批准等，内容完整，能够满足策划要求。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查《内审报告》中内部审核结论记录如下：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体系运行情况总结及有效性结论：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1、我公司的质量、环境、职业健康安全管理体系运行是基本有效的。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2、公司建立的管理体系文件基本符合ISO9001:2015，ISO14001:2015、ISO45001:2018标准要求。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查《内审不符合报告》，涉及的不符合项如下：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查供方：天津时地人和科技有限公司 评价记录未能提供。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pict>
                <v:rect id="Rectangle 8" o:spid="_x0000_s2050" o:spt="1" style="position:absolute;left:0pt;margin-left:57.85pt;margin-top:15.1pt;height:18pt;width:18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pPr>
                          <w:ind w:left="-120" w:leftChars="-50"/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不符合：      ISO9001：2015标准 条款号：8.4。</w:t>
            </w:r>
          </w:p>
          <w:p>
            <w:pPr>
              <w:pStyle w:val="3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不符合已验证关闭。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Y                                                                            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D6C82"/>
    <w:multiLevelType w:val="singleLevel"/>
    <w:tmpl w:val="6B8D6C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06911F9"/>
    <w:rsid w:val="01281A72"/>
    <w:rsid w:val="01B85F94"/>
    <w:rsid w:val="02581525"/>
    <w:rsid w:val="03047D28"/>
    <w:rsid w:val="037C2970"/>
    <w:rsid w:val="037F4049"/>
    <w:rsid w:val="03830824"/>
    <w:rsid w:val="04671EF4"/>
    <w:rsid w:val="046917C8"/>
    <w:rsid w:val="04FC263C"/>
    <w:rsid w:val="056326BB"/>
    <w:rsid w:val="06787267"/>
    <w:rsid w:val="0728596A"/>
    <w:rsid w:val="07444C4C"/>
    <w:rsid w:val="07B00722"/>
    <w:rsid w:val="087D1129"/>
    <w:rsid w:val="0C7D0506"/>
    <w:rsid w:val="0D255676"/>
    <w:rsid w:val="0D5F1304"/>
    <w:rsid w:val="0E063B4C"/>
    <w:rsid w:val="103E1D5B"/>
    <w:rsid w:val="118916FB"/>
    <w:rsid w:val="13531FC1"/>
    <w:rsid w:val="13BD38DE"/>
    <w:rsid w:val="159C3B10"/>
    <w:rsid w:val="16490BF4"/>
    <w:rsid w:val="1697487D"/>
    <w:rsid w:val="17E4562F"/>
    <w:rsid w:val="1811244B"/>
    <w:rsid w:val="184B6451"/>
    <w:rsid w:val="18BE6549"/>
    <w:rsid w:val="193463F1"/>
    <w:rsid w:val="1A296633"/>
    <w:rsid w:val="1B293607"/>
    <w:rsid w:val="1B4F0C9B"/>
    <w:rsid w:val="1CBB4733"/>
    <w:rsid w:val="1F422635"/>
    <w:rsid w:val="1FE43FA1"/>
    <w:rsid w:val="207B6296"/>
    <w:rsid w:val="2149312A"/>
    <w:rsid w:val="23AC4C9C"/>
    <w:rsid w:val="23DB56A9"/>
    <w:rsid w:val="24625F84"/>
    <w:rsid w:val="24831383"/>
    <w:rsid w:val="24D53CE1"/>
    <w:rsid w:val="251672D8"/>
    <w:rsid w:val="263A2B6C"/>
    <w:rsid w:val="26951B2C"/>
    <w:rsid w:val="28BB633A"/>
    <w:rsid w:val="29B03871"/>
    <w:rsid w:val="2AD909DA"/>
    <w:rsid w:val="2B1C518D"/>
    <w:rsid w:val="2B9D7E25"/>
    <w:rsid w:val="2BE85CC4"/>
    <w:rsid w:val="2CE4659B"/>
    <w:rsid w:val="2EEC3EE5"/>
    <w:rsid w:val="30D140CD"/>
    <w:rsid w:val="31A517E2"/>
    <w:rsid w:val="3301513E"/>
    <w:rsid w:val="33262F4B"/>
    <w:rsid w:val="33266952"/>
    <w:rsid w:val="33D269C4"/>
    <w:rsid w:val="3434509F"/>
    <w:rsid w:val="350A3E1C"/>
    <w:rsid w:val="356D6ABA"/>
    <w:rsid w:val="39E3651F"/>
    <w:rsid w:val="3A1936A7"/>
    <w:rsid w:val="3B021A53"/>
    <w:rsid w:val="3C736381"/>
    <w:rsid w:val="3D1B6704"/>
    <w:rsid w:val="3D4B1315"/>
    <w:rsid w:val="3DA94408"/>
    <w:rsid w:val="3F0A7128"/>
    <w:rsid w:val="40AB493B"/>
    <w:rsid w:val="41EA7803"/>
    <w:rsid w:val="429A07C3"/>
    <w:rsid w:val="42C6780A"/>
    <w:rsid w:val="43B72813"/>
    <w:rsid w:val="442A5B49"/>
    <w:rsid w:val="46284338"/>
    <w:rsid w:val="46753A21"/>
    <w:rsid w:val="47594865"/>
    <w:rsid w:val="48D72771"/>
    <w:rsid w:val="493E3092"/>
    <w:rsid w:val="49422D3A"/>
    <w:rsid w:val="495C2C76"/>
    <w:rsid w:val="4A4A2561"/>
    <w:rsid w:val="4AD60806"/>
    <w:rsid w:val="4BBD5522"/>
    <w:rsid w:val="4BCE3AD9"/>
    <w:rsid w:val="4CA17E53"/>
    <w:rsid w:val="4CAA3CF8"/>
    <w:rsid w:val="4CE911CB"/>
    <w:rsid w:val="4D16313C"/>
    <w:rsid w:val="4D50664E"/>
    <w:rsid w:val="4EBB48DA"/>
    <w:rsid w:val="4F0C2A48"/>
    <w:rsid w:val="513444D8"/>
    <w:rsid w:val="519A07DF"/>
    <w:rsid w:val="529506D0"/>
    <w:rsid w:val="52CD336A"/>
    <w:rsid w:val="53832013"/>
    <w:rsid w:val="55591B89"/>
    <w:rsid w:val="5623505E"/>
    <w:rsid w:val="56334D5F"/>
    <w:rsid w:val="57686183"/>
    <w:rsid w:val="58CE0D6F"/>
    <w:rsid w:val="58E81E30"/>
    <w:rsid w:val="598D1CE6"/>
    <w:rsid w:val="59A504B3"/>
    <w:rsid w:val="5A755946"/>
    <w:rsid w:val="5AE807C0"/>
    <w:rsid w:val="5C1B076F"/>
    <w:rsid w:val="5C356FEE"/>
    <w:rsid w:val="5F59269F"/>
    <w:rsid w:val="603F1DD8"/>
    <w:rsid w:val="62BB05B6"/>
    <w:rsid w:val="631101D6"/>
    <w:rsid w:val="6449399F"/>
    <w:rsid w:val="64BD7A31"/>
    <w:rsid w:val="66862C89"/>
    <w:rsid w:val="690A5DF3"/>
    <w:rsid w:val="69E1512B"/>
    <w:rsid w:val="69EA352F"/>
    <w:rsid w:val="6A5F5CCB"/>
    <w:rsid w:val="6C027255"/>
    <w:rsid w:val="6CAD05C5"/>
    <w:rsid w:val="6DF8446C"/>
    <w:rsid w:val="6E201C15"/>
    <w:rsid w:val="70161521"/>
    <w:rsid w:val="703646C9"/>
    <w:rsid w:val="71045A8B"/>
    <w:rsid w:val="71401E79"/>
    <w:rsid w:val="71A30B93"/>
    <w:rsid w:val="723B526F"/>
    <w:rsid w:val="728D5260"/>
    <w:rsid w:val="742A10F7"/>
    <w:rsid w:val="745A5E80"/>
    <w:rsid w:val="75243D99"/>
    <w:rsid w:val="76B45CFE"/>
    <w:rsid w:val="775B2D77"/>
    <w:rsid w:val="77694272"/>
    <w:rsid w:val="77A86F03"/>
    <w:rsid w:val="791F31F5"/>
    <w:rsid w:val="798E037A"/>
    <w:rsid w:val="7A187C44"/>
    <w:rsid w:val="7AF34939"/>
    <w:rsid w:val="7B05466C"/>
    <w:rsid w:val="7BFC0C6C"/>
    <w:rsid w:val="7C20576B"/>
    <w:rsid w:val="7C706666"/>
    <w:rsid w:val="7EEC1DCB"/>
    <w:rsid w:val="7F8D08BF"/>
    <w:rsid w:val="7FA62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3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ZW"/>
    <w:basedOn w:val="1"/>
    <w:qFormat/>
    <w:uiPriority w:val="0"/>
    <w:pPr>
      <w:spacing w:line="500" w:lineRule="exact"/>
      <w:ind w:firstLine="200" w:firstLineChars="200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2930</Words>
  <Characters>3451</Characters>
  <Lines>1</Lines>
  <Paragraphs>1</Paragraphs>
  <TotalTime>8</TotalTime>
  <ScaleCrop>false</ScaleCrop>
  <LinksUpToDate>false</LinksUpToDate>
  <CharactersWithSpaces>3578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2022-12-02T04:31:15Z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2052-11.1.0.12132</vt:lpwstr>
  </property>
</Properties>
</file>