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瑞昌市宏瑞船舶工程有限公司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1266-2021-QEO-2022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瑞昌市码头镇（原6214厂一分厂）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赵红伟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江西省瑞昌市码头镇（原6214厂一分厂）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赵红伟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13635982144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13635982144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Q：船舶通风管道、舾装件的安装（资质许可范围内除外）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E：船舶通风管道、舾装件的安装（资质许可范围内除外）所涉及场所的相关环境管理活动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O：船舶通风管道、舾装件的安装（资质许可范围内除外）所涉及场所的相关职业健康安全管理活动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Q：20.01.01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E：20.01.01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O：20.01.01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Q:23,E:23,O:23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bookmarkStart w:id="18" w:name="_GoBack"/>
            <w:bookmarkEnd w:id="18"/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tbl>
            <w:tblPr>
              <w:tblStyle w:val="7"/>
              <w:tblW w:w="834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0"/>
              <w:gridCol w:w="72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0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rPr>
                      <w:rFonts w:asci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b/>
                      <w:sz w:val="21"/>
                      <w:szCs w:val="21"/>
                    </w:rPr>
                    <w:t>管理层、安全事务代表</w:t>
                  </w:r>
                </w:p>
              </w:tc>
              <w:tc>
                <w:tcPr>
                  <w:tcW w:w="729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right="105" w:rightChars="50"/>
                    <w:jc w:val="left"/>
                    <w:textAlignment w:val="baseline"/>
                    <w:rPr>
                      <w:rFonts w:hint="eastAsia"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EO:4.1理解组织及其环境、4.2理解相关方的需求和期望、4.3确定管理体系的范围、4.4管理体系及其过程、5.1领导作用和承诺、5.2方针、5.3组织的岗位、职责和权限、6.1应对风险和机遇的措施、6.2目标及其实现的策划、7.1资源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7.4信息交流、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9.3管理评审、10.1改进、10.3持续改进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right="105" w:rightChars="50"/>
                    <w:jc w:val="left"/>
                    <w:textAlignment w:val="baseline"/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Q6.3变更的策划、8.3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删减确认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right="105" w:rightChars="50"/>
                    <w:jc w:val="left"/>
                    <w:textAlignment w:val="baseline"/>
                    <w:rPr>
                      <w:rFonts w:hint="eastAsia"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O5.4协商与参与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right="105" w:rightChars="50"/>
                    <w:jc w:val="left"/>
                    <w:textAlignment w:val="baseline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标准/规范/法规的执行情况、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上次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审核不符合项的验证、认证证书、标志的使用情况、投诉或事故、监督抽查情况、体系变动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0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rPr>
                      <w:rFonts w:hint="eastAsia" w:ascii="宋体" w:hAnsi="宋体" w:cs="Arial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b/>
                      <w:sz w:val="21"/>
                      <w:szCs w:val="21"/>
                      <w:lang w:eastAsia="zh-CN"/>
                    </w:rPr>
                    <w:t>行政部</w:t>
                  </w:r>
                </w:p>
              </w:tc>
              <w:tc>
                <w:tcPr>
                  <w:tcW w:w="729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right="105" w:rightChars="50"/>
                    <w:textAlignment w:val="baseline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ascii="宋体" w:hAnsi="宋体" w:cs="Arial"/>
                      <w:sz w:val="21"/>
                      <w:szCs w:val="21"/>
                    </w:rPr>
                    <w:t>Q:5.3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组织的岗位、职责和权限、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质量目标、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7.1.2人员、7.1.6组织知识、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7.2能力、7.3意识、</w:t>
                  </w:r>
                  <w:r>
                    <w:rPr>
                      <w:rFonts w:ascii="宋体" w:hAnsi="宋体" w:cs="Arial"/>
                      <w:spacing w:val="-6"/>
                      <w:sz w:val="21"/>
                      <w:szCs w:val="21"/>
                    </w:rPr>
                    <w:t>9.1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  <w:t>监视、测量、分析和评价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9.2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内部审核、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10.2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不合格和纠正措施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right="105" w:rightChars="50"/>
                    <w:jc w:val="left"/>
                    <w:textAlignment w:val="baseline"/>
                    <w:rPr>
                      <w:rFonts w:hint="eastAsia" w:ascii="宋体" w:hAnsi="宋体" w:cs="Arial"/>
                      <w:sz w:val="21"/>
                      <w:szCs w:val="21"/>
                    </w:rPr>
                  </w:pPr>
                  <w:r>
                    <w:rPr>
                      <w:rFonts w:ascii="宋体" w:hAnsi="宋体" w:cs="Arial"/>
                      <w:sz w:val="21"/>
                      <w:szCs w:val="21"/>
                    </w:rPr>
                    <w:t>E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/O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:5.3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组织的岗位、职责和权限、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6.1.2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环境因素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危险源的辨识与评价、6.1.4措施的策划、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目标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及实现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的策划、6.1.3合规义务、9.1.2合规性评价、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7.1资源、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7.2能力、7.3意识、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8.1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运行策划和控制、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应急准备和响应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9.1监视、测量、分析和评价、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9.2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内部审核、10.2不符合/事件和纠正措施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9" w:hRule="atLeast"/>
                <w:jc w:val="center"/>
              </w:trPr>
              <w:tc>
                <w:tcPr>
                  <w:tcW w:w="10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rPr>
                      <w:rFonts w:asci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b/>
                      <w:sz w:val="21"/>
                      <w:szCs w:val="21"/>
                    </w:rPr>
                    <w:t>生产部</w:t>
                  </w:r>
                </w:p>
              </w:tc>
              <w:tc>
                <w:tcPr>
                  <w:tcW w:w="729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right="105" w:rightChars="50"/>
                    <w:textAlignment w:val="baseline"/>
                    <w:rPr>
                      <w:rFonts w:ascii="宋体" w:cs="Arial"/>
                      <w:sz w:val="21"/>
                      <w:szCs w:val="21"/>
                    </w:rPr>
                  </w:pPr>
                  <w:r>
                    <w:rPr>
                      <w:rFonts w:ascii="宋体" w:hAnsi="宋体" w:cs="Arial"/>
                      <w:sz w:val="21"/>
                      <w:szCs w:val="21"/>
                    </w:rPr>
                    <w:t>QMS:5.3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组织的岗位、职责和权限、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质量目标、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7.1.3基础设施、7.1.4过程环境、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7.1.5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监视和测量资源、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8.1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运行策划和控制、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产品和服务的要求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8.4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外部提供过程、产品和服务的控制、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8.5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生产和服务提供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8.6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产品和服务的放行、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8.7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不合格输出的控制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240" w:lineRule="auto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ascii="宋体" w:hAnsi="宋体" w:cs="Arial"/>
                      <w:sz w:val="21"/>
                      <w:szCs w:val="21"/>
                    </w:rPr>
                    <w:t>E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/O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:5.3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组织的岗位、职责和权限、6.2目标及实现的策划、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6.1.2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环境因素/危险源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的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辨识与评价、6.1.4措施的策划、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8.1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运行策划和控制、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8.2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应急准备和响应</w:t>
                  </w:r>
                </w:p>
              </w:tc>
            </w:tr>
          </w:tbl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241742E8"/>
    <w:rsid w:val="36767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2369</Words>
  <Characters>2720</Characters>
  <Lines>16</Lines>
  <Paragraphs>4</Paragraphs>
  <TotalTime>1</TotalTime>
  <ScaleCrop>false</ScaleCrop>
  <LinksUpToDate>false</LinksUpToDate>
  <CharactersWithSpaces>3226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2022-12-28T01:30:42Z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