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1266-2021-QEO-2022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瑞昌市宏瑞船舶工程有限公司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瑞昌市宏瑞船舶工程有限公司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瑞昌市码头镇（原6214厂一分厂）</w:t>
            </w:r>
            <w:bookmarkEnd w:id="6"/>
          </w:p>
        </w:tc>
        <w:tc>
          <w:tcPr>
            <w:tcW w:w="1242" w:type="dxa"/>
            <w:vMerge w:val="restart"/>
            <w:vAlign w:val="center"/>
          </w:tcPr>
          <w:p>
            <w:r>
              <w:rPr>
                <w:rFonts w:hint="eastAsia"/>
              </w:rPr>
              <w:t>邮编</w:t>
            </w:r>
          </w:p>
        </w:tc>
        <w:tc>
          <w:tcPr>
            <w:tcW w:w="1771" w:type="dxa"/>
          </w:tcPr>
          <w:p>
            <w:bookmarkStart w:id="7" w:name="注册邮编"/>
            <w:r>
              <w:t>332207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江西省瑞昌市码头镇（原6214厂一分厂）</w:t>
            </w:r>
            <w:bookmarkEnd w:id="8"/>
          </w:p>
        </w:tc>
        <w:tc>
          <w:tcPr>
            <w:tcW w:w="1242" w:type="dxa"/>
            <w:vMerge w:val="continue"/>
            <w:vAlign w:val="center"/>
          </w:tcPr>
          <w:p/>
        </w:tc>
        <w:tc>
          <w:tcPr>
            <w:tcW w:w="1771" w:type="dxa"/>
          </w:tcPr>
          <w:p>
            <w:bookmarkStart w:id="9" w:name="办公邮编"/>
            <w:r>
              <w:t>332207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赵红伟</w:t>
            </w:r>
            <w:bookmarkEnd w:id="10"/>
          </w:p>
        </w:tc>
        <w:tc>
          <w:tcPr>
            <w:tcW w:w="1313" w:type="dxa"/>
            <w:vAlign w:val="center"/>
          </w:tcPr>
          <w:p>
            <w:r>
              <w:rPr>
                <w:rFonts w:hint="eastAsia"/>
              </w:rPr>
              <w:t>电话.</w:t>
            </w:r>
          </w:p>
        </w:tc>
        <w:tc>
          <w:tcPr>
            <w:tcW w:w="2180" w:type="dxa"/>
            <w:vAlign w:val="center"/>
          </w:tcPr>
          <w:p>
            <w:bookmarkStart w:id="11" w:name="联系人电话"/>
            <w:r>
              <w:t>13635982144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赵红伟</w:t>
            </w:r>
            <w:bookmarkEnd w:id="13"/>
          </w:p>
        </w:tc>
        <w:tc>
          <w:tcPr>
            <w:tcW w:w="1313" w:type="dxa"/>
            <w:vAlign w:val="center"/>
          </w:tcPr>
          <w:p>
            <w:r>
              <w:rPr>
                <w:rFonts w:hint="eastAsia"/>
              </w:rPr>
              <w:t>管理者代表</w:t>
            </w:r>
          </w:p>
        </w:tc>
        <w:tc>
          <w:tcPr>
            <w:tcW w:w="2180" w:type="dxa"/>
          </w:tcPr>
          <w:p>
            <w:bookmarkStart w:id="14" w:name="管理者代表"/>
            <w:r>
              <w:t>李怀松</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r>
              <w:rPr>
                <w:rFonts w:hint="eastAsia" w:ascii="宋体"/>
                <w:color w:val="auto"/>
                <w:szCs w:val="21"/>
              </w:rPr>
              <w:t>吊装—安装—焊接—打磨—报检—交付</w:t>
            </w:r>
          </w:p>
        </w:tc>
      </w:tr>
    </w:tbl>
    <w:p/>
    <w:p>
      <w:r>
        <w:rPr>
          <w:rFonts w:hint="eastAsia"/>
        </w:rPr>
        <w:t>二、本次审核信息</w:t>
      </w:r>
    </w:p>
    <w:tbl>
      <w:tblPr>
        <w:tblStyle w:val="8"/>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审核日期</w:t>
            </w:r>
          </w:p>
        </w:tc>
        <w:tc>
          <w:tcPr>
            <w:tcW w:w="8116" w:type="dxa"/>
            <w:gridSpan w:val="3"/>
            <w:tcMar>
              <w:left w:w="113" w:type="dxa"/>
            </w:tcMar>
          </w:tcPr>
          <w:p>
            <w:bookmarkStart w:id="15" w:name="审核日期"/>
            <w:r>
              <w:rPr>
                <w:rFonts w:hint="eastAsia"/>
              </w:rPr>
              <w:t>2022年12月</w:t>
            </w:r>
            <w:r>
              <w:rPr>
                <w:rFonts w:hint="eastAsia"/>
                <w:lang w:val="en-US" w:eastAsia="zh-CN"/>
              </w:rPr>
              <w:t>26</w:t>
            </w:r>
            <w:r>
              <w:rPr>
                <w:rFonts w:hint="eastAsia"/>
              </w:rPr>
              <w:t>日 下午至2022年12月</w:t>
            </w:r>
            <w:r>
              <w:rPr>
                <w:rFonts w:hint="eastAsia"/>
                <w:lang w:val="en-US" w:eastAsia="zh-CN"/>
              </w:rPr>
              <w:t>28</w:t>
            </w:r>
            <w:r>
              <w:rPr>
                <w:rFonts w:hint="eastAsia"/>
              </w:rPr>
              <w:t>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审核目的</w:t>
            </w:r>
          </w:p>
        </w:tc>
        <w:tc>
          <w:tcPr>
            <w:tcW w:w="8116"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审核准则</w:t>
            </w:r>
          </w:p>
          <w:p/>
        </w:tc>
        <w:tc>
          <w:tcPr>
            <w:tcW w:w="8116"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vAlign w:val="center"/>
          </w:tcPr>
          <w:p>
            <w:r>
              <w:rPr>
                <w:rFonts w:hint="eastAsia"/>
              </w:rPr>
              <w:t>审核方式</w:t>
            </w:r>
          </w:p>
        </w:tc>
        <w:tc>
          <w:tcPr>
            <w:tcW w:w="8116"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ascii="宋体" w:hAnsi="宋体" w:cs="宋体"/>
                <w:color w:val="000000"/>
                <w:kern w:val="0"/>
                <w:szCs w:val="21"/>
              </w:rPr>
              <w:t>审核方法</w:t>
            </w:r>
          </w:p>
        </w:tc>
        <w:tc>
          <w:tcPr>
            <w:tcW w:w="8116"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审核类型</w:t>
            </w:r>
          </w:p>
        </w:tc>
        <w:tc>
          <w:tcPr>
            <w:tcW w:w="8116"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8116"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远程审核方式</w:t>
            </w:r>
          </w:p>
        </w:tc>
        <w:tc>
          <w:tcPr>
            <w:tcW w:w="8116"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信息安全的控制</w:t>
            </w:r>
          </w:p>
        </w:tc>
        <w:tc>
          <w:tcPr>
            <w:tcW w:w="8116"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远程审核资源</w:t>
            </w:r>
          </w:p>
        </w:tc>
        <w:tc>
          <w:tcPr>
            <w:tcW w:w="8116"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Q：船舶通风管道、舾装件的安装（资质许可范围内除外）</w:t>
            </w:r>
          </w:p>
          <w:p>
            <w:r>
              <w:t>E：船舶通风管道、舾装件的安装（资质许可范围内除外）所涉及场所的相关环境管理活动</w:t>
            </w:r>
          </w:p>
          <w:p>
            <w:r>
              <w:t>O：船舶通风管道、舾装件的安装（资质许可范围内除外）所涉及场所的相关职业健康安全管理活动</w:t>
            </w:r>
            <w:bookmarkEnd w:id="29"/>
          </w:p>
        </w:tc>
        <w:tc>
          <w:tcPr>
            <w:tcW w:w="3500"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3" w:type="dxa"/>
            <w:vMerge w:val="continue"/>
            <w:vAlign w:val="center"/>
          </w:tcPr>
          <w:p/>
        </w:tc>
        <w:tc>
          <w:tcPr>
            <w:tcW w:w="5625" w:type="dxa"/>
            <w:gridSpan w:val="3"/>
            <w:vMerge w:val="continue"/>
            <w:vAlign w:val="center"/>
          </w:tcPr>
          <w:p/>
        </w:tc>
        <w:tc>
          <w:tcPr>
            <w:tcW w:w="3500" w:type="dxa"/>
            <w:vAlign w:val="center"/>
          </w:tcPr>
          <w:p>
            <w:bookmarkStart w:id="30" w:name="专业代码"/>
            <w:r>
              <w:t>Q：20.01.01</w:t>
            </w:r>
          </w:p>
          <w:p>
            <w:r>
              <w:t>E：20.01.01</w:t>
            </w:r>
          </w:p>
          <w:p>
            <w:r>
              <w:t>O：20.01.01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2" w:type="dxa"/>
            <w:gridSpan w:val="2"/>
            <w:vAlign w:val="center"/>
          </w:tcPr>
          <w:p>
            <w:r>
              <w:rPr>
                <w:rFonts w:hint="eastAsia"/>
              </w:rPr>
              <w:t>不适用ISO9001的条款</w:t>
            </w:r>
          </w:p>
        </w:tc>
        <w:tc>
          <w:tcPr>
            <w:tcW w:w="8116"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2" w:type="dxa"/>
            <w:gridSpan w:val="2"/>
            <w:vAlign w:val="center"/>
          </w:tcPr>
          <w:p>
            <w:r>
              <w:rPr>
                <w:rFonts w:hint="eastAsia"/>
              </w:rPr>
              <w:t>不适用的理由（可多选）</w:t>
            </w:r>
          </w:p>
        </w:tc>
        <w:tc>
          <w:tcPr>
            <w:tcW w:w="8116"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2" w:type="dxa"/>
            <w:gridSpan w:val="2"/>
            <w:vAlign w:val="center"/>
          </w:tcPr>
          <w:p>
            <w:r>
              <w:rPr>
                <w:rFonts w:hint="eastAsia"/>
              </w:rPr>
              <w:t>体系文件实施时间</w:t>
            </w:r>
          </w:p>
        </w:tc>
        <w:tc>
          <w:tcPr>
            <w:tcW w:w="2733" w:type="dxa"/>
          </w:tcPr>
          <w:p>
            <w:r>
              <w:rPr>
                <w:rFonts w:hint="eastAsia"/>
              </w:rPr>
              <w:t>2021年7月1日</w:t>
            </w:r>
          </w:p>
        </w:tc>
        <w:tc>
          <w:tcPr>
            <w:tcW w:w="1883" w:type="dxa"/>
            <w:vAlign w:val="center"/>
          </w:tcPr>
          <w:p>
            <w:r>
              <w:rPr>
                <w:rFonts w:hint="eastAsia"/>
              </w:rPr>
              <w:t>管理体系运行已超过3个月</w:t>
            </w:r>
          </w:p>
        </w:tc>
        <w:tc>
          <w:tcPr>
            <w:tcW w:w="3500"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2" w:type="dxa"/>
            <w:gridSpan w:val="2"/>
            <w:vAlign w:val="center"/>
          </w:tcPr>
          <w:p>
            <w:r>
              <w:rPr>
                <w:rFonts w:hint="eastAsia"/>
              </w:rPr>
              <w:t>上次审核时间</w:t>
            </w:r>
          </w:p>
        </w:tc>
        <w:tc>
          <w:tcPr>
            <w:tcW w:w="2733" w:type="dxa"/>
            <w:vAlign w:val="center"/>
          </w:tcPr>
          <w:p>
            <w:r>
              <w:rPr>
                <w:rFonts w:hint="eastAsia"/>
              </w:rPr>
              <w:t>2021年12月17日至20日</w:t>
            </w:r>
          </w:p>
        </w:tc>
        <w:tc>
          <w:tcPr>
            <w:tcW w:w="1883" w:type="dxa"/>
            <w:vAlign w:val="center"/>
          </w:tcPr>
          <w:p>
            <w:r>
              <w:rPr>
                <w:rFonts w:hint="eastAsia"/>
              </w:rPr>
              <w:t>认证证书有效期</w:t>
            </w:r>
          </w:p>
          <w:p>
            <w:r>
              <w:rPr>
                <w:rFonts w:hint="eastAsia"/>
              </w:rPr>
              <w:t>（初审除外）</w:t>
            </w:r>
          </w:p>
        </w:tc>
        <w:tc>
          <w:tcPr>
            <w:tcW w:w="3500" w:type="dxa"/>
            <w:vAlign w:val="center"/>
          </w:tcPr>
          <w:p>
            <w:r>
              <w:rPr>
                <w:rFonts w:hint="eastAsia"/>
              </w:rPr>
              <w:t>有效至2024-12-29</w:t>
            </w:r>
          </w:p>
        </w:tc>
      </w:tr>
    </w:tbl>
    <w:p/>
    <w:p>
      <w:pPr>
        <w:rPr>
          <w:lang w:eastAsia="ja-JP"/>
        </w:rPr>
      </w:pPr>
      <w:r>
        <w:rPr>
          <w:rFonts w:hint="eastAsia"/>
        </w:rPr>
        <w:t>本次审核</w:t>
      </w:r>
      <w:r>
        <w:t>覆盖以下各场所/场地及其对应的范围:</w:t>
      </w:r>
    </w:p>
    <w:tbl>
      <w:tblPr>
        <w:tblStyle w:val="8"/>
        <w:tblW w:w="974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428"/>
        <w:gridCol w:w="832"/>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428" w:type="dxa"/>
            <w:shd w:val="clear" w:color="auto" w:fill="F3F3F3"/>
            <w:tcMar>
              <w:left w:w="57" w:type="dxa"/>
              <w:right w:w="57" w:type="dxa"/>
            </w:tcMar>
          </w:tcPr>
          <w:p>
            <w:r>
              <w:rPr>
                <w:rFonts w:hint="eastAsia"/>
              </w:rPr>
              <w:t>审核范围（产品和过程）</w:t>
            </w:r>
          </w:p>
          <w:p/>
          <w:p/>
        </w:tc>
        <w:tc>
          <w:tcPr>
            <w:tcW w:w="832" w:type="dxa"/>
            <w:shd w:val="clear" w:color="auto" w:fill="F3F3F3"/>
            <w:tcMar>
              <w:left w:w="57" w:type="dxa"/>
              <w:right w:w="57" w:type="dxa"/>
            </w:tcMar>
          </w:tcPr>
          <w:p>
            <w:r>
              <w:rPr>
                <w:rFonts w:hint="eastAsia"/>
              </w:rPr>
              <w:t>标准</w:t>
            </w:r>
          </w:p>
        </w:tc>
        <w:tc>
          <w:tcPr>
            <w:tcW w:w="736"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sz w:val="21"/>
                <w:szCs w:val="21"/>
              </w:rPr>
            </w:pPr>
            <w:r>
              <w:rPr>
                <w:sz w:val="21"/>
                <w:szCs w:val="21"/>
              </w:rPr>
              <w:t>瑞昌市宏瑞船舶工程有限公司</w:t>
            </w:r>
          </w:p>
          <w:p>
            <w:pPr>
              <w:spacing w:before="40" w:after="40"/>
              <w:rPr>
                <w:rFonts w:ascii="Times New Roman" w:hAnsi="Times New Roman" w:eastAsia="宋体" w:cs="Times New Roman"/>
                <w:kern w:val="2"/>
                <w:sz w:val="21"/>
                <w:szCs w:val="21"/>
                <w:lang w:val="de-DE" w:eastAsia="ja-JP" w:bidi="ar-SA"/>
              </w:rPr>
            </w:pPr>
            <w:r>
              <w:rPr>
                <w:rFonts w:hint="eastAsia"/>
                <w:sz w:val="21"/>
                <w:szCs w:val="21"/>
                <w:lang w:val="de-DE" w:eastAsia="ja-JP"/>
              </w:rPr>
              <w:t>瑞昌市码头镇（原6214厂一分厂）</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sz w:val="21"/>
                <w:szCs w:val="21"/>
                <w:lang w:val="de-DE" w:eastAsia="ja-JP"/>
              </w:rPr>
              <w:t>江西省瑞昌市码头镇（原6214厂一分厂）</w:t>
            </w:r>
          </w:p>
        </w:tc>
        <w:tc>
          <w:tcPr>
            <w:tcW w:w="571"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cs="宋体"/>
                <w:color w:val="000000"/>
                <w:kern w:val="0"/>
                <w:szCs w:val="24"/>
              </w:rPr>
              <w:t>23</w:t>
            </w:r>
          </w:p>
        </w:tc>
        <w:tc>
          <w:tcPr>
            <w:tcW w:w="2428" w:type="dxa"/>
            <w:vAlign w:val="center"/>
          </w:tcPr>
          <w:p>
            <w:pPr>
              <w:pStyle w:val="20"/>
              <w:rPr>
                <w:rFonts w:ascii="Times New Roman" w:hAnsi="Times New Roman" w:eastAsia="黑体" w:cs="Arial"/>
                <w:kern w:val="2"/>
                <w:sz w:val="21"/>
                <w:szCs w:val="21"/>
                <w:lang w:val="en-US" w:eastAsia="ja-JP" w:bidi="ar-SA"/>
              </w:rPr>
            </w:pPr>
            <w:r>
              <w:rPr>
                <w:rFonts w:hint="eastAsia" w:ascii="Times New Roman" w:hAnsi="Times New Roman" w:eastAsia="宋体" w:cs="Times New Roman"/>
                <w:kern w:val="2"/>
                <w:sz w:val="21"/>
                <w:szCs w:val="21"/>
                <w:lang w:val="en-US" w:eastAsia="ja-JP" w:bidi="ar-SA"/>
              </w:rPr>
              <w:t>船舶通风管道、舾装件的安装（资质许可范围内除外）</w:t>
            </w:r>
          </w:p>
        </w:tc>
        <w:tc>
          <w:tcPr>
            <w:tcW w:w="832" w:type="dxa"/>
            <w:vAlign w:val="center"/>
          </w:tcPr>
          <w:p>
            <w:pPr>
              <w:rPr>
                <w:lang w:eastAsia="ja-JP"/>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5</w:t>
            </w:r>
          </w:p>
        </w:tc>
        <w:tc>
          <w:tcPr>
            <w:tcW w:w="736" w:type="dxa"/>
            <w:shd w:val="clear" w:color="auto" w:fill="FFFFFF"/>
          </w:tcPr>
          <w:p>
            <w:pPr>
              <w:rPr>
                <w:rFonts w:hint="eastAsia" w:eastAsia="宋体"/>
                <w:lang w:eastAsia="zh-CN"/>
              </w:rPr>
            </w:pPr>
            <w:r>
              <w:rPr>
                <w:rFonts w:hint="eastAsia"/>
                <w:lang w:eastAsia="zh-CN"/>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vAlign w:val="center"/>
          </w:tcPr>
          <w:p>
            <w:pPr>
              <w:rPr>
                <w:lang w:eastAsia="ja-JP"/>
              </w:rPr>
            </w:pPr>
            <w:r>
              <w:rPr>
                <w:rFonts w:hint="eastAsia"/>
                <w:lang w:eastAsia="ja-JP"/>
              </w:rPr>
              <w:t>02</w:t>
            </w:r>
          </w:p>
        </w:tc>
        <w:tc>
          <w:tcPr>
            <w:tcW w:w="2267" w:type="dxa"/>
            <w:vAlign w:val="top"/>
          </w:tcPr>
          <w:p>
            <w:pPr>
              <w:spacing w:before="40" w:after="40"/>
              <w:rPr>
                <w:sz w:val="21"/>
                <w:szCs w:val="21"/>
              </w:rPr>
            </w:pPr>
            <w:r>
              <w:rPr>
                <w:sz w:val="21"/>
                <w:szCs w:val="21"/>
              </w:rPr>
              <w:t>瑞昌市宏瑞船舶工程有限公司</w:t>
            </w:r>
          </w:p>
          <w:p>
            <w:pPr>
              <w:spacing w:before="40" w:after="40"/>
              <w:rPr>
                <w:lang w:eastAsia="ja-JP"/>
              </w:rPr>
            </w:pPr>
            <w:r>
              <w:rPr>
                <w:rFonts w:hint="eastAsia"/>
                <w:sz w:val="21"/>
                <w:szCs w:val="21"/>
                <w:lang w:val="de-DE" w:eastAsia="ja-JP"/>
              </w:rPr>
              <w:t>瑞昌市码头镇（原6214厂一分厂）</w:t>
            </w:r>
          </w:p>
        </w:tc>
        <w:tc>
          <w:tcPr>
            <w:tcW w:w="2267" w:type="dxa"/>
            <w:vAlign w:val="top"/>
          </w:tcPr>
          <w:p>
            <w:pPr>
              <w:spacing w:before="40" w:after="40"/>
              <w:rPr>
                <w:lang w:eastAsia="ja-JP"/>
              </w:rPr>
            </w:pPr>
            <w:r>
              <w:rPr>
                <w:rFonts w:hint="eastAsia"/>
                <w:sz w:val="21"/>
                <w:szCs w:val="21"/>
                <w:lang w:val="de-DE" w:eastAsia="ja-JP"/>
              </w:rPr>
              <w:t>江西省瑞昌市码头镇（原6214厂一分厂）</w:t>
            </w:r>
          </w:p>
        </w:tc>
        <w:tc>
          <w:tcPr>
            <w:tcW w:w="571" w:type="dxa"/>
            <w:vAlign w:val="center"/>
          </w:tcPr>
          <w:p>
            <w:pPr>
              <w:spacing w:before="40" w:after="40"/>
              <w:rPr>
                <w:lang w:eastAsia="ja-JP"/>
              </w:rPr>
            </w:pPr>
            <w:r>
              <w:rPr>
                <w:rFonts w:hint="eastAsia" w:ascii="宋体" w:hAnsi="宋体" w:cs="宋体"/>
                <w:color w:val="000000"/>
                <w:kern w:val="0"/>
                <w:szCs w:val="24"/>
              </w:rPr>
              <w:t>23</w:t>
            </w:r>
          </w:p>
        </w:tc>
        <w:tc>
          <w:tcPr>
            <w:tcW w:w="2428" w:type="dxa"/>
            <w:vAlign w:val="center"/>
          </w:tcPr>
          <w:p>
            <w:pPr>
              <w:rPr>
                <w:lang w:eastAsia="ja-JP"/>
              </w:rPr>
            </w:pPr>
            <w:r>
              <w:t>船舶通风管道、舾装件的安装（资质许可范围内除外）所涉及场所的相关环境管理活动</w:t>
            </w:r>
          </w:p>
        </w:tc>
        <w:tc>
          <w:tcPr>
            <w:tcW w:w="832" w:type="dxa"/>
            <w:vAlign w:val="center"/>
          </w:tcPr>
          <w:p>
            <w:pPr>
              <w:rPr>
                <w:lang w:eastAsia="ja-JP"/>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5</w:t>
            </w:r>
          </w:p>
        </w:tc>
        <w:tc>
          <w:tcPr>
            <w:tcW w:w="736" w:type="dxa"/>
            <w:shd w:val="clear" w:color="auto" w:fill="FFFFFF"/>
          </w:tcPr>
          <w:p>
            <w:pPr>
              <w:rPr>
                <w:rFonts w:hint="eastAsia" w:eastAsia="宋体"/>
                <w:lang w:eastAsia="zh-CN"/>
              </w:rPr>
            </w:pPr>
            <w:r>
              <w:rPr>
                <w:rFonts w:hint="eastAsia"/>
                <w:lang w:eastAsia="zh-CN"/>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vAlign w:val="center"/>
          </w:tcPr>
          <w:p>
            <w:pPr>
              <w:rPr>
                <w:lang w:eastAsia="ja-JP"/>
              </w:rPr>
            </w:pPr>
            <w:r>
              <w:rPr>
                <w:rFonts w:hint="eastAsia"/>
                <w:lang w:eastAsia="ja-JP"/>
              </w:rPr>
              <w:t>03</w:t>
            </w:r>
          </w:p>
        </w:tc>
        <w:tc>
          <w:tcPr>
            <w:tcW w:w="2267" w:type="dxa"/>
            <w:vAlign w:val="top"/>
          </w:tcPr>
          <w:p>
            <w:pPr>
              <w:spacing w:before="40" w:after="40"/>
              <w:rPr>
                <w:sz w:val="21"/>
                <w:szCs w:val="21"/>
              </w:rPr>
            </w:pPr>
            <w:r>
              <w:rPr>
                <w:sz w:val="21"/>
                <w:szCs w:val="21"/>
              </w:rPr>
              <w:t>瑞昌市宏瑞船舶工程有限公司</w:t>
            </w:r>
          </w:p>
          <w:p>
            <w:pPr>
              <w:spacing w:before="40" w:after="40"/>
              <w:rPr>
                <w:lang w:eastAsia="ja-JP"/>
              </w:rPr>
            </w:pPr>
            <w:r>
              <w:rPr>
                <w:rFonts w:hint="eastAsia"/>
                <w:sz w:val="21"/>
                <w:szCs w:val="21"/>
                <w:lang w:val="de-DE" w:eastAsia="ja-JP"/>
              </w:rPr>
              <w:t>瑞昌市码头镇（原6214厂一分厂）</w:t>
            </w:r>
          </w:p>
        </w:tc>
        <w:tc>
          <w:tcPr>
            <w:tcW w:w="2267" w:type="dxa"/>
            <w:vAlign w:val="top"/>
          </w:tcPr>
          <w:p>
            <w:pPr>
              <w:spacing w:before="40" w:after="40"/>
              <w:rPr>
                <w:lang w:eastAsia="ja-JP"/>
              </w:rPr>
            </w:pPr>
            <w:r>
              <w:rPr>
                <w:rFonts w:hint="eastAsia"/>
                <w:sz w:val="21"/>
                <w:szCs w:val="21"/>
                <w:lang w:val="de-DE" w:eastAsia="ja-JP"/>
              </w:rPr>
              <w:t>江西省瑞昌市码头镇（原6214厂一分厂）</w:t>
            </w:r>
          </w:p>
        </w:tc>
        <w:tc>
          <w:tcPr>
            <w:tcW w:w="571" w:type="dxa"/>
            <w:vAlign w:val="center"/>
          </w:tcPr>
          <w:p>
            <w:pPr>
              <w:spacing w:before="40" w:after="40"/>
              <w:rPr>
                <w:lang w:eastAsia="ja-JP"/>
              </w:rPr>
            </w:pPr>
            <w:r>
              <w:rPr>
                <w:rFonts w:hint="eastAsia" w:ascii="宋体" w:hAnsi="宋体" w:cs="宋体"/>
                <w:color w:val="000000"/>
                <w:kern w:val="0"/>
                <w:szCs w:val="24"/>
              </w:rPr>
              <w:t>23</w:t>
            </w:r>
          </w:p>
        </w:tc>
        <w:tc>
          <w:tcPr>
            <w:tcW w:w="2428" w:type="dxa"/>
            <w:vAlign w:val="center"/>
          </w:tcPr>
          <w:p>
            <w:pPr>
              <w:rPr>
                <w:lang w:eastAsia="ja-JP"/>
              </w:rPr>
            </w:pPr>
            <w:r>
              <w:t>船舶通风管道、舾装件的安装（资质许可范围内除外）所涉及场所的相关职业健康安全管理活动</w:t>
            </w:r>
          </w:p>
        </w:tc>
        <w:tc>
          <w:tcPr>
            <w:tcW w:w="832" w:type="dxa"/>
            <w:vAlign w:val="center"/>
          </w:tcPr>
          <w:p>
            <w:pPr>
              <w:rPr>
                <w:lang w:eastAsia="ja-JP"/>
              </w:rPr>
            </w:pPr>
            <w:r>
              <w:rPr>
                <w:rFonts w:hint="eastAsia"/>
              </w:rPr>
              <w:t>GB/T 45001-2020/</w:t>
            </w:r>
            <w:r>
              <w:rPr>
                <w:rFonts w:hint="eastAsia"/>
                <w:lang w:val="de-DE"/>
              </w:rPr>
              <w:t>ISO45001：2018</w:t>
            </w:r>
          </w:p>
        </w:tc>
        <w:tc>
          <w:tcPr>
            <w:tcW w:w="736" w:type="dxa"/>
            <w:shd w:val="clear" w:color="auto" w:fill="FFFFFF"/>
          </w:tcPr>
          <w:p>
            <w:pPr>
              <w:rPr>
                <w:rFonts w:hint="eastAsia" w:eastAsia="宋体"/>
                <w:lang w:eastAsia="zh-CN"/>
              </w:rPr>
            </w:pPr>
            <w:r>
              <w:rPr>
                <w:rFonts w:hint="eastAsia"/>
                <w:lang w:eastAsia="zh-CN"/>
              </w:rPr>
              <w:sym w:font="Wingdings 2" w:char="0052"/>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1" w:type="dxa"/>
          </w:tcPr>
          <w:p>
            <w:r>
              <w:rPr>
                <w:rFonts w:hint="eastAsia"/>
              </w:rPr>
              <w:sym w:font="Wingdings 2" w:char="0052"/>
            </w:r>
            <w:r>
              <w:rPr>
                <w:rFonts w:hint="eastAsia"/>
              </w:rPr>
              <w:t>已按照审核计划完成全部审核工作</w:t>
            </w:r>
          </w:p>
        </w:tc>
        <w:tc>
          <w:tcPr>
            <w:tcW w:w="5560"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01" w:type="dxa"/>
          </w:tcPr>
          <w:p>
            <w:r>
              <w:rPr>
                <w:rFonts w:hint="eastAsia"/>
              </w:rPr>
              <w:t>□审核计划有修改，但不会影响审核结论。</w:t>
            </w:r>
          </w:p>
          <w:p>
            <w:r>
              <w:rPr>
                <w:rFonts w:hint="eastAsia"/>
              </w:rPr>
              <w:t>修改的内容和原因是：</w:t>
            </w:r>
          </w:p>
        </w:tc>
        <w:tc>
          <w:tcPr>
            <w:tcW w:w="5560"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1" w:type="dxa"/>
          </w:tcPr>
          <w:p>
            <w:r>
              <w:rPr>
                <w:rFonts w:hint="eastAsia"/>
              </w:rPr>
              <w:t>□未完成审核计划</w:t>
            </w:r>
          </w:p>
        </w:tc>
        <w:tc>
          <w:tcPr>
            <w:tcW w:w="5560" w:type="dxa"/>
          </w:tcPr>
          <w:p>
            <w:r>
              <w:rPr>
                <w:rFonts w:hint="eastAsia"/>
              </w:rPr>
              <w:t>未完成的内容和原因是:</w:t>
            </w:r>
          </w:p>
          <w:p/>
        </w:tc>
      </w:tr>
    </w:tbl>
    <w:p>
      <w:pPr>
        <w:rPr>
          <w:highlight w:val="cyan"/>
        </w:rPr>
      </w:pPr>
    </w:p>
    <w:p>
      <w:r>
        <w:rPr>
          <w:rFonts w:hint="eastAsia"/>
        </w:rPr>
        <w:t>五、审核组成员信息</w:t>
      </w:r>
    </w:p>
    <w:tbl>
      <w:tblPr>
        <w:tblStyle w:val="8"/>
        <w:tblW w:w="977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089"/>
        <w:gridCol w:w="711"/>
        <w:gridCol w:w="387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77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5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24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58"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2021-N1QMS-3068076</w:t>
            </w:r>
          </w:p>
          <w:p>
            <w:r>
              <w:t>2021-N1EMS-3068076</w:t>
            </w:r>
          </w:p>
          <w:p>
            <w:r>
              <w:t>2022-N1OHSMS-3068076</w:t>
            </w:r>
          </w:p>
        </w:tc>
        <w:tc>
          <w:tcPr>
            <w:tcW w:w="224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58" w:type="dxa"/>
            <w:vAlign w:val="center"/>
          </w:tcPr>
          <w:p>
            <w:r>
              <w:t>吴文龙</w:t>
            </w:r>
          </w:p>
        </w:tc>
        <w:tc>
          <w:tcPr>
            <w:tcW w:w="1089" w:type="dxa"/>
            <w:vAlign w:val="center"/>
          </w:tcPr>
          <w:p>
            <w:r>
              <w:t>组员</w:t>
            </w:r>
          </w:p>
        </w:tc>
        <w:tc>
          <w:tcPr>
            <w:tcW w:w="711" w:type="dxa"/>
            <w:vAlign w:val="center"/>
          </w:tcPr>
          <w:p>
            <w:r>
              <w:t>男</w:t>
            </w:r>
          </w:p>
        </w:tc>
        <w:tc>
          <w:tcPr>
            <w:tcW w:w="3870" w:type="dxa"/>
            <w:vAlign w:val="center"/>
          </w:tcPr>
          <w:p>
            <w:r>
              <w:t>ISC-JSZJ-458</w:t>
            </w:r>
          </w:p>
          <w:p>
            <w:r>
              <w:t>ISC-JSZJ-458</w:t>
            </w:r>
          </w:p>
          <w:p>
            <w:r>
              <w:t>ISC-JSZJ-458</w:t>
            </w:r>
          </w:p>
          <w:p>
            <w:r>
              <w:t>江西江州联合造船有限责任公司</w:t>
            </w:r>
          </w:p>
        </w:tc>
        <w:tc>
          <w:tcPr>
            <w:tcW w:w="2249" w:type="dxa"/>
            <w:vAlign w:val="center"/>
          </w:tcPr>
          <w:p>
            <w:r>
              <w:t>Q:20.01.01</w:t>
            </w:r>
          </w:p>
          <w:p>
            <w:r>
              <w:t>E:20.01.01</w:t>
            </w:r>
          </w:p>
          <w:p>
            <w:r>
              <w:t>O:20.01.01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58" w:type="dxa"/>
            <w:vAlign w:val="center"/>
          </w:tcPr>
          <w:p/>
        </w:tc>
        <w:tc>
          <w:tcPr>
            <w:tcW w:w="1089" w:type="dxa"/>
            <w:vAlign w:val="center"/>
          </w:tcPr>
          <w:p/>
        </w:tc>
        <w:tc>
          <w:tcPr>
            <w:tcW w:w="711" w:type="dxa"/>
            <w:vAlign w:val="center"/>
          </w:tcPr>
          <w:p/>
        </w:tc>
        <w:tc>
          <w:tcPr>
            <w:tcW w:w="3870" w:type="dxa"/>
            <w:vAlign w:val="center"/>
          </w:tcPr>
          <w:p/>
        </w:tc>
        <w:tc>
          <w:tcPr>
            <w:tcW w:w="224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58" w:type="dxa"/>
            <w:vAlign w:val="center"/>
          </w:tcPr>
          <w:p/>
        </w:tc>
        <w:tc>
          <w:tcPr>
            <w:tcW w:w="1089" w:type="dxa"/>
            <w:vAlign w:val="center"/>
          </w:tcPr>
          <w:p/>
        </w:tc>
        <w:tc>
          <w:tcPr>
            <w:tcW w:w="711" w:type="dxa"/>
            <w:vAlign w:val="center"/>
          </w:tcPr>
          <w:p/>
        </w:tc>
        <w:tc>
          <w:tcPr>
            <w:tcW w:w="3870" w:type="dxa"/>
            <w:vAlign w:val="center"/>
          </w:tcPr>
          <w:p/>
        </w:tc>
        <w:tc>
          <w:tcPr>
            <w:tcW w:w="224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77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5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24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58" w:type="dxa"/>
            <w:vAlign w:val="center"/>
          </w:tcPr>
          <w:p/>
        </w:tc>
        <w:tc>
          <w:tcPr>
            <w:tcW w:w="1089" w:type="dxa"/>
            <w:vAlign w:val="center"/>
          </w:tcPr>
          <w:p/>
        </w:tc>
        <w:tc>
          <w:tcPr>
            <w:tcW w:w="711" w:type="dxa"/>
            <w:vAlign w:val="center"/>
          </w:tcPr>
          <w:p/>
        </w:tc>
        <w:tc>
          <w:tcPr>
            <w:tcW w:w="3870" w:type="dxa"/>
            <w:vAlign w:val="center"/>
          </w:tcPr>
          <w:p/>
        </w:tc>
        <w:tc>
          <w:tcPr>
            <w:tcW w:w="224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58" w:type="dxa"/>
            <w:vAlign w:val="center"/>
          </w:tcPr>
          <w:p/>
        </w:tc>
        <w:tc>
          <w:tcPr>
            <w:tcW w:w="1089" w:type="dxa"/>
            <w:vAlign w:val="center"/>
          </w:tcPr>
          <w:p/>
        </w:tc>
        <w:tc>
          <w:tcPr>
            <w:tcW w:w="711" w:type="dxa"/>
            <w:vAlign w:val="center"/>
          </w:tcPr>
          <w:p/>
        </w:tc>
        <w:tc>
          <w:tcPr>
            <w:tcW w:w="3870" w:type="dxa"/>
            <w:vAlign w:val="center"/>
          </w:tcPr>
          <w:p/>
        </w:tc>
        <w:tc>
          <w:tcPr>
            <w:tcW w:w="224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vAlign w:val="top"/>
          </w:tcPr>
          <w:p>
            <w:r>
              <w:rPr>
                <w:rFonts w:hint="eastAsia"/>
                <w:lang w:val="en-US" w:eastAsia="zh-CN"/>
              </w:rPr>
              <w:t>0</w:t>
            </w:r>
          </w:p>
        </w:tc>
        <w:tc>
          <w:tcPr>
            <w:tcW w:w="1717" w:type="dxa"/>
            <w:vAlign w:val="top"/>
          </w:tcPr>
          <w:p>
            <w:r>
              <w:rPr>
                <w:rFonts w:hint="eastAsia"/>
                <w:lang w:val="en-US" w:eastAsia="zh-CN"/>
              </w:rPr>
              <w:t>0</w:t>
            </w:r>
          </w:p>
        </w:tc>
        <w:tc>
          <w:tcPr>
            <w:tcW w:w="1560" w:type="dxa"/>
            <w:vAlign w:val="top"/>
          </w:tcPr>
          <w:p>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Align w:val="top"/>
          </w:tcPr>
          <w:p>
            <w:r>
              <w:rPr>
                <w:rFonts w:hint="eastAsia"/>
                <w:lang w:val="en-US" w:eastAsia="zh-CN"/>
              </w:rPr>
              <w:t>0</w:t>
            </w:r>
          </w:p>
        </w:tc>
        <w:tc>
          <w:tcPr>
            <w:tcW w:w="1717" w:type="dxa"/>
            <w:vAlign w:val="top"/>
          </w:tcPr>
          <w:p>
            <w:r>
              <w:rPr>
                <w:rFonts w:hint="eastAsia"/>
                <w:lang w:val="en-US" w:eastAsia="zh-CN"/>
              </w:rPr>
              <w:t>0</w:t>
            </w:r>
          </w:p>
        </w:tc>
        <w:tc>
          <w:tcPr>
            <w:tcW w:w="1560" w:type="dxa"/>
            <w:vAlign w:val="top"/>
          </w:tcPr>
          <w:p>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r>
        <w:rPr>
          <w:rFonts w:hint="eastAsia"/>
        </w:rPr>
        <w:t>十三、审核组推荐意见:</w:t>
      </w:r>
    </w:p>
    <w:tbl>
      <w:tblPr>
        <w:tblStyle w:val="8"/>
        <w:tblpPr w:leftFromText="180" w:rightFromText="180" w:vertAnchor="text" w:horzAnchor="page" w:tblpX="1187" w:tblpY="120"/>
        <w:tblOverlap w:val="never"/>
        <w:tblW w:w="9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970"/>
        <w:gridCol w:w="7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shd w:val="clear" w:color="auto" w:fill="auto"/>
          </w:tcPr>
          <w:p>
            <w:r>
              <w:rPr>
                <w:rFonts w:hint="eastAsia"/>
              </w:rPr>
              <w:t>推荐内容</w:t>
            </w:r>
          </w:p>
        </w:tc>
        <w:tc>
          <w:tcPr>
            <w:tcW w:w="8084"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vMerge w:val="restart"/>
            <w:shd w:val="clear" w:color="auto" w:fill="auto"/>
          </w:tcPr>
          <w:p>
            <w:r>
              <w:rPr>
                <w:rFonts w:hint="eastAsia"/>
              </w:rPr>
              <w:t>管理体系评价</w:t>
            </w:r>
          </w:p>
        </w:tc>
        <w:tc>
          <w:tcPr>
            <w:tcW w:w="8084"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vMerge w:val="continue"/>
            <w:shd w:val="clear" w:color="auto" w:fill="auto"/>
          </w:tcPr>
          <w:p/>
        </w:tc>
        <w:tc>
          <w:tcPr>
            <w:tcW w:w="8084"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vMerge w:val="continue"/>
            <w:shd w:val="clear" w:color="auto" w:fill="auto"/>
          </w:tcPr>
          <w:p/>
        </w:tc>
        <w:tc>
          <w:tcPr>
            <w:tcW w:w="8084"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vMerge w:val="continue"/>
            <w:shd w:val="clear" w:color="auto" w:fill="auto"/>
          </w:tcPr>
          <w:p/>
        </w:tc>
        <w:tc>
          <w:tcPr>
            <w:tcW w:w="8084"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vMerge w:val="restart"/>
            <w:shd w:val="clear" w:color="auto" w:fill="auto"/>
          </w:tcPr>
          <w:p>
            <w:r>
              <w:rPr>
                <w:rFonts w:hint="eastAsia"/>
              </w:rPr>
              <w:t>对审核范围适宜性结论</w:t>
            </w:r>
          </w:p>
          <w:p/>
        </w:tc>
        <w:tc>
          <w:tcPr>
            <w:tcW w:w="8084"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vMerge w:val="continue"/>
            <w:shd w:val="clear" w:color="auto" w:fill="auto"/>
          </w:tcPr>
          <w:p/>
        </w:tc>
        <w:tc>
          <w:tcPr>
            <w:tcW w:w="8084"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vMerge w:val="continue"/>
            <w:shd w:val="clear" w:color="auto" w:fill="auto"/>
          </w:tcPr>
          <w:p/>
        </w:tc>
        <w:tc>
          <w:tcPr>
            <w:tcW w:w="970" w:type="dxa"/>
            <w:shd w:val="clear" w:color="auto" w:fill="auto"/>
          </w:tcPr>
          <w:p>
            <w:r>
              <w:rPr>
                <w:rFonts w:hint="eastAsia"/>
              </w:rPr>
              <w:t>QMS</w:t>
            </w:r>
          </w:p>
          <w:p/>
        </w:tc>
        <w:tc>
          <w:tcPr>
            <w:tcW w:w="711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vMerge w:val="continue"/>
            <w:shd w:val="clear" w:color="auto" w:fill="auto"/>
          </w:tcPr>
          <w:p/>
        </w:tc>
        <w:tc>
          <w:tcPr>
            <w:tcW w:w="970" w:type="dxa"/>
            <w:shd w:val="clear" w:color="auto" w:fill="auto"/>
          </w:tcPr>
          <w:p>
            <w:r>
              <w:rPr>
                <w:rFonts w:hint="eastAsia"/>
              </w:rPr>
              <w:t>EcMS</w:t>
            </w:r>
          </w:p>
        </w:tc>
        <w:tc>
          <w:tcPr>
            <w:tcW w:w="711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vMerge w:val="continue"/>
            <w:shd w:val="clear" w:color="auto" w:fill="auto"/>
          </w:tcPr>
          <w:p/>
        </w:tc>
        <w:tc>
          <w:tcPr>
            <w:tcW w:w="970" w:type="dxa"/>
            <w:shd w:val="clear" w:color="auto" w:fill="auto"/>
          </w:tcPr>
          <w:p>
            <w:pPr>
              <w:rPr>
                <w:lang w:val="en-GB"/>
              </w:rPr>
            </w:pPr>
            <w:r>
              <w:rPr>
                <w:rFonts w:hint="eastAsia"/>
              </w:rPr>
              <w:t>EMS</w:t>
            </w:r>
          </w:p>
          <w:p/>
        </w:tc>
        <w:tc>
          <w:tcPr>
            <w:tcW w:w="711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vMerge w:val="continue"/>
            <w:shd w:val="clear" w:color="auto" w:fill="auto"/>
          </w:tcPr>
          <w:p/>
        </w:tc>
        <w:tc>
          <w:tcPr>
            <w:tcW w:w="970" w:type="dxa"/>
            <w:shd w:val="clear" w:color="auto" w:fill="auto"/>
          </w:tcPr>
          <w:p>
            <w:pPr>
              <w:rPr>
                <w:lang w:val="en-GB"/>
              </w:rPr>
            </w:pPr>
            <w:r>
              <w:rPr>
                <w:rFonts w:hint="eastAsia"/>
              </w:rPr>
              <w:t>OHSMS</w:t>
            </w:r>
          </w:p>
          <w:p/>
        </w:tc>
        <w:tc>
          <w:tcPr>
            <w:tcW w:w="711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vMerge w:val="restart"/>
            <w:shd w:val="clear" w:color="auto" w:fill="auto"/>
          </w:tcPr>
          <w:p>
            <w:r>
              <w:rPr>
                <w:rFonts w:hint="eastAsia"/>
              </w:rPr>
              <w:t>审核组推荐意见</w:t>
            </w:r>
          </w:p>
          <w:p/>
        </w:tc>
        <w:tc>
          <w:tcPr>
            <w:tcW w:w="8084"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vMerge w:val="continue"/>
            <w:shd w:val="clear" w:color="auto" w:fill="auto"/>
          </w:tcPr>
          <w:p/>
        </w:tc>
        <w:tc>
          <w:tcPr>
            <w:tcW w:w="8084"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vMerge w:val="continue"/>
            <w:shd w:val="clear" w:color="auto" w:fill="auto"/>
          </w:tcPr>
          <w:p/>
        </w:tc>
        <w:tc>
          <w:tcPr>
            <w:tcW w:w="8084"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vMerge w:val="continue"/>
            <w:shd w:val="clear" w:color="auto" w:fill="auto"/>
          </w:tcPr>
          <w:p/>
        </w:tc>
        <w:tc>
          <w:tcPr>
            <w:tcW w:w="8084"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vMerge w:val="continue"/>
            <w:shd w:val="clear" w:color="auto" w:fill="auto"/>
          </w:tcPr>
          <w:p/>
        </w:tc>
        <w:tc>
          <w:tcPr>
            <w:tcW w:w="8084"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vMerge w:val="continue"/>
            <w:shd w:val="clear" w:color="auto" w:fill="auto"/>
          </w:tcPr>
          <w:p/>
        </w:tc>
        <w:tc>
          <w:tcPr>
            <w:tcW w:w="8084"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vMerge w:val="continue"/>
            <w:shd w:val="clear" w:color="auto" w:fill="auto"/>
          </w:tcPr>
          <w:p/>
        </w:tc>
        <w:tc>
          <w:tcPr>
            <w:tcW w:w="8084"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vMerge w:val="continue"/>
            <w:shd w:val="clear" w:color="auto" w:fill="auto"/>
          </w:tcPr>
          <w:p/>
        </w:tc>
        <w:tc>
          <w:tcPr>
            <w:tcW w:w="8084"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vMerge w:val="continue"/>
            <w:shd w:val="clear" w:color="auto" w:fill="auto"/>
          </w:tcPr>
          <w:p/>
        </w:tc>
        <w:tc>
          <w:tcPr>
            <w:tcW w:w="8084"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3"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084"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9"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084"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5"/>
        <w:gridCol w:w="2873"/>
        <w:gridCol w:w="2764"/>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635" w:type="dxa"/>
            <w:vAlign w:val="center"/>
          </w:tcPr>
          <w:p>
            <w:pPr>
              <w:rPr>
                <w:rFonts w:ascii="宋体"/>
                <w:b/>
                <w:color w:val="0000FF"/>
                <w:szCs w:val="21"/>
              </w:rPr>
            </w:pPr>
            <w:r>
              <w:rPr>
                <w:rFonts w:hint="eastAsia" w:ascii="宋体"/>
                <w:b/>
                <w:color w:val="0000FF"/>
                <w:szCs w:val="21"/>
              </w:rPr>
              <w:t>突发事件的处置措施</w:t>
            </w:r>
          </w:p>
        </w:tc>
        <w:tc>
          <w:tcPr>
            <w:tcW w:w="8100"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635" w:type="dxa"/>
            <w:vMerge w:val="restart"/>
            <w:vAlign w:val="center"/>
          </w:tcPr>
          <w:p>
            <w:pPr>
              <w:rPr>
                <w:rFonts w:ascii="宋体"/>
                <w:b/>
                <w:color w:val="0000FF"/>
                <w:szCs w:val="21"/>
              </w:rPr>
            </w:pPr>
            <w:r>
              <w:rPr>
                <w:rFonts w:hint="eastAsia"/>
                <w:b/>
                <w:bCs/>
                <w:color w:val="0000FF"/>
              </w:rPr>
              <w:t>远程审核的有效性评价（适用时）</w:t>
            </w:r>
          </w:p>
        </w:tc>
        <w:tc>
          <w:tcPr>
            <w:tcW w:w="8100"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635" w:type="dxa"/>
            <w:vMerge w:val="continue"/>
            <w:vAlign w:val="center"/>
          </w:tcPr>
          <w:p>
            <w:pPr>
              <w:rPr>
                <w:rFonts w:ascii="宋体"/>
                <w:b/>
                <w:color w:val="0000FF"/>
                <w:szCs w:val="21"/>
              </w:rPr>
            </w:pPr>
          </w:p>
        </w:tc>
        <w:tc>
          <w:tcPr>
            <w:tcW w:w="8100"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635" w:type="dxa"/>
          </w:tcPr>
          <w:p>
            <w:r>
              <w:rPr>
                <w:rFonts w:hint="eastAsia"/>
              </w:rPr>
              <w:t>审核组长签字</w:t>
            </w:r>
          </w:p>
        </w:tc>
        <w:tc>
          <w:tcPr>
            <w:tcW w:w="2873" w:type="dxa"/>
            <w:tcMar>
              <w:left w:w="113" w:type="dxa"/>
            </w:tcMar>
          </w:tcPr>
          <w:p>
            <w:r>
              <w:rPr>
                <w:rFonts w:hint="default" w:ascii="宋体" w:hAnsi="宋体"/>
                <w:b/>
                <w:kern w:val="0"/>
                <w:sz w:val="24"/>
                <w:lang w:val="en-US"/>
              </w:rPr>
              <w:drawing>
                <wp:anchor distT="0" distB="0" distL="114300" distR="114300" simplePos="0" relativeHeight="251662336" behindDoc="0" locked="0" layoutInCell="1" allowOverlap="1">
                  <wp:simplePos x="0" y="0"/>
                  <wp:positionH relativeFrom="column">
                    <wp:posOffset>189865</wp:posOffset>
                  </wp:positionH>
                  <wp:positionV relativeFrom="paragraph">
                    <wp:posOffset>8255</wp:posOffset>
                  </wp:positionV>
                  <wp:extent cx="869315" cy="523875"/>
                  <wp:effectExtent l="0" t="0" r="6985" b="889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69315" cy="52387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463"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2022.12.29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bookmarkStart w:id="34" w:name="_GoBack"/>
      <w:bookmarkEnd w:id="34"/>
    </w:p>
    <w:p>
      <w: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以身作则□建立机制□法规宣传</w:t>
            </w:r>
            <w:r>
              <w:rPr>
                <w:rFonts w:hint="eastAsia"/>
              </w:rPr>
              <w:sym w:font="Wingdings 2" w:char="0052"/>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u w:val="single"/>
              </w:rPr>
            </w:pPr>
            <w:r>
              <w:rPr>
                <w:rFonts w:hint="eastAsia"/>
                <w:u w:val="single"/>
              </w:rPr>
              <w:t xml:space="preserve">用户至上、产品求精、持续改进、质量兴企； </w:t>
            </w:r>
          </w:p>
          <w:p>
            <w:pPr>
              <w:shd w:val="clear" w:color="auto" w:fill="C7DAF1" w:themeFill="text2" w:themeFillTint="32"/>
              <w:rPr>
                <w:rFonts w:hint="eastAsia"/>
                <w:u w:val="single"/>
              </w:rPr>
            </w:pPr>
            <w:r>
              <w:rPr>
                <w:rFonts w:hint="eastAsia"/>
                <w:u w:val="single"/>
              </w:rPr>
              <w:t>遵纪守法、预防危害、防治污染、持续发展。</w:t>
            </w:r>
          </w:p>
          <w:p>
            <w:pPr>
              <w:pStyle w:val="2"/>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交付风险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建立管理体系</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529"/>
              <w:gridCol w:w="109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529"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091"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40"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after="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安装调试、交付合格率100%</w:t>
                  </w:r>
                </w:p>
              </w:tc>
              <w:tc>
                <w:tcPr>
                  <w:tcW w:w="3529" w:type="dxa"/>
                  <w:shd w:val="clear" w:color="auto" w:fill="auto"/>
                  <w:vAlign w:val="top"/>
                </w:tcPr>
                <w:p>
                  <w:pPr>
                    <w:spacing w:after="0"/>
                    <w:rPr>
                      <w:rFonts w:ascii="Times New Roman" w:hAnsi="Times New Roman" w:eastAsia="宋体" w:cs="Times New Roman"/>
                      <w:color w:val="000000"/>
                      <w:kern w:val="2"/>
                      <w:sz w:val="21"/>
                      <w:szCs w:val="18"/>
                      <w:highlight w:val="cyan"/>
                      <w:lang w:val="en-GB" w:eastAsia="zh-CN" w:bidi="ar-SA"/>
                    </w:rPr>
                  </w:pPr>
                  <w:r>
                    <w:rPr>
                      <w:rFonts w:hint="eastAsia"/>
                      <w:sz w:val="21"/>
                      <w:szCs w:val="21"/>
                    </w:rPr>
                    <w:t>合格数÷总数×100%</w:t>
                  </w:r>
                </w:p>
              </w:tc>
              <w:tc>
                <w:tcPr>
                  <w:tcW w:w="1091"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生产部</w:t>
                  </w:r>
                </w:p>
              </w:tc>
              <w:tc>
                <w:tcPr>
                  <w:tcW w:w="1640" w:type="dxa"/>
                  <w:shd w:val="clear" w:color="auto" w:fill="auto"/>
                  <w:vAlign w:val="center"/>
                </w:tcPr>
                <w:p>
                  <w:pPr>
                    <w:shd w:val="clear" w:color="auto" w:fill="C7DAF1" w:themeFill="text2" w:themeFillTint="32"/>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after="0"/>
                    <w:rPr>
                      <w:rFonts w:hint="eastAsia" w:ascii="Times New Roman" w:hAnsi="Times New Roman" w:eastAsia="宋体" w:cs="Times New Roman"/>
                      <w:kern w:val="2"/>
                      <w:sz w:val="21"/>
                      <w:szCs w:val="21"/>
                      <w:lang w:val="en-US" w:eastAsia="zh-CN" w:bidi="ar-SA"/>
                    </w:rPr>
                  </w:pPr>
                  <w:r>
                    <w:rPr>
                      <w:rFonts w:hint="eastAsia"/>
                      <w:sz w:val="21"/>
                      <w:szCs w:val="21"/>
                    </w:rPr>
                    <w:t>顾客满意度9</w:t>
                  </w:r>
                  <w:r>
                    <w:rPr>
                      <w:rFonts w:hint="eastAsia"/>
                      <w:sz w:val="21"/>
                      <w:szCs w:val="21"/>
                      <w:lang w:val="en-US" w:eastAsia="zh-CN"/>
                    </w:rPr>
                    <w:t>6</w:t>
                  </w:r>
                  <w:r>
                    <w:rPr>
                      <w:rFonts w:hint="eastAsia"/>
                      <w:sz w:val="21"/>
                      <w:szCs w:val="21"/>
                    </w:rPr>
                    <w:t>分以上</w:t>
                  </w:r>
                </w:p>
              </w:tc>
              <w:tc>
                <w:tcPr>
                  <w:tcW w:w="3529" w:type="dxa"/>
                  <w:shd w:val="clear" w:color="auto" w:fill="auto"/>
                  <w:vAlign w:val="top"/>
                </w:tcPr>
                <w:p>
                  <w:pPr>
                    <w:spacing w:after="0"/>
                    <w:rPr>
                      <w:rFonts w:ascii="Times New Roman" w:hAnsi="Times New Roman" w:eastAsia="宋体" w:cs="Times New Roman"/>
                      <w:color w:val="000000"/>
                      <w:kern w:val="2"/>
                      <w:sz w:val="21"/>
                      <w:szCs w:val="18"/>
                      <w:highlight w:val="cyan"/>
                      <w:lang w:val="en-US" w:eastAsia="zh-CN" w:bidi="ar-SA"/>
                    </w:rPr>
                  </w:pPr>
                  <w:r>
                    <w:rPr>
                      <w:rFonts w:hint="eastAsia"/>
                      <w:sz w:val="21"/>
                      <w:szCs w:val="21"/>
                    </w:rPr>
                    <w:t>调查单位中满意总分数÷调查单位数</w:t>
                  </w:r>
                </w:p>
              </w:tc>
              <w:tc>
                <w:tcPr>
                  <w:tcW w:w="1091"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生产部</w:t>
                  </w:r>
                </w:p>
              </w:tc>
              <w:tc>
                <w:tcPr>
                  <w:tcW w:w="1640"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529" w:type="dxa"/>
                  <w:shd w:val="clear" w:color="auto" w:fill="auto"/>
                  <w:vAlign w:val="center"/>
                </w:tcPr>
                <w:p>
                  <w:pPr>
                    <w:shd w:val="clear" w:color="auto" w:fill="C7DAF1" w:themeFill="text2" w:themeFillTint="32"/>
                    <w:rPr>
                      <w:rFonts w:ascii="宋体" w:hAnsi="宋体"/>
                    </w:rPr>
                  </w:pPr>
                </w:p>
              </w:tc>
              <w:tc>
                <w:tcPr>
                  <w:tcW w:w="1091" w:type="dxa"/>
                  <w:shd w:val="clear" w:color="auto" w:fill="auto"/>
                  <w:vAlign w:val="center"/>
                </w:tcPr>
                <w:p>
                  <w:pPr>
                    <w:shd w:val="clear" w:color="auto" w:fill="C7DAF1" w:themeFill="text2" w:themeFillTint="32"/>
                    <w:rPr>
                      <w:rFonts w:ascii="宋体" w:hAnsi="宋体"/>
                    </w:rPr>
                  </w:pPr>
                </w:p>
              </w:tc>
              <w:tc>
                <w:tcPr>
                  <w:tcW w:w="1640"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200</w:t>
            </w:r>
            <w:r>
              <w:rPr>
                <w:rFonts w:hint="eastAsia"/>
              </w:rPr>
              <w:t>平方米；生产车间</w:t>
            </w:r>
            <w:r>
              <w:rPr>
                <w:rFonts w:hint="eastAsia"/>
                <w:lang w:val="en-US" w:eastAsia="zh-CN"/>
              </w:rPr>
              <w:t>/</w:t>
            </w:r>
            <w:r>
              <w:rPr>
                <w:rFonts w:hint="eastAsia"/>
              </w:rPr>
              <w:t>个；库房</w:t>
            </w:r>
            <w:r>
              <w:rPr>
                <w:rFonts w:hint="eastAsia"/>
                <w:lang w:val="en-US" w:eastAsia="zh-CN"/>
              </w:rPr>
              <w:t>/</w:t>
            </w:r>
            <w:r>
              <w:rPr>
                <w:rFonts w:hint="eastAsia"/>
              </w:rPr>
              <w:t>个；实验室</w:t>
            </w:r>
            <w:r>
              <w:rPr>
                <w:rFonts w:hint="eastAsia"/>
                <w:lang w:val="en-US" w:eastAsia="zh-CN"/>
              </w:rPr>
              <w:t>/</w:t>
            </w:r>
            <w:r>
              <w:rPr>
                <w:rFonts w:hint="eastAsia"/>
              </w:rPr>
              <w:t>个；</w:t>
            </w:r>
          </w:p>
          <w:p>
            <w:pPr>
              <w:shd w:val="clear" w:color="auto" w:fill="C7DAF1" w:themeFill="text2" w:themeFillTint="32"/>
              <w:rPr>
                <w:u w:val="single"/>
              </w:rPr>
            </w:pPr>
            <w:r>
              <w:rPr>
                <w:rFonts w:hint="eastAsia"/>
              </w:rPr>
              <w:t>主要生产设备有：</w:t>
            </w:r>
            <w:r>
              <w:rPr>
                <w:rFonts w:hint="eastAsia"/>
                <w:u w:val="single"/>
              </w:rPr>
              <w:t>磨光机、切割机、电焊机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6"/>
              <w:gridCol w:w="1691"/>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6" w:type="dxa"/>
                </w:tcPr>
                <w:p>
                  <w:pPr>
                    <w:shd w:val="clear" w:color="auto" w:fill="C7DAF1" w:themeFill="text2" w:themeFillTint="32"/>
                    <w:jc w:val="left"/>
                  </w:pPr>
                  <w:r>
                    <w:rPr>
                      <w:rFonts w:hint="eastAsia"/>
                    </w:rPr>
                    <w:t>产品/服务名称</w:t>
                  </w:r>
                </w:p>
              </w:tc>
              <w:tc>
                <w:tcPr>
                  <w:tcW w:w="1691"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6" w:type="dxa"/>
                  <w:vAlign w:val="top"/>
                </w:tcPr>
                <w:p>
                  <w:pPr>
                    <w:shd w:val="clear" w:color="auto" w:fill="C7DAF1" w:themeFill="text2" w:themeFillTint="32"/>
                    <w:jc w:val="left"/>
                  </w:pPr>
                  <w:r>
                    <w:rPr>
                      <w:rFonts w:hint="eastAsia"/>
                      <w:color w:val="000000"/>
                    </w:rPr>
                    <w:t>船舶通风管道、舾装件的安装</w:t>
                  </w:r>
                </w:p>
              </w:tc>
              <w:tc>
                <w:tcPr>
                  <w:tcW w:w="1691" w:type="dxa"/>
                  <w:vAlign w:val="top"/>
                </w:tcPr>
                <w:p>
                  <w:pPr>
                    <w:shd w:val="clear" w:color="auto" w:fill="C7DAF1" w:themeFill="text2" w:themeFillTint="32"/>
                    <w:jc w:val="left"/>
                  </w:pPr>
                  <w:r>
                    <w:rPr>
                      <w:rFonts w:hint="eastAsia"/>
                      <w:color w:val="000000"/>
                      <w:u w:val="single"/>
                    </w:rPr>
                    <w:t>安装、焊接</w:t>
                  </w:r>
                </w:p>
              </w:tc>
              <w:tc>
                <w:tcPr>
                  <w:tcW w:w="3265" w:type="dxa"/>
                  <w:vAlign w:val="top"/>
                </w:tcPr>
                <w:p>
                  <w:pPr>
                    <w:shd w:val="clear" w:color="auto" w:fill="C7DAF1" w:themeFill="text2" w:themeFillTint="32"/>
                    <w:jc w:val="left"/>
                  </w:pPr>
                  <w:r>
                    <w:rPr>
                      <w:rFonts w:hint="eastAsia"/>
                      <w:lang w:val="en-US" w:eastAsia="zh-CN"/>
                    </w:rPr>
                    <w:t>尺寸、电流</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焊接</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通过年度策划于2022年10月20-21日实施了质量管理体系内部审核，对质量管理体系的符合性和有效性进行了审核。内审发现的项不符合在本次审核前已完成整改。在公司内完成的这些审核是可信的。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最高管理者已按策划的时间间隔，在2022年10月31日对组织的质量管理体系进行了评审，以确保其持续的适宜性、充分性和有效性；管理评审输入、输出均按要求提供。并对提出的改进措施进行了落实。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97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83"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83"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83"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83"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83"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83"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83"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83"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83"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shd w:val="clear" w:color="auto" w:fill="EBF1DE" w:themeFill="accent3" w:themeFillTint="32"/>
            <w:vAlign w:val="top"/>
          </w:tcPr>
          <w:p>
            <w:pPr>
              <w:shd w:val="clear" w:color="auto" w:fill="EBF1DE" w:themeFill="accent3" w:themeFillTint="32"/>
            </w:pPr>
            <w:r>
              <w:rPr>
                <w:rFonts w:hint="eastAsia"/>
              </w:rPr>
              <w:t>审核周期</w:t>
            </w:r>
          </w:p>
        </w:tc>
        <w:tc>
          <w:tcPr>
            <w:tcW w:w="8748" w:type="dxa"/>
            <w:shd w:val="clear" w:color="auto" w:fill="EBF1DE" w:themeFill="accent3" w:themeFillTint="32"/>
            <w:vAlign w:val="top"/>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shd w:val="clear" w:color="auto" w:fill="EBF1DE" w:themeFill="accent3" w:themeFillTint="32"/>
            <w:vAlign w:val="top"/>
          </w:tcPr>
          <w:p>
            <w:pPr>
              <w:shd w:val="clear" w:color="auto" w:fill="EBF1DE" w:themeFill="accent3" w:themeFillTint="32"/>
            </w:pPr>
            <w:r>
              <w:rPr>
                <w:rFonts w:hint="eastAsia"/>
              </w:rPr>
              <w:t>体系要素</w:t>
            </w:r>
          </w:p>
        </w:tc>
        <w:tc>
          <w:tcPr>
            <w:tcW w:w="8748" w:type="dxa"/>
            <w:shd w:val="clear" w:color="auto" w:fill="EBF1DE" w:themeFill="accent3" w:themeFillTint="32"/>
            <w:vAlign w:val="top"/>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restart"/>
            <w:shd w:val="clear" w:color="auto" w:fill="EBF1DE" w:themeFill="accent3" w:themeFillTint="32"/>
            <w:vAlign w:val="top"/>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restart"/>
            <w:shd w:val="clear" w:color="auto" w:fill="EBF1DE" w:themeFill="accent3" w:themeFillTint="32"/>
            <w:vAlign w:val="top"/>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以身作则□建立机制□法规宣传</w:t>
            </w:r>
            <w:r>
              <w:rPr>
                <w:rFonts w:hint="eastAsia"/>
              </w:rPr>
              <w:sym w:font="Wingdings 2" w:char="0052"/>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u w:val="single"/>
              </w:rPr>
            </w:pPr>
            <w:r>
              <w:rPr>
                <w:rFonts w:hint="eastAsia"/>
                <w:u w:val="single"/>
              </w:rPr>
              <w:t xml:space="preserve">用户至上、产品求精、持续改进、质量兴企； </w:t>
            </w:r>
          </w:p>
          <w:p>
            <w:pPr>
              <w:shd w:val="clear" w:color="auto" w:fill="EBF1DE" w:themeFill="accent3" w:themeFillTint="32"/>
              <w:rPr>
                <w:u w:val="single"/>
              </w:rPr>
            </w:pPr>
            <w:r>
              <w:rPr>
                <w:rFonts w:hint="eastAsia"/>
                <w:u w:val="single"/>
              </w:rPr>
              <w:t>遵纪守法、预防危害、防治污染、持续发展。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restart"/>
            <w:shd w:val="clear" w:color="auto" w:fill="EBF1DE" w:themeFill="accent3" w:themeFillTint="32"/>
            <w:vAlign w:val="top"/>
          </w:tcPr>
          <w:p>
            <w:pPr>
              <w:shd w:val="clear" w:color="auto" w:fill="EBF1DE" w:themeFill="accent3" w:themeFillTint="32"/>
            </w:pPr>
            <w:r>
              <w:rPr>
                <w:rFonts w:hint="eastAsia"/>
              </w:rPr>
              <w:t>策划</w:t>
            </w:r>
          </w:p>
        </w:tc>
        <w:tc>
          <w:tcPr>
            <w:tcW w:w="8748" w:type="dxa"/>
            <w:shd w:val="clear" w:color="auto" w:fill="EBF1DE" w:themeFill="accent3" w:themeFillTint="32"/>
            <w:vAlign w:val="top"/>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0"/>
              <w:gridCol w:w="1705"/>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0" w:type="dxa"/>
                </w:tcPr>
                <w:p>
                  <w:pPr>
                    <w:shd w:val="clear" w:color="auto" w:fill="EBF1DE" w:themeFill="accent3" w:themeFillTint="32"/>
                  </w:pPr>
                  <w:r>
                    <w:rPr>
                      <w:rFonts w:hint="eastAsia"/>
                    </w:rPr>
                    <w:t>主要的风险或机遇描述</w:t>
                  </w:r>
                </w:p>
              </w:tc>
              <w:tc>
                <w:tcPr>
                  <w:tcW w:w="1705" w:type="dxa"/>
                </w:tcPr>
                <w:p>
                  <w:pPr>
                    <w:shd w:val="clear" w:color="auto" w:fill="EBF1DE" w:themeFill="accent3" w:themeFillTint="32"/>
                  </w:pPr>
                  <w:r>
                    <w:rPr>
                      <w:rFonts w:hint="eastAsia"/>
                    </w:rPr>
                    <w:t>应对措施</w:t>
                  </w:r>
                </w:p>
              </w:tc>
              <w:tc>
                <w:tcPr>
                  <w:tcW w:w="154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固废排放、潜在火灾、噪声排放、废气排放、粉尘排放</w:t>
                  </w:r>
                </w:p>
              </w:tc>
              <w:tc>
                <w:tcPr>
                  <w:tcW w:w="170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建立管理体系</w:t>
                  </w:r>
                </w:p>
              </w:tc>
              <w:tc>
                <w:tcPr>
                  <w:tcW w:w="154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0" w:type="dxa"/>
                </w:tcPr>
                <w:p>
                  <w:pPr>
                    <w:shd w:val="clear" w:color="auto" w:fill="EBF1DE" w:themeFill="accent3" w:themeFillTint="32"/>
                  </w:pPr>
                </w:p>
              </w:tc>
              <w:tc>
                <w:tcPr>
                  <w:tcW w:w="1705" w:type="dxa"/>
                </w:tcPr>
                <w:p>
                  <w:pPr>
                    <w:shd w:val="clear" w:color="auto" w:fill="EBF1DE" w:themeFill="accent3" w:themeFillTint="32"/>
                  </w:pPr>
                </w:p>
              </w:tc>
              <w:tc>
                <w:tcPr>
                  <w:tcW w:w="154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能源消耗□资源消耗□废水排放</w:t>
            </w:r>
            <w:r>
              <w:rPr>
                <w:rFonts w:hint="eastAsia"/>
              </w:rPr>
              <w:sym w:font="Wingdings 2" w:char="0052"/>
            </w:r>
            <w:r>
              <w:rPr>
                <w:rFonts w:hint="eastAsia"/>
              </w:rPr>
              <w:t>废气排放</w:t>
            </w:r>
            <w:r>
              <w:rPr>
                <w:rFonts w:hint="eastAsia"/>
              </w:rPr>
              <w:sym w:font="Wingdings 2" w:char="0052"/>
            </w:r>
            <w:r>
              <w:rPr>
                <w:rFonts w:hint="eastAsia"/>
              </w:rPr>
              <w:t>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8"/>
              <w:gridCol w:w="2319"/>
              <w:gridCol w:w="11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8"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319"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59"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585"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8" w:type="dxa"/>
                  <w:shd w:val="clear" w:color="auto" w:fill="auto"/>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sz w:val="21"/>
                      <w:szCs w:val="21"/>
                    </w:rPr>
                    <w:t>火灾事故为0</w:t>
                  </w:r>
                </w:p>
              </w:tc>
              <w:tc>
                <w:tcPr>
                  <w:tcW w:w="2319"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lang w:val="en-US" w:eastAsia="zh-CN"/>
                    </w:rPr>
                    <w:t>运行控制、应急预案</w:t>
                  </w:r>
                </w:p>
              </w:tc>
              <w:tc>
                <w:tcPr>
                  <w:tcW w:w="1159"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GB" w:eastAsia="zh-CN" w:bidi="ar-SA"/>
                    </w:rPr>
                  </w:pPr>
                  <w:r>
                    <w:rPr>
                      <w:rFonts w:hint="eastAsia"/>
                      <w:lang w:val="en-US" w:eastAsia="zh-CN"/>
                    </w:rPr>
                    <w:t>生产部</w:t>
                  </w:r>
                </w:p>
              </w:tc>
              <w:tc>
                <w:tcPr>
                  <w:tcW w:w="1585" w:type="dxa"/>
                  <w:shd w:val="clear" w:color="auto" w:fill="auto"/>
                  <w:vAlign w:val="center"/>
                </w:tcPr>
                <w:p>
                  <w:pPr>
                    <w:shd w:val="clear" w:color="auto" w:fill="EBF1DE" w:themeFill="accent3" w:themeFillTint="32"/>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8" w:type="dxa"/>
                  <w:shd w:val="clear" w:color="auto" w:fill="auto"/>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sz w:val="21"/>
                      <w:szCs w:val="21"/>
                    </w:rPr>
                    <w:t>固体废弃物分类处置率100%</w:t>
                  </w:r>
                </w:p>
              </w:tc>
              <w:tc>
                <w:tcPr>
                  <w:tcW w:w="2319" w:type="dxa"/>
                  <w:shd w:val="clear" w:color="auto" w:fill="auto"/>
                  <w:vAlign w:val="center"/>
                </w:tcPr>
                <w:p>
                  <w:pPr>
                    <w:shd w:val="clear" w:color="auto" w:fill="EBF1DE" w:themeFill="accent3"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集中回收，船厂处理</w:t>
                  </w:r>
                </w:p>
              </w:tc>
              <w:tc>
                <w:tcPr>
                  <w:tcW w:w="1159"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生产部</w:t>
                  </w:r>
                </w:p>
              </w:tc>
              <w:tc>
                <w:tcPr>
                  <w:tcW w:w="1585"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GB" w:eastAsia="zh-CN"/>
                    </w:rPr>
                    <w:t>完成</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restart"/>
            <w:shd w:val="clear" w:color="auto" w:fill="EBF1DE" w:themeFill="accent3" w:themeFillTint="32"/>
            <w:vAlign w:val="top"/>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200</w:t>
            </w:r>
            <w:r>
              <w:rPr>
                <w:rFonts w:hint="eastAsia"/>
              </w:rPr>
              <w:t>平方米；生产车间</w:t>
            </w:r>
            <w:r>
              <w:rPr>
                <w:rFonts w:hint="eastAsia"/>
                <w:lang w:val="en-US" w:eastAsia="zh-CN"/>
              </w:rPr>
              <w:t>/</w:t>
            </w:r>
            <w:r>
              <w:rPr>
                <w:rFonts w:hint="eastAsia"/>
              </w:rPr>
              <w:t>个；库房</w:t>
            </w:r>
            <w:r>
              <w:rPr>
                <w:rFonts w:hint="eastAsia"/>
                <w:lang w:val="en-US" w:eastAsia="zh-CN"/>
              </w:rPr>
              <w:t>/</w:t>
            </w:r>
            <w:r>
              <w:rPr>
                <w:rFonts w:hint="eastAsia"/>
              </w:rPr>
              <w:t>个；实验室</w:t>
            </w:r>
            <w:r>
              <w:rPr>
                <w:rFonts w:hint="eastAsia"/>
                <w:lang w:val="en-US" w:eastAsia="zh-CN"/>
              </w:rPr>
              <w:t>/</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磨光机、切割机、电焊机</w:t>
            </w:r>
          </w:p>
          <w:p>
            <w:pPr>
              <w:shd w:val="clear" w:color="auto" w:fill="EBF1DE" w:themeFill="accent3" w:themeFillTint="32"/>
              <w:rPr>
                <w:u w:val="single"/>
              </w:rPr>
            </w:pPr>
            <w:r>
              <w:rPr>
                <w:rFonts w:hint="eastAsia"/>
              </w:rPr>
              <w:t>主要环保设备有：</w:t>
            </w:r>
            <w:r>
              <w:rPr>
                <w:rFonts w:hint="eastAsia"/>
                <w:u w:val="single"/>
              </w:rPr>
              <w:t>垃圾桶、消防设施设备</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lang w:val="en-US" w:eastAsia="zh-CN"/>
              </w:rPr>
              <w:t>/</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restart"/>
            <w:shd w:val="clear" w:color="auto" w:fill="EBF1DE" w:themeFill="accent3" w:themeFillTint="32"/>
            <w:vAlign w:val="top"/>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eastAsia="zh-CN"/>
                    </w:rPr>
                  </w:pPr>
                  <w:r>
                    <w:rPr>
                      <w:rFonts w:hint="eastAsia"/>
                      <w:lang w:eastAsia="zh-CN"/>
                    </w:rPr>
                    <w:t>运行控制</w:t>
                  </w:r>
                </w:p>
              </w:tc>
              <w:tc>
                <w:tcPr>
                  <w:tcW w:w="3265" w:type="dxa"/>
                </w:tcPr>
                <w:p>
                  <w:pPr>
                    <w:shd w:val="clear" w:color="auto" w:fill="EBF1DE" w:themeFill="accent3" w:themeFillTint="32"/>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lang w:eastAsia="zh-CN"/>
                    </w:rPr>
                    <w:t>运行控制、应急管理</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于2022</w:t>
            </w:r>
            <w:r>
              <w:rPr>
                <w:rFonts w:hint="eastAsia"/>
                <w:lang w:eastAsia="zh-CN"/>
              </w:rPr>
              <w:t>年</w:t>
            </w:r>
            <w:r>
              <w:rPr>
                <w:rFonts w:hint="eastAsia"/>
              </w:rPr>
              <w:t>7</w:t>
            </w:r>
            <w:r>
              <w:rPr>
                <w:rFonts w:hint="eastAsia"/>
                <w:lang w:eastAsia="zh-CN"/>
              </w:rPr>
              <w:t>月</w:t>
            </w:r>
            <w:r>
              <w:rPr>
                <w:rFonts w:hint="eastAsia"/>
              </w:rPr>
              <w:t>10</w:t>
            </w:r>
            <w:r>
              <w:rPr>
                <w:rFonts w:hint="eastAsia"/>
                <w:lang w:eastAsia="zh-CN"/>
              </w:rPr>
              <w:t>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restart"/>
            <w:shd w:val="clear" w:color="auto" w:fill="EBF1DE" w:themeFill="accent3" w:themeFillTint="32"/>
            <w:vAlign w:val="top"/>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定期（每年）：2022年9月2日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sym w:font="Wingdings 2" w:char="0052"/>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通过年度策划于2022年10月20-21日实施了环境管理体系内部审核，对环境管理体系的符合性和有效性进行了审核。内审发现的项不符合在本次审核前已完成整改。在公司内完成的这些审核是可信的。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最高管理者已按策划的时间间隔，在2022年10月31日对组织的环境管理体系进行了评审，以确保其持续的适宜性、充分性和有效性；管理评审输入、输出均按要求提供。并对提出的改进措施进行了落实。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restart"/>
            <w:shd w:val="clear" w:color="auto" w:fill="EBF1DE" w:themeFill="accent3" w:themeFillTint="32"/>
            <w:vAlign w:val="top"/>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w:t>
            </w:r>
            <w:r>
              <w:rPr>
                <w:rFonts w:hint="eastAsia"/>
              </w:rPr>
              <w:t>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以身作则□建立机制□法规宣传</w:t>
            </w:r>
            <w:r>
              <w:rPr>
                <w:rFonts w:hint="eastAsia"/>
              </w:rPr>
              <w:sym w:font="Wingdings 2" w:char="0052"/>
            </w:r>
            <w:r>
              <w:rPr>
                <w:rFonts w:hint="eastAsia"/>
              </w:rPr>
              <w:t>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u w:val="single"/>
              </w:rPr>
            </w:pPr>
            <w:r>
              <w:rPr>
                <w:rFonts w:hint="eastAsia"/>
                <w:u w:val="single"/>
              </w:rPr>
              <w:t xml:space="preserve">用户至上、产品求精、持续改进、质量兴企； </w:t>
            </w:r>
          </w:p>
          <w:p>
            <w:pPr>
              <w:rPr>
                <w:rFonts w:hint="eastAsia"/>
                <w:u w:val="single"/>
              </w:rPr>
            </w:pPr>
            <w:r>
              <w:rPr>
                <w:rFonts w:hint="eastAsia"/>
                <w:u w:val="single"/>
              </w:rPr>
              <w:t>遵纪守法、预防危害、防治污染、持续发展。</w:t>
            </w:r>
          </w:p>
          <w:p>
            <w:pPr>
              <w:pStyle w:val="2"/>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生产部</w:t>
            </w:r>
          </w:p>
          <w:p>
            <w:r>
              <w:rPr>
                <w:rFonts w:hint="eastAsia"/>
              </w:rPr>
              <w:t>安全的主管部门是——</w:t>
            </w:r>
            <w:r>
              <w:rPr>
                <w:rFonts w:hint="eastAsia"/>
                <w:lang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eastAsia="zh-CN"/>
              </w:rPr>
            </w:pPr>
            <w:r>
              <w:rPr>
                <w:rFonts w:hint="eastAsia"/>
              </w:rPr>
              <w:t>员工代表是——</w:t>
            </w:r>
            <w:r>
              <w:rPr>
                <w:rFonts w:hint="eastAsia"/>
                <w:lang w:eastAsia="zh-CN"/>
              </w:rPr>
              <w:t>段付杰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9"/>
              <w:gridCol w:w="157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9" w:type="dxa"/>
                </w:tcPr>
                <w:p>
                  <w:r>
                    <w:rPr>
                      <w:rFonts w:hint="eastAsia"/>
                    </w:rPr>
                    <w:t>主要的风险或机遇描述</w:t>
                  </w:r>
                </w:p>
              </w:tc>
              <w:tc>
                <w:tcPr>
                  <w:tcW w:w="1576"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9" w:type="dxa"/>
                  <w:vAlign w:val="top"/>
                </w:tcPr>
                <w:p>
                  <w:pPr>
                    <w:rPr>
                      <w:rFonts w:ascii="Times New Roman" w:hAnsi="Times New Roman" w:eastAsia="宋体" w:cs="Times New Roman"/>
                      <w:kern w:val="2"/>
                      <w:sz w:val="21"/>
                      <w:szCs w:val="24"/>
                      <w:lang w:val="en-US" w:eastAsia="zh-CN" w:bidi="ar-SA"/>
                    </w:rPr>
                  </w:pPr>
                  <w:r>
                    <w:rPr>
                      <w:rFonts w:hint="eastAsia"/>
                    </w:rPr>
                    <w:t>机械伤害、粉尘、焊尘、烟尘、噪音伤害、潜在触电、火灾事故</w:t>
                  </w:r>
                </w:p>
              </w:tc>
              <w:tc>
                <w:tcPr>
                  <w:tcW w:w="1576"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建立管理体系</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9" w:type="dxa"/>
                </w:tcPr>
                <w:p/>
              </w:tc>
              <w:tc>
                <w:tcPr>
                  <w:tcW w:w="1576"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rPr>
              <w:sym w:font="Wingdings 2" w:char="0052"/>
            </w:r>
            <w:r>
              <w:rPr>
                <w:rFonts w:hint="eastAsia"/>
              </w:rPr>
              <w:t>职业病体检报告书日期：</w:t>
            </w:r>
            <w:r>
              <w:rPr>
                <w:rFonts w:hint="eastAsia"/>
                <w:lang w:val="en-US" w:eastAsia="zh-CN"/>
              </w:rPr>
              <w:t>2022.3.1</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0"/>
              <w:gridCol w:w="200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shd w:val="clear" w:color="auto" w:fill="auto"/>
                </w:tcPr>
                <w:p>
                  <w:pPr>
                    <w:rPr>
                      <w:rFonts w:ascii="宋体" w:hAnsi="宋体"/>
                    </w:rPr>
                  </w:pPr>
                  <w:r>
                    <w:rPr>
                      <w:rFonts w:hint="eastAsia"/>
                    </w:rPr>
                    <w:t>职业健康安全</w:t>
                  </w:r>
                  <w:r>
                    <w:rPr>
                      <w:rFonts w:hint="eastAsia" w:ascii="宋体" w:hAnsi="宋体"/>
                    </w:rPr>
                    <w:t>目标</w:t>
                  </w:r>
                </w:p>
              </w:tc>
              <w:tc>
                <w:tcPr>
                  <w:tcW w:w="2007"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shd w:val="clear" w:color="auto" w:fill="auto"/>
                </w:tcPr>
                <w:p>
                  <w:r>
                    <w:rPr>
                      <w:rFonts w:hint="eastAsia"/>
                    </w:rPr>
                    <w:t>火灾事故为0</w:t>
                  </w:r>
                </w:p>
              </w:tc>
              <w:tc>
                <w:tcPr>
                  <w:tcW w:w="2007"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lang w:val="en-US" w:eastAsia="zh-CN"/>
                    </w:rPr>
                    <w:t>运行控制、应急管理</w:t>
                  </w:r>
                </w:p>
              </w:tc>
              <w:tc>
                <w:tcPr>
                  <w:tcW w:w="1350"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US" w:eastAsia="zh-CN"/>
                    </w:rPr>
                    <w:t>生产部</w:t>
                  </w:r>
                </w:p>
              </w:tc>
              <w:tc>
                <w:tcPr>
                  <w:tcW w:w="1774" w:type="dxa"/>
                  <w:shd w:val="clear" w:color="auto" w:fill="auto"/>
                  <w:vAlign w:val="center"/>
                </w:tcPr>
                <w:p>
                  <w:pPr>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shd w:val="clear" w:color="auto" w:fill="auto"/>
                </w:tcPr>
                <w:p>
                  <w:r>
                    <w:rPr>
                      <w:rFonts w:hint="eastAsia"/>
                    </w:rPr>
                    <w:t>因公责任重大伤亡率为0；</w:t>
                  </w:r>
                </w:p>
              </w:tc>
              <w:tc>
                <w:tcPr>
                  <w:tcW w:w="2007" w:type="dxa"/>
                  <w:shd w:val="clear" w:color="auto" w:fill="auto"/>
                  <w:vAlign w:val="center"/>
                </w:tcPr>
                <w:p>
                  <w:pPr>
                    <w:rPr>
                      <w:rFonts w:hint="eastAsia" w:ascii="宋体" w:hAnsi="宋体" w:eastAsia="宋体" w:cs="Times New Roman"/>
                      <w:kern w:val="2"/>
                      <w:sz w:val="21"/>
                      <w:szCs w:val="24"/>
                      <w:lang w:val="en-US" w:eastAsia="zh-CN" w:bidi="ar-SA"/>
                    </w:rPr>
                  </w:pPr>
                  <w:r>
                    <w:rPr>
                      <w:rFonts w:hint="eastAsia" w:ascii="宋体" w:hAnsi="宋体"/>
                      <w:lang w:val="en-US" w:eastAsia="zh-CN"/>
                    </w:rPr>
                    <w:t>运行控制</w:t>
                  </w:r>
                </w:p>
              </w:tc>
              <w:tc>
                <w:tcPr>
                  <w:tcW w:w="1350" w:type="dxa"/>
                  <w:shd w:val="clear" w:color="auto" w:fill="auto"/>
                  <w:vAlign w:val="center"/>
                </w:tcPr>
                <w:p>
                  <w:pPr>
                    <w:rPr>
                      <w:rFonts w:ascii="宋体" w:hAnsi="宋体" w:eastAsia="宋体" w:cs="Times New Roman"/>
                      <w:kern w:val="2"/>
                      <w:sz w:val="21"/>
                      <w:szCs w:val="24"/>
                      <w:lang w:val="en-US" w:eastAsia="zh-CN" w:bidi="ar-SA"/>
                    </w:rPr>
                  </w:pPr>
                  <w:r>
                    <w:rPr>
                      <w:rFonts w:hint="eastAsia"/>
                      <w:lang w:val="en-US" w:eastAsia="zh-CN"/>
                    </w:rPr>
                    <w:t>生产部</w:t>
                  </w:r>
                </w:p>
              </w:tc>
              <w:tc>
                <w:tcPr>
                  <w:tcW w:w="1774" w:type="dxa"/>
                  <w:shd w:val="clear" w:color="auto" w:fill="auto"/>
                  <w:vAlign w:val="center"/>
                </w:tcPr>
                <w:p>
                  <w:pPr>
                    <w:jc w:val="center"/>
                    <w:rPr>
                      <w:rFonts w:ascii="宋体" w:hAnsi="宋体"/>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shd w:val="clear" w:color="auto" w:fill="auto"/>
                </w:tcPr>
                <w:p>
                  <w:r>
                    <w:rPr>
                      <w:rFonts w:hint="eastAsia"/>
                    </w:rPr>
                    <w:t>职业病发病为0</w:t>
                  </w:r>
                </w:p>
              </w:tc>
              <w:tc>
                <w:tcPr>
                  <w:tcW w:w="2007" w:type="dxa"/>
                  <w:shd w:val="clear" w:color="auto" w:fill="auto"/>
                  <w:vAlign w:val="center"/>
                </w:tcPr>
                <w:p>
                  <w:pPr>
                    <w:rPr>
                      <w:rFonts w:hint="eastAsia" w:ascii="宋体" w:hAnsi="宋体" w:eastAsia="宋体" w:cs="Times New Roman"/>
                      <w:kern w:val="2"/>
                      <w:sz w:val="21"/>
                      <w:szCs w:val="24"/>
                      <w:lang w:val="en-US" w:eastAsia="zh-CN" w:bidi="ar-SA"/>
                    </w:rPr>
                  </w:pPr>
                  <w:r>
                    <w:rPr>
                      <w:rFonts w:hint="eastAsia" w:ascii="宋体" w:hAnsi="宋体"/>
                      <w:lang w:val="en-US" w:eastAsia="zh-CN"/>
                    </w:rPr>
                    <w:t>运行控制</w:t>
                  </w:r>
                </w:p>
              </w:tc>
              <w:tc>
                <w:tcPr>
                  <w:tcW w:w="1350" w:type="dxa"/>
                  <w:shd w:val="clear" w:color="auto" w:fill="auto"/>
                  <w:vAlign w:val="center"/>
                </w:tcPr>
                <w:p>
                  <w:pPr>
                    <w:rPr>
                      <w:rFonts w:ascii="宋体" w:hAnsi="宋体" w:eastAsia="宋体" w:cs="Times New Roman"/>
                      <w:kern w:val="2"/>
                      <w:sz w:val="21"/>
                      <w:szCs w:val="24"/>
                      <w:lang w:val="en-US" w:eastAsia="zh-CN" w:bidi="ar-SA"/>
                    </w:rPr>
                  </w:pPr>
                  <w:r>
                    <w:rPr>
                      <w:rFonts w:hint="eastAsia"/>
                      <w:lang w:val="en-US" w:eastAsia="zh-CN"/>
                    </w:rPr>
                    <w:t>生产部</w:t>
                  </w:r>
                </w:p>
              </w:tc>
              <w:tc>
                <w:tcPr>
                  <w:tcW w:w="1774" w:type="dxa"/>
                  <w:shd w:val="clear" w:color="auto" w:fill="auto"/>
                  <w:vAlign w:val="center"/>
                </w:tcPr>
                <w:p>
                  <w:pPr>
                    <w:jc w:val="center"/>
                    <w:rPr>
                      <w:rFonts w:ascii="宋体" w:hAnsi="宋体"/>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shd w:val="clear" w:color="auto" w:fill="auto"/>
                </w:tcPr>
                <w:p>
                  <w:pPr>
                    <w:rPr>
                      <w:rFonts w:hint="eastAsia"/>
                    </w:rPr>
                  </w:pPr>
                </w:p>
              </w:tc>
              <w:tc>
                <w:tcPr>
                  <w:tcW w:w="2007"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200</w:t>
            </w:r>
            <w:r>
              <w:rPr>
                <w:rFonts w:hint="eastAsia"/>
              </w:rPr>
              <w:t>平方米；生产车间个；库房个；实验室个；</w:t>
            </w:r>
          </w:p>
          <w:p>
            <w:pPr>
              <w:rPr>
                <w:u w:val="single"/>
              </w:rPr>
            </w:pPr>
            <w:r>
              <w:rPr>
                <w:rFonts w:hint="eastAsia"/>
              </w:rPr>
              <w:t>主要生产设备有：</w:t>
            </w:r>
            <w:r>
              <w:rPr>
                <w:rFonts w:hint="eastAsia"/>
                <w:u w:val="single"/>
              </w:rPr>
              <w:t>磨光机、切割机、电焊机</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粉尘</w:t>
                  </w:r>
                </w:p>
              </w:tc>
              <w:tc>
                <w:tcPr>
                  <w:tcW w:w="4725" w:type="dxa"/>
                </w:tcPr>
                <w:p>
                  <w:pPr>
                    <w:jc w:val="left"/>
                  </w:pP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eastAsia="zh-CN"/>
                    </w:rPr>
                  </w:pPr>
                  <w:r>
                    <w:rPr>
                      <w:rFonts w:hint="eastAsia"/>
                      <w:lang w:eastAsia="zh-CN"/>
                    </w:rPr>
                    <w:t>运行控制、应急管理</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r>
              <w:rPr>
                <w:rFonts w:hint="eastAsia"/>
              </w:rPr>
              <w:t>于</w:t>
            </w:r>
            <w:r>
              <w:rPr>
                <w:rFonts w:hint="eastAsia"/>
                <w:color w:val="auto"/>
                <w:highlight w:val="none"/>
                <w:lang w:val="en-US" w:eastAsia="zh-CN"/>
              </w:rPr>
              <w:t>2022</w:t>
            </w:r>
            <w:r>
              <w:rPr>
                <w:rFonts w:hint="eastAsia"/>
              </w:rPr>
              <w:t>年</w:t>
            </w:r>
            <w:r>
              <w:rPr>
                <w:rFonts w:hint="eastAsia"/>
                <w:lang w:val="en-US" w:eastAsia="zh-CN"/>
              </w:rPr>
              <w:t>7</w:t>
            </w:r>
            <w:r>
              <w:rPr>
                <w:rFonts w:hint="eastAsia"/>
              </w:rPr>
              <w:t>月</w:t>
            </w:r>
            <w:r>
              <w:rPr>
                <w:rFonts w:hint="eastAsia"/>
                <w:lang w:val="en-US" w:eastAsia="zh-CN"/>
              </w:rPr>
              <w:t>10</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定期（每年）：2022年9月2日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sym w:font="Wingdings 2" w:char="0052"/>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10月20-21日实施了职业健康安全管理体系内部审核，对职业健康安全管理体系的符合性和有效性进行了审核。内审发现的项不符合在本次审核前已完成整改。在公司内完成的这些审核是可信的。</w:t>
            </w:r>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最高管理者已按策划的时间间隔，在2022年10月31日对组织的职业健康安全管理体系进行了评审，以确保其持续的适宜性、充分性和有效性；管理评审输入、输出均按要求提供。并对提出的改进措施进行了落实。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8"/>
        <w:tblW w:w="1009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E5NTRmZWE1ODkyMzI3NzUzMjUzZWZjMTFlMDk4OTYifQ=="/>
  </w:docVars>
  <w:rsids>
    <w:rsidRoot w:val="00000000"/>
    <w:rsid w:val="01945C65"/>
    <w:rsid w:val="03214F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19469</Words>
  <Characters>20443</Characters>
  <Lines>150</Lines>
  <Paragraphs>42</Paragraphs>
  <TotalTime>2</TotalTime>
  <ScaleCrop>false</ScaleCrop>
  <LinksUpToDate>false</LinksUpToDate>
  <CharactersWithSpaces>20568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2022-12-28T01:29:40Z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