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1173"/>
        <w:gridCol w:w="10868"/>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81"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73"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68"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行政部</w:t>
            </w:r>
            <w:r>
              <w:rPr>
                <w:rFonts w:hint="eastAsia"/>
                <w:sz w:val="24"/>
                <w:szCs w:val="24"/>
                <w:lang w:val="en-US" w:eastAsia="zh-CN"/>
              </w:rPr>
              <w:t xml:space="preserve">                 </w:t>
            </w:r>
            <w:r>
              <w:rPr>
                <w:rFonts w:hint="eastAsia"/>
                <w:sz w:val="24"/>
                <w:szCs w:val="24"/>
              </w:rPr>
              <w:t>主管领导：</w:t>
            </w:r>
            <w:bookmarkStart w:id="0" w:name="管理者代表"/>
            <w:r>
              <w:rPr>
                <w:rFonts w:hint="eastAsia"/>
                <w:sz w:val="24"/>
                <w:szCs w:val="24"/>
              </w:rPr>
              <w:t>赵依博</w:t>
            </w:r>
            <w:bookmarkEnd w:id="0"/>
            <w:r>
              <w:rPr>
                <w:rFonts w:hint="eastAsia"/>
                <w:sz w:val="24"/>
                <w:szCs w:val="24"/>
                <w:lang w:val="en-US" w:eastAsia="zh-CN"/>
              </w:rPr>
              <w:t xml:space="preserve">         </w:t>
            </w:r>
            <w:r>
              <w:rPr>
                <w:rFonts w:hint="eastAsia"/>
                <w:sz w:val="24"/>
                <w:szCs w:val="24"/>
              </w:rPr>
              <w:t>陪同人员：</w:t>
            </w:r>
            <w:r>
              <w:rPr>
                <w:rFonts w:hint="eastAsia"/>
                <w:sz w:val="24"/>
                <w:szCs w:val="24"/>
                <w:lang w:eastAsia="zh-CN"/>
              </w:rPr>
              <w:t>赵红伟</w:t>
            </w:r>
          </w:p>
        </w:tc>
        <w:tc>
          <w:tcPr>
            <w:tcW w:w="88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81" w:type="dxa"/>
            <w:vMerge w:val="continue"/>
            <w:vAlign w:val="center"/>
          </w:tcPr>
          <w:p/>
        </w:tc>
        <w:tc>
          <w:tcPr>
            <w:tcW w:w="1173" w:type="dxa"/>
            <w:vMerge w:val="continue"/>
            <w:vAlign w:val="center"/>
          </w:tcPr>
          <w:p/>
        </w:tc>
        <w:tc>
          <w:tcPr>
            <w:tcW w:w="10868" w:type="dxa"/>
            <w:vAlign w:val="center"/>
          </w:tcPr>
          <w:p>
            <w:pPr>
              <w:spacing w:before="120"/>
            </w:pPr>
            <w:r>
              <w:rPr>
                <w:rFonts w:hint="eastAsia"/>
                <w:sz w:val="24"/>
                <w:szCs w:val="24"/>
              </w:rPr>
              <w:t>审核员：</w:t>
            </w:r>
            <w:bookmarkStart w:id="1" w:name="审核组成员不含组长"/>
            <w:r>
              <w:rPr>
                <w:rFonts w:hint="eastAsia"/>
                <w:sz w:val="24"/>
                <w:szCs w:val="24"/>
                <w:lang w:eastAsia="zh-CN"/>
              </w:rPr>
              <w:t>褚敏杰</w:t>
            </w:r>
            <w:r>
              <w:rPr>
                <w:rFonts w:hint="eastAsia"/>
                <w:sz w:val="24"/>
                <w:szCs w:val="24"/>
                <w:lang w:val="en-US" w:eastAsia="zh-CN"/>
              </w:rPr>
              <w:t xml:space="preserve">  </w:t>
            </w:r>
            <w:r>
              <w:rPr>
                <w:rFonts w:hint="eastAsia"/>
                <w:sz w:val="24"/>
                <w:szCs w:val="24"/>
              </w:rPr>
              <w:t>吴文龙</w:t>
            </w:r>
            <w:bookmarkEnd w:id="1"/>
            <w:r>
              <w:rPr>
                <w:rFonts w:hint="eastAsia"/>
                <w:sz w:val="24"/>
                <w:szCs w:val="24"/>
                <w:lang w:val="en-US" w:eastAsia="zh-CN"/>
              </w:rPr>
              <w:t xml:space="preserve">          </w:t>
            </w:r>
            <w:r>
              <w:rPr>
                <w:rFonts w:hint="eastAsia" w:ascii="Times New Roman" w:hAnsi="Times New Roman" w:eastAsia="宋体" w:cs="Times New Roman"/>
                <w:sz w:val="24"/>
                <w:szCs w:val="24"/>
                <w:lang w:val="en-US" w:eastAsia="zh-CN"/>
              </w:rPr>
              <w:t xml:space="preserve">   审核时间：</w:t>
            </w:r>
            <w:bookmarkStart w:id="2" w:name="审核日期"/>
            <w:r>
              <w:rPr>
                <w:rFonts w:hint="eastAsia" w:ascii="Times New Roman" w:hAnsi="Times New Roman" w:eastAsia="宋体" w:cs="Times New Roman"/>
                <w:sz w:val="24"/>
                <w:szCs w:val="24"/>
                <w:lang w:val="en-US" w:eastAsia="zh-CN"/>
              </w:rPr>
              <w:t>2022年12月26日</w:t>
            </w:r>
            <w:bookmarkEnd w:id="2"/>
          </w:p>
        </w:tc>
        <w:tc>
          <w:tcPr>
            <w:tcW w:w="8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81" w:type="dxa"/>
            <w:vMerge w:val="continue"/>
            <w:vAlign w:val="center"/>
          </w:tcPr>
          <w:p/>
        </w:tc>
        <w:tc>
          <w:tcPr>
            <w:tcW w:w="1173" w:type="dxa"/>
            <w:vMerge w:val="continue"/>
            <w:vAlign w:val="center"/>
          </w:tcPr>
          <w:p/>
        </w:tc>
        <w:tc>
          <w:tcPr>
            <w:tcW w:w="10868" w:type="dxa"/>
            <w:vAlign w:val="center"/>
          </w:tcPr>
          <w:p>
            <w:pPr>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ascii="宋体" w:hAnsi="宋体" w:cs="Arial"/>
                <w:sz w:val="21"/>
                <w:szCs w:val="21"/>
              </w:rPr>
            </w:pPr>
            <w:r>
              <w:rPr>
                <w:rFonts w:ascii="宋体" w:hAnsi="宋体" w:cs="Arial"/>
                <w:sz w:val="21"/>
                <w:szCs w:val="21"/>
              </w:rPr>
              <w:t>Q:5.3</w:t>
            </w:r>
            <w:r>
              <w:rPr>
                <w:rFonts w:hint="eastAsia" w:ascii="宋体" w:hAnsi="宋体" w:cs="Arial"/>
                <w:sz w:val="21"/>
                <w:szCs w:val="21"/>
              </w:rPr>
              <w:t>组织的岗位、职责和权限、</w:t>
            </w:r>
            <w:r>
              <w:rPr>
                <w:rFonts w:ascii="宋体" w:hAnsi="宋体" w:cs="Arial"/>
                <w:sz w:val="21"/>
                <w:szCs w:val="21"/>
              </w:rPr>
              <w:t>6.2</w:t>
            </w:r>
            <w:r>
              <w:rPr>
                <w:rFonts w:hint="eastAsia" w:ascii="宋体" w:hAnsi="宋体" w:cs="Arial"/>
                <w:sz w:val="21"/>
                <w:szCs w:val="21"/>
              </w:rPr>
              <w:t>质量目标、</w:t>
            </w:r>
            <w:r>
              <w:rPr>
                <w:rFonts w:hint="eastAsia" w:ascii="宋体" w:hAnsi="宋体" w:cs="Arial"/>
                <w:sz w:val="21"/>
                <w:szCs w:val="21"/>
                <w:lang w:val="en-US" w:eastAsia="zh-CN"/>
              </w:rPr>
              <w:t>7.1.2人员、7.1.6组织知识、</w:t>
            </w:r>
            <w:r>
              <w:rPr>
                <w:rFonts w:hint="eastAsia" w:ascii="宋体" w:hAnsi="宋体" w:cs="Arial"/>
                <w:sz w:val="21"/>
                <w:szCs w:val="21"/>
              </w:rPr>
              <w:t>7.2能力、7.3意识、</w:t>
            </w:r>
            <w:r>
              <w:rPr>
                <w:rFonts w:ascii="宋体" w:hAnsi="宋体" w:cs="Arial"/>
                <w:spacing w:val="-6"/>
                <w:sz w:val="21"/>
                <w:szCs w:val="21"/>
              </w:rPr>
              <w:t>9.1</w:t>
            </w:r>
            <w:r>
              <w:rPr>
                <w:rFonts w:hint="eastAsia" w:ascii="宋体" w:hAnsi="宋体" w:cs="Arial"/>
                <w:spacing w:val="-6"/>
                <w:sz w:val="21"/>
                <w:szCs w:val="21"/>
              </w:rPr>
              <w:t>监视、测量、分析和评价</w:t>
            </w:r>
            <w:r>
              <w:rPr>
                <w:rFonts w:hint="eastAsia" w:ascii="宋体" w:hAnsi="宋体" w:cs="Arial"/>
                <w:sz w:val="21"/>
                <w:szCs w:val="21"/>
              </w:rPr>
              <w:t>、</w:t>
            </w:r>
            <w:r>
              <w:rPr>
                <w:rFonts w:ascii="宋体" w:hAnsi="宋体" w:cs="Arial"/>
                <w:sz w:val="21"/>
                <w:szCs w:val="21"/>
              </w:rPr>
              <w:t>8.2</w:t>
            </w:r>
            <w:r>
              <w:rPr>
                <w:rFonts w:hint="eastAsia" w:ascii="宋体" w:hAnsi="宋体" w:cs="Arial"/>
                <w:sz w:val="21"/>
                <w:szCs w:val="21"/>
              </w:rPr>
              <w:t>产品和服务的要求</w:t>
            </w:r>
            <w:r>
              <w:rPr>
                <w:rFonts w:hint="eastAsia" w:ascii="宋体" w:hAnsi="宋体" w:cs="Arial"/>
                <w:sz w:val="21"/>
                <w:szCs w:val="21"/>
                <w:lang w:eastAsia="zh-CN"/>
              </w:rPr>
              <w:t>、</w:t>
            </w:r>
            <w:r>
              <w:rPr>
                <w:rFonts w:ascii="宋体" w:hAnsi="宋体" w:cs="Arial"/>
                <w:sz w:val="21"/>
                <w:szCs w:val="21"/>
              </w:rPr>
              <w:t>8.4</w:t>
            </w:r>
            <w:r>
              <w:rPr>
                <w:rFonts w:hint="eastAsia" w:ascii="宋体" w:hAnsi="宋体" w:cs="Arial"/>
                <w:sz w:val="21"/>
                <w:szCs w:val="21"/>
              </w:rPr>
              <w:t>外部提供过程、产品和服务的控制、</w:t>
            </w:r>
            <w:r>
              <w:rPr>
                <w:rFonts w:ascii="宋体" w:hAnsi="宋体" w:cs="Arial"/>
                <w:sz w:val="21"/>
                <w:szCs w:val="21"/>
              </w:rPr>
              <w:t>9.2</w:t>
            </w:r>
            <w:r>
              <w:rPr>
                <w:rFonts w:hint="eastAsia" w:ascii="宋体" w:hAnsi="宋体" w:cs="Arial"/>
                <w:sz w:val="21"/>
                <w:szCs w:val="21"/>
              </w:rPr>
              <w:t>内部审核、</w:t>
            </w:r>
            <w:r>
              <w:rPr>
                <w:rFonts w:ascii="宋体" w:hAnsi="宋体" w:cs="Arial"/>
                <w:sz w:val="21"/>
                <w:szCs w:val="21"/>
              </w:rPr>
              <w:t>10.2</w:t>
            </w:r>
            <w:r>
              <w:rPr>
                <w:rFonts w:hint="eastAsia" w:ascii="宋体" w:hAnsi="宋体" w:cs="Arial"/>
                <w:sz w:val="21"/>
                <w:szCs w:val="21"/>
              </w:rPr>
              <w:t>不合格和纠正措施</w:t>
            </w:r>
          </w:p>
          <w:p>
            <w:pPr>
              <w:rPr>
                <w:rFonts w:hint="eastAsia"/>
                <w:sz w:val="24"/>
                <w:szCs w:val="24"/>
              </w:rPr>
            </w:pPr>
            <w:r>
              <w:rPr>
                <w:rFonts w:ascii="宋体" w:hAnsi="宋体" w:cs="Arial"/>
                <w:sz w:val="21"/>
                <w:szCs w:val="21"/>
              </w:rPr>
              <w:t>E</w:t>
            </w:r>
            <w:r>
              <w:rPr>
                <w:rFonts w:hint="eastAsia" w:ascii="宋体" w:hAnsi="宋体" w:cs="Arial"/>
                <w:sz w:val="21"/>
                <w:szCs w:val="21"/>
                <w:lang w:val="en-US" w:eastAsia="zh-CN"/>
              </w:rPr>
              <w:t>/O</w:t>
            </w:r>
            <w:r>
              <w:rPr>
                <w:rFonts w:ascii="宋体" w:hAnsi="宋体" w:cs="Arial"/>
                <w:sz w:val="21"/>
                <w:szCs w:val="21"/>
              </w:rPr>
              <w:t>:5.3</w:t>
            </w:r>
            <w:r>
              <w:rPr>
                <w:rFonts w:hint="eastAsia" w:ascii="宋体" w:hAnsi="宋体" w:cs="Arial"/>
                <w:sz w:val="21"/>
                <w:szCs w:val="21"/>
              </w:rPr>
              <w:t>组织的岗位、职责和权限、</w:t>
            </w:r>
            <w:r>
              <w:rPr>
                <w:rFonts w:ascii="宋体" w:hAnsi="宋体" w:cs="Arial"/>
                <w:sz w:val="21"/>
                <w:szCs w:val="21"/>
              </w:rPr>
              <w:t>6.1.2</w:t>
            </w:r>
            <w:r>
              <w:rPr>
                <w:rFonts w:hint="eastAsia" w:ascii="宋体" w:hAnsi="宋体" w:cs="Arial"/>
                <w:sz w:val="21"/>
                <w:szCs w:val="21"/>
              </w:rPr>
              <w:t>环境因素</w:t>
            </w:r>
            <w:r>
              <w:rPr>
                <w:rFonts w:hint="eastAsia" w:ascii="宋体" w:hAnsi="宋体" w:cs="Arial"/>
                <w:sz w:val="21"/>
                <w:szCs w:val="21"/>
                <w:lang w:val="en-US" w:eastAsia="zh-CN"/>
              </w:rPr>
              <w:t>/</w:t>
            </w:r>
            <w:r>
              <w:rPr>
                <w:rFonts w:hint="eastAsia" w:ascii="宋体" w:hAnsi="宋体" w:cs="Arial"/>
                <w:sz w:val="21"/>
                <w:szCs w:val="21"/>
              </w:rPr>
              <w:t>危险源的辨识与评价、6.1.4措施的策划、</w:t>
            </w:r>
            <w:r>
              <w:rPr>
                <w:rFonts w:ascii="宋体" w:hAnsi="宋体" w:cs="Arial"/>
                <w:sz w:val="21"/>
                <w:szCs w:val="21"/>
              </w:rPr>
              <w:t>6.2</w:t>
            </w:r>
            <w:r>
              <w:rPr>
                <w:rFonts w:hint="eastAsia" w:ascii="宋体" w:hAnsi="宋体" w:cs="Arial"/>
                <w:sz w:val="21"/>
                <w:szCs w:val="21"/>
              </w:rPr>
              <w:t>目标</w:t>
            </w:r>
            <w:r>
              <w:rPr>
                <w:rFonts w:hint="eastAsia" w:ascii="宋体" w:hAnsi="宋体" w:cs="Arial"/>
                <w:sz w:val="21"/>
                <w:szCs w:val="21"/>
                <w:lang w:eastAsia="zh-CN"/>
              </w:rPr>
              <w:t>及实现</w:t>
            </w:r>
            <w:r>
              <w:rPr>
                <w:rFonts w:hint="eastAsia" w:ascii="宋体" w:hAnsi="宋体" w:cs="Arial"/>
                <w:sz w:val="21"/>
                <w:szCs w:val="21"/>
              </w:rPr>
              <w:t>的策划、6.1.3合规义务、9.1.2合规性评价、</w:t>
            </w:r>
            <w:r>
              <w:rPr>
                <w:rFonts w:hint="eastAsia" w:ascii="宋体" w:hAnsi="宋体" w:cs="Arial"/>
                <w:sz w:val="21"/>
                <w:szCs w:val="21"/>
                <w:lang w:val="en-US" w:eastAsia="zh-CN"/>
              </w:rPr>
              <w:t>7.1资源、</w:t>
            </w:r>
            <w:r>
              <w:rPr>
                <w:rFonts w:hint="eastAsia" w:ascii="宋体" w:hAnsi="宋体" w:cs="Arial"/>
                <w:sz w:val="21"/>
                <w:szCs w:val="21"/>
              </w:rPr>
              <w:t>7.2能力、7.3意识、</w:t>
            </w:r>
            <w:r>
              <w:rPr>
                <w:rFonts w:ascii="宋体" w:hAnsi="宋体" w:cs="Arial"/>
                <w:sz w:val="21"/>
                <w:szCs w:val="21"/>
              </w:rPr>
              <w:t>8.1</w:t>
            </w:r>
            <w:r>
              <w:rPr>
                <w:rFonts w:hint="eastAsia" w:ascii="宋体" w:hAnsi="宋体" w:cs="Arial"/>
                <w:sz w:val="21"/>
                <w:szCs w:val="21"/>
              </w:rPr>
              <w:t>运行策划和控制、</w:t>
            </w:r>
            <w:r>
              <w:rPr>
                <w:rFonts w:ascii="宋体" w:hAnsi="宋体" w:cs="Arial"/>
                <w:sz w:val="21"/>
                <w:szCs w:val="21"/>
              </w:rPr>
              <w:t>8.2</w:t>
            </w:r>
            <w:r>
              <w:rPr>
                <w:rFonts w:hint="eastAsia" w:ascii="宋体" w:hAnsi="宋体" w:cs="Arial"/>
                <w:sz w:val="21"/>
                <w:szCs w:val="21"/>
              </w:rPr>
              <w:t>应急准备和响应</w:t>
            </w:r>
            <w:r>
              <w:rPr>
                <w:rFonts w:hint="eastAsia" w:ascii="宋体" w:hAnsi="宋体" w:cs="Arial"/>
                <w:sz w:val="21"/>
                <w:szCs w:val="21"/>
                <w:lang w:eastAsia="zh-CN"/>
              </w:rPr>
              <w:t>、</w:t>
            </w:r>
            <w:r>
              <w:rPr>
                <w:rFonts w:hint="eastAsia" w:ascii="宋体" w:hAnsi="宋体" w:cs="Arial"/>
                <w:sz w:val="21"/>
                <w:szCs w:val="21"/>
              </w:rPr>
              <w:t>9.1监视、测量、分析和评价、</w:t>
            </w:r>
            <w:r>
              <w:rPr>
                <w:rFonts w:ascii="宋体" w:hAnsi="宋体" w:cs="Arial"/>
                <w:sz w:val="21"/>
                <w:szCs w:val="21"/>
              </w:rPr>
              <w:t>9.2</w:t>
            </w:r>
            <w:r>
              <w:rPr>
                <w:rFonts w:hint="eastAsia" w:ascii="宋体" w:hAnsi="宋体" w:cs="Arial"/>
                <w:sz w:val="21"/>
                <w:szCs w:val="21"/>
              </w:rPr>
              <w:t>内部审核、10.2不符合/事件和纠正措施</w:t>
            </w:r>
          </w:p>
        </w:tc>
        <w:tc>
          <w:tcPr>
            <w:tcW w:w="8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81" w:type="dxa"/>
            <w:vAlign w:val="top"/>
          </w:tcPr>
          <w:p>
            <w:pPr>
              <w:spacing w:line="360" w:lineRule="auto"/>
              <w:rPr>
                <w:rFonts w:ascii="Times New Roman" w:hAnsi="Times New Roman" w:eastAsia="宋体" w:cs="Times New Roman"/>
                <w:color w:val="auto"/>
                <w:kern w:val="2"/>
                <w:sz w:val="21"/>
                <w:lang w:val="en-US" w:eastAsia="zh-CN" w:bidi="ar-SA"/>
              </w:rPr>
            </w:pPr>
            <w:r>
              <w:rPr>
                <w:rFonts w:hint="eastAsia"/>
                <w:color w:val="auto"/>
              </w:rPr>
              <w:t>岗位、职责和权限</w:t>
            </w:r>
          </w:p>
        </w:tc>
        <w:tc>
          <w:tcPr>
            <w:tcW w:w="1173" w:type="dxa"/>
            <w:vAlign w:val="top"/>
          </w:tcPr>
          <w:p>
            <w:pPr>
              <w:spacing w:line="360" w:lineRule="auto"/>
              <w:jc w:val="center"/>
              <w:rPr>
                <w:rFonts w:hint="default"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lang w:val="en-US" w:eastAsia="zh-CN"/>
              </w:rPr>
              <w:t>QEO:5.3</w:t>
            </w: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行政部现有1人；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主要负责行政管理和人力资源管理；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部门环境因素、危险源的识别、评价及控制；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协助做好管理评审工作、组织开展内部审核。</w:t>
            </w:r>
          </w:p>
        </w:tc>
        <w:tc>
          <w:tcPr>
            <w:tcW w:w="887"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81"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目标</w:t>
            </w:r>
          </w:p>
        </w:tc>
        <w:tc>
          <w:tcPr>
            <w:tcW w:w="1173" w:type="dxa"/>
            <w:vAlign w:val="top"/>
          </w:tcPr>
          <w:p>
            <w:pPr>
              <w:spacing w:line="360" w:lineRule="auto"/>
              <w:jc w:val="center"/>
              <w:rPr>
                <w:rFonts w:hint="default"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lang w:val="en-US" w:eastAsia="zh-CN"/>
              </w:rPr>
              <w:t>QEO:6.2</w:t>
            </w: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查见“质量\环境\职业健康安全目标分解考核表”，见行政部的目标：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文件使用有效率100%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 xml:space="preserve">培训合格率达100%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固废分类处置率100%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火灾事故为0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环保、安全资金提供及时100%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合同履约率达100%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顾客满意度96分以上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供方评定合格率100%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采购产品交货及时率≥90%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制定有目标完成计划，策划了采取措施、需要的资源、负责人、完成时间、如何评价结果等内容；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2022年1-9月考核，显示目标均已全部完成。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基本符合。</w:t>
            </w:r>
          </w:p>
        </w:tc>
        <w:tc>
          <w:tcPr>
            <w:tcW w:w="887"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81" w:type="dxa"/>
            <w:vAlign w:val="top"/>
          </w:tcPr>
          <w:p>
            <w:pPr>
              <w:spacing w:line="360" w:lineRule="auto"/>
              <w:rPr>
                <w:rFonts w:hint="eastAsia"/>
                <w:color w:val="auto"/>
                <w:lang w:val="en-US" w:eastAsia="zh-CN"/>
              </w:rPr>
            </w:pPr>
            <w:r>
              <w:rPr>
                <w:rFonts w:hint="eastAsia"/>
                <w:color w:val="auto"/>
                <w:lang w:val="en-US" w:eastAsia="zh-CN"/>
              </w:rPr>
              <w:t>环境因素的识别与评价</w:t>
            </w:r>
          </w:p>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措施的策划</w:t>
            </w:r>
          </w:p>
        </w:tc>
        <w:tc>
          <w:tcPr>
            <w:tcW w:w="1173" w:type="dxa"/>
            <w:vAlign w:val="top"/>
          </w:tcPr>
          <w:p>
            <w:pPr>
              <w:spacing w:line="360" w:lineRule="auto"/>
              <w:jc w:val="center"/>
              <w:rPr>
                <w:rFonts w:hint="eastAsia"/>
                <w:color w:val="auto"/>
                <w:lang w:val="en-US" w:eastAsia="zh-CN"/>
              </w:rPr>
            </w:pPr>
            <w:r>
              <w:rPr>
                <w:rFonts w:hint="eastAsia"/>
                <w:color w:val="auto"/>
                <w:lang w:val="en-US" w:eastAsia="zh-CN"/>
              </w:rPr>
              <w:t>E:6.1.2</w:t>
            </w:r>
          </w:p>
          <w:p>
            <w:pPr>
              <w:spacing w:line="360" w:lineRule="auto"/>
              <w:jc w:val="center"/>
              <w:rPr>
                <w:rFonts w:hint="eastAsia" w:ascii="Times New Roman" w:hAnsi="Times New Roman" w:eastAsia="宋体" w:cs="Times New Roman"/>
                <w:color w:val="auto"/>
                <w:kern w:val="2"/>
                <w:sz w:val="21"/>
                <w:lang w:val="en-US" w:eastAsia="zh-CN" w:bidi="ar-SA"/>
              </w:rPr>
            </w:pPr>
            <w:r>
              <w:rPr>
                <w:rFonts w:hint="eastAsia"/>
                <w:color w:val="auto"/>
                <w:lang w:val="en-US" w:eastAsia="zh-CN"/>
              </w:rPr>
              <w:t>6.1.4</w:t>
            </w: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提供了环境因素和危险源识别评价与控制程序，有效文件，无变化。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查“环境因素辨识和评价表”，对办公活动中的生活垃圾的处置不当污染环境、办公场所吸烟污染环境、复印机打印机废墨盒处置污染环境、火灾发生后污染大气、水土、原料采购、成品运输、噪声污染、固体废弃物处置、焊接过程等进行了辨识和评价；考虑了生命周期观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采取打分法评价，查到“重要环境因素清单”，经评价行政部重要环境因素为固废、潜在火灾。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基本符合。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见“职业安全健康管理体系危害辨识、风险评价、风险控制工作表”，分别按部门涉及的领域进行了识别，如办公活动电脑辐射、触电、吸烟导致火灾、上下班交通事故、高温，生产区域机械伤害、火灾、灼伤、噪声、物体打击等危险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查有《不可接受风险清单》，D-LEC法评价，通过评价，行政部不可接受风险项为潜在触电、火灾事故。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对于重大危险源的控制执行管理方案、配备消防器材、个体防护、日常检查、日常培训教育等运行控制措施等。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一旦发生按相关应急预案执行。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策划了控制措施，制订了“环境目标、指标/职业健康安全目标与管理方案及实施情况一览表”，明确了控制措施、时间要求、责任部门、责任和资源计划。</w:t>
            </w:r>
          </w:p>
        </w:tc>
        <w:tc>
          <w:tcPr>
            <w:tcW w:w="887" w:type="dxa"/>
            <w:vAlign w:val="top"/>
          </w:tcPr>
          <w:p>
            <w:pPr>
              <w:spacing w:line="360" w:lineRule="auto"/>
              <w:rPr>
                <w:rFonts w:hint="default" w:ascii="Times New Roman" w:hAnsi="Times New Roman" w:eastAsia="宋体" w:cs="Times New Roman"/>
                <w:color w:val="0000FF"/>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81" w:type="dxa"/>
            <w:vAlign w:val="top"/>
          </w:tcPr>
          <w:p>
            <w:pPr>
              <w:spacing w:line="360" w:lineRule="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合规义务及评价</w:t>
            </w:r>
          </w:p>
        </w:tc>
        <w:tc>
          <w:tcPr>
            <w:tcW w:w="1173" w:type="dxa"/>
            <w:vAlign w:val="top"/>
          </w:tcPr>
          <w:p>
            <w:pPr>
              <w:spacing w:line="360" w:lineRule="auto"/>
              <w:jc w:val="center"/>
              <w:rPr>
                <w:rFonts w:hint="eastAsia"/>
                <w:lang w:val="en-US" w:eastAsia="zh-CN"/>
              </w:rPr>
            </w:pPr>
            <w:r>
              <w:rPr>
                <w:rFonts w:hint="eastAsia"/>
                <w:lang w:val="en-US" w:eastAsia="zh-CN"/>
              </w:rPr>
              <w:t>E:6.1.3</w:t>
            </w:r>
          </w:p>
          <w:p>
            <w:pPr>
              <w:pStyle w:val="2"/>
              <w:jc w:val="center"/>
              <w:rPr>
                <w:rFonts w:hint="default" w:ascii="Times New Roman" w:hAnsi="Times New Roman" w:eastAsia="宋体" w:cs="Times New Roman"/>
                <w:bCs/>
                <w:spacing w:val="10"/>
                <w:kern w:val="2"/>
                <w:sz w:val="21"/>
                <w:lang w:val="en-US" w:eastAsia="zh-CN" w:bidi="ar-SA"/>
              </w:rPr>
            </w:pPr>
            <w:r>
              <w:rPr>
                <w:rFonts w:hint="eastAsia"/>
                <w:color w:val="auto"/>
                <w:lang w:val="en-US" w:eastAsia="zh-CN"/>
              </w:rPr>
              <w:t>9.1.2</w:t>
            </w: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查见“环境和职业健康安全法律法规控制程序”，有效文件；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查见环境法律法规清单、职业健康安全法律法规及其他要求清单，收集了中华人民共和国民法典、中华人民共和国循环经济促进法、中华人民共和国消防法、中华人民共和国消费者权益保护法、中华人民共和国招标投标法、中华人民共和国大气污染防治法、中华人民共和国固体废物污染环境防治法、中华人民共和国环境保护法、中华人民共和国环境噪声污染防治法、中华人民共和国安全生产法、中华人民共和国公司法、中华人民共和国道路交通安全法、大气污染物综合排放标准、消防安全标志设置要求法律法规、条例和标准等97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基本符合。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见“合规性评价报告”，2022年9月2日开展了年度的合规性评价工作，评价结论：没有违反国家法律、法规及相关标准，能严格遵守国家有关环境和职业健康安全管理方面的相关规定，密切关注法律法规的变化，并适时调整，严格按体系标准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保留有评价记录。</w:t>
            </w:r>
          </w:p>
        </w:tc>
        <w:tc>
          <w:tcPr>
            <w:tcW w:w="0" w:type="auto"/>
            <w:vAlign w:val="top"/>
          </w:tcPr>
          <w:p>
            <w:pPr>
              <w:spacing w:line="360" w:lineRule="auto"/>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81" w:type="dxa"/>
            <w:vAlign w:val="top"/>
          </w:tcPr>
          <w:p>
            <w:pPr>
              <w:spacing w:line="360" w:lineRule="auto"/>
              <w:rPr>
                <w:rFonts w:hint="default"/>
                <w:color w:val="auto"/>
                <w:lang w:val="en-US" w:eastAsia="zh-CN"/>
              </w:rPr>
            </w:pPr>
            <w:r>
              <w:rPr>
                <w:rFonts w:hint="eastAsia"/>
                <w:color w:val="auto"/>
                <w:lang w:val="en-US" w:eastAsia="zh-CN"/>
              </w:rPr>
              <w:t>人员/资源</w:t>
            </w:r>
          </w:p>
          <w:p>
            <w:pPr>
              <w:spacing w:line="360" w:lineRule="auto"/>
              <w:rPr>
                <w:rFonts w:hint="eastAsia"/>
                <w:color w:val="auto"/>
                <w:lang w:val="en-US" w:eastAsia="zh-CN"/>
              </w:rPr>
            </w:pPr>
            <w:r>
              <w:rPr>
                <w:rFonts w:hint="eastAsia"/>
                <w:color w:val="auto"/>
                <w:lang w:val="en-US" w:eastAsia="zh-CN"/>
              </w:rPr>
              <w:t>能力</w:t>
            </w:r>
          </w:p>
          <w:p>
            <w:pPr>
              <w:spacing w:line="360" w:lineRule="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意识</w:t>
            </w:r>
          </w:p>
        </w:tc>
        <w:tc>
          <w:tcPr>
            <w:tcW w:w="1173" w:type="dxa"/>
            <w:vAlign w:val="top"/>
          </w:tcPr>
          <w:p>
            <w:pPr>
              <w:spacing w:line="360" w:lineRule="auto"/>
              <w:jc w:val="cente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Q：7.1.2</w:t>
            </w:r>
          </w:p>
          <w:p>
            <w:pPr>
              <w:spacing w:line="360" w:lineRule="auto"/>
              <w:jc w:val="cente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7.2</w:t>
            </w:r>
          </w:p>
          <w:p>
            <w:pPr>
              <w:spacing w:line="360" w:lineRule="auto"/>
              <w:jc w:val="center"/>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7.3</w:t>
            </w:r>
          </w:p>
          <w:p>
            <w:pPr>
              <w:spacing w:line="360" w:lineRule="auto"/>
              <w:jc w:val="center"/>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EO:7.1</w:t>
            </w:r>
          </w:p>
          <w:p>
            <w:pPr>
              <w:spacing w:line="360" w:lineRule="auto"/>
              <w:jc w:val="cente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7.2</w:t>
            </w:r>
          </w:p>
          <w:p>
            <w:pPr>
              <w:spacing w:line="360" w:lineRule="auto"/>
              <w:jc w:val="center"/>
              <w:rPr>
                <w:rFonts w:hint="default"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lang w:val="en-US" w:eastAsia="zh-CN"/>
              </w:rPr>
              <w:t>7.3</w:t>
            </w: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建立有《人力资源控制程序》，无变化；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公司现有人员23人，管理人员3人、操作员工20人等能够有效实施管理体系，并运行和控制其过程。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查见“2022年度员工培训计划”，计划开展管理手册、程序文件、管理目标及方案、安全生产知识培训、岗位技能培训等14项次；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查</w:t>
            </w:r>
            <w:r>
              <w:rPr>
                <w:rFonts w:hint="eastAsia" w:ascii="宋体" w:hAnsi="宋体" w:cs="Arial"/>
                <w:spacing w:val="-6"/>
                <w:sz w:val="21"/>
                <w:szCs w:val="21"/>
                <w:lang w:val="en-US" w:eastAsia="zh-CN"/>
              </w:rPr>
              <w:t>“培训记录及培训效果评价表”，</w:t>
            </w:r>
            <w:r>
              <w:rPr>
                <w:rFonts w:hint="eastAsia"/>
                <w:color w:val="auto"/>
                <w:lang w:val="en-US" w:eastAsia="zh-CN"/>
              </w:rPr>
              <w:t>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lang w:val="en-US" w:eastAsia="zh-CN"/>
              </w:rPr>
            </w:pPr>
            <w:r>
              <w:rPr>
                <w:rFonts w:hint="eastAsia"/>
                <w:color w:val="auto"/>
                <w:lang w:val="en-US" w:eastAsia="zh-CN"/>
              </w:rPr>
              <w:t>管理手册、程序文件——2022.4.22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lang w:val="en-US" w:eastAsia="zh-CN"/>
              </w:rPr>
            </w:pPr>
            <w:r>
              <w:rPr>
                <w:rFonts w:hint="eastAsia"/>
                <w:color w:val="auto"/>
                <w:szCs w:val="22"/>
                <w:lang w:val="en-US" w:eastAsia="zh-CN"/>
              </w:rPr>
              <w:t>环境、安全法律法规的培训——2022.6.12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lang w:val="en-US" w:eastAsia="zh-CN"/>
              </w:rPr>
            </w:pPr>
            <w:r>
              <w:rPr>
                <w:rFonts w:hint="eastAsia"/>
                <w:color w:val="auto"/>
                <w:szCs w:val="22"/>
                <w:lang w:val="en-US" w:eastAsia="zh-CN"/>
              </w:rPr>
              <w:t>安全生产知识培训——2022.9.5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lang w:val="en-US" w:eastAsia="zh-CN"/>
              </w:rPr>
            </w:pPr>
            <w:r>
              <w:rPr>
                <w:rFonts w:hint="eastAsia"/>
                <w:color w:val="auto"/>
                <w:szCs w:val="22"/>
                <w:lang w:val="en-US" w:eastAsia="zh-CN"/>
              </w:rPr>
              <w:t>考核及评价记录显示以口头问答的方式对培训效果进行了评价，培训达到预期的目的。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highlight w:val="none"/>
                <w:lang w:val="en-US" w:eastAsia="zh-CN"/>
              </w:rPr>
            </w:pPr>
            <w:r>
              <w:rPr>
                <w:rFonts w:hint="eastAsia"/>
                <w:color w:val="auto"/>
                <w:szCs w:val="22"/>
                <w:highlight w:val="none"/>
                <w:lang w:val="en-US" w:eastAsia="zh-CN"/>
              </w:rPr>
              <w:t>抽见人员证书：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szCs w:val="22"/>
                <w:highlight w:val="none"/>
                <w:lang w:val="en-US" w:eastAsia="zh-CN"/>
              </w:rPr>
            </w:pPr>
            <w:r>
              <w:rPr>
                <w:rFonts w:hint="eastAsia"/>
                <w:color w:val="auto"/>
                <w:szCs w:val="22"/>
                <w:highlight w:val="none"/>
                <w:lang w:val="en-US" w:eastAsia="zh-CN"/>
              </w:rPr>
              <w:t>赵红伟——企业主要负责人安全培训证书；2021.05.07有效；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szCs w:val="22"/>
                <w:highlight w:val="none"/>
                <w:lang w:val="en-US" w:eastAsia="zh-CN"/>
              </w:rPr>
            </w:pPr>
            <w:r>
              <w:rPr>
                <w:rFonts w:hint="eastAsia"/>
                <w:color w:val="auto"/>
                <w:szCs w:val="22"/>
                <w:highlight w:val="none"/>
                <w:lang w:val="en-US" w:eastAsia="zh-CN"/>
              </w:rPr>
              <w:t>王XX——安全管理人员证书；有效；2021.05.07有效；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highlight w:val="none"/>
                <w:lang w:val="en-US" w:eastAsia="zh-CN"/>
              </w:rPr>
            </w:pPr>
            <w:r>
              <w:rPr>
                <w:rFonts w:hint="eastAsia"/>
                <w:color w:val="auto"/>
                <w:szCs w:val="22"/>
                <w:highlight w:val="none"/>
                <w:lang w:val="en-US" w:eastAsia="zh-CN"/>
              </w:rPr>
              <w:t>郭X（8人）——焊接与热切割作业，上饶市应急管理局，均在有效期内。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lang w:val="en-US" w:eastAsia="zh-CN"/>
              </w:rPr>
            </w:pPr>
            <w:r>
              <w:rPr>
                <w:rFonts w:hint="eastAsia"/>
                <w:color w:val="auto"/>
                <w:szCs w:val="22"/>
                <w:lang w:val="en-US" w:eastAsia="zh-CN"/>
              </w:rPr>
              <w:t>公司安全环保设施包括有灭火器、消防栓、个体防护（劳保）用品、垃圾桶等；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经与部门负责人沟通交流，</w:t>
            </w:r>
            <w:r>
              <w:rPr>
                <w:rFonts w:hint="eastAsia"/>
                <w:color w:val="auto"/>
                <w:lang w:val="en-US" w:eastAsia="zh-CN"/>
              </w:rPr>
              <w:t>主要</w:t>
            </w:r>
            <w:r>
              <w:rPr>
                <w:rFonts w:hint="default"/>
                <w:color w:val="auto"/>
                <w:lang w:val="en-US" w:eastAsia="zh-CN"/>
              </w:rPr>
              <w:t>通过培训提高岗位作业水平和质量、环保、安全意识，</w:t>
            </w:r>
            <w:r>
              <w:rPr>
                <w:rFonts w:hint="eastAsia"/>
                <w:color w:val="auto"/>
                <w:lang w:val="en-US" w:eastAsia="zh-CN"/>
              </w:rPr>
              <w:t>询问</w:t>
            </w:r>
            <w:r>
              <w:rPr>
                <w:rFonts w:hint="default"/>
                <w:color w:val="auto"/>
                <w:lang w:val="en-US" w:eastAsia="zh-CN"/>
              </w:rPr>
              <w:t>部分员工，他们对公司的管理方针</w:t>
            </w:r>
            <w:r>
              <w:rPr>
                <w:rFonts w:hint="eastAsia"/>
                <w:color w:val="auto"/>
                <w:lang w:val="en-US" w:eastAsia="zh-CN"/>
              </w:rPr>
              <w:t>、</w:t>
            </w:r>
            <w:r>
              <w:rPr>
                <w:rFonts w:hint="default"/>
                <w:color w:val="auto"/>
                <w:lang w:val="en-US" w:eastAsia="zh-CN"/>
              </w:rPr>
              <w:t>管理目标、对质量环境职业健康安全管理体系有效性的贡献，包括提高效率、技能、改进工艺和恪尽职守带来的无论是产品质量的提高亦或成本降低、节能减排、保护员工健康等的益处，以及因自己岗位职责疏忽带来不符合给公司产品及公司商誉、环境安全承诺带来的后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员工能</w:t>
            </w:r>
            <w:r>
              <w:rPr>
                <w:rFonts w:hint="default"/>
                <w:color w:val="auto"/>
                <w:lang w:val="en-US" w:eastAsia="zh-CN"/>
              </w:rPr>
              <w:t>明确自身职责及岗位要求，自身工作影响，如何提高产品质量、减少环境污染，员工人身安全意识等。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FF"/>
                <w:kern w:val="2"/>
                <w:sz w:val="21"/>
                <w:lang w:val="en-US" w:eastAsia="zh-CN" w:bidi="ar-SA"/>
              </w:rPr>
            </w:pPr>
            <w:r>
              <w:rPr>
                <w:rFonts w:hint="default"/>
                <w:color w:val="auto"/>
                <w:lang w:val="en-US" w:eastAsia="zh-CN"/>
              </w:rPr>
              <w:t>基本能满足要求。</w:t>
            </w:r>
          </w:p>
        </w:tc>
        <w:tc>
          <w:tcPr>
            <w:tcW w:w="0" w:type="auto"/>
            <w:vAlign w:val="top"/>
          </w:tcPr>
          <w:p>
            <w:pPr>
              <w:spacing w:line="360" w:lineRule="auto"/>
              <w:rPr>
                <w:rFonts w:hint="eastAsia" w:ascii="Times New Roman" w:hAnsi="Times New Roman" w:eastAsia="宋体" w:cs="Times New Roman"/>
                <w:color w:val="0000FF"/>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81" w:type="dxa"/>
            <w:vAlign w:val="top"/>
          </w:tcPr>
          <w:p>
            <w:pPr>
              <w:spacing w:line="360" w:lineRule="auto"/>
              <w:rPr>
                <w:rFonts w:ascii="Times New Roman" w:hAnsi="Times New Roman" w:eastAsia="宋体" w:cs="Times New Roman"/>
                <w:color w:val="auto"/>
                <w:kern w:val="2"/>
                <w:sz w:val="21"/>
                <w:lang w:val="en-US" w:eastAsia="zh-CN" w:bidi="ar-SA"/>
              </w:rPr>
            </w:pPr>
            <w:r>
              <w:rPr>
                <w:rFonts w:hint="eastAsia"/>
                <w:color w:val="auto"/>
              </w:rPr>
              <w:t>组织知识</w:t>
            </w:r>
          </w:p>
        </w:tc>
        <w:tc>
          <w:tcPr>
            <w:tcW w:w="1173" w:type="dxa"/>
            <w:vAlign w:val="top"/>
          </w:tcPr>
          <w:p>
            <w:pPr>
              <w:spacing w:line="360" w:lineRule="auto"/>
              <w:rPr>
                <w:rFonts w:hint="eastAsia"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lang w:val="en-US" w:eastAsia="zh-CN"/>
              </w:rPr>
              <w:t>Q：7.1.6</w:t>
            </w: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公司各部门按照职责从内外部各种渠道获得与其职责相关所需的知识，包括操作规程、管理技巧与经验、失败和事故的案例分析、科研成果、商标及专利等知识产权等；把知识形成各种规章制度用于指导公司的日常工作和管理，包括体系文件、支持性文件、各种记录表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从内部来源获取的有：多年的工作经验、教训、内部的知识产权等；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外部来源获取有：标杆对比、行业会议、客户技术要求、咨询老师传授的体系知识及所实施的内审员的培训；顾客方提供的资料等。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FF"/>
                <w:kern w:val="2"/>
                <w:sz w:val="21"/>
                <w:lang w:val="en-US" w:eastAsia="zh-CN" w:bidi="ar-SA"/>
              </w:rPr>
            </w:pPr>
            <w:r>
              <w:rPr>
                <w:rFonts w:hint="eastAsia"/>
                <w:color w:val="auto"/>
                <w:lang w:val="en-US" w:eastAsia="zh-CN"/>
              </w:rPr>
              <w:t>在应对变化的需求和趋势时，相关部门考虑现有的知识，确定如何获取更多的必要的额外知识，并根据变化的情况及时更新。</w:t>
            </w:r>
          </w:p>
        </w:tc>
        <w:tc>
          <w:tcPr>
            <w:tcW w:w="0" w:type="auto"/>
            <w:vAlign w:val="top"/>
          </w:tcPr>
          <w:p>
            <w:pPr>
              <w:spacing w:line="360" w:lineRule="auto"/>
              <w:rPr>
                <w:rFonts w:hint="eastAsia" w:ascii="Times New Roman" w:hAnsi="Times New Roman" w:eastAsia="宋体" w:cs="Times New Roman"/>
                <w:color w:val="0000FF"/>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81"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u w:val="none"/>
              </w:rPr>
              <w:t>运行策划和控制</w:t>
            </w:r>
          </w:p>
        </w:tc>
        <w:tc>
          <w:tcPr>
            <w:tcW w:w="1173" w:type="dxa"/>
            <w:vAlign w:val="top"/>
          </w:tcPr>
          <w:p>
            <w:pPr>
              <w:spacing w:line="360" w:lineRule="auto"/>
              <w:rPr>
                <w:rFonts w:hint="eastAsia"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u w:val="none"/>
                <w:lang w:val="en-US" w:eastAsia="zh-CN"/>
              </w:rPr>
              <w:t>EO:</w:t>
            </w:r>
            <w:r>
              <w:rPr>
                <w:rFonts w:hint="eastAsia" w:ascii="宋体" w:hAnsi="宋体" w:cs="Arial"/>
                <w:color w:val="auto"/>
                <w:spacing w:val="-6"/>
                <w:sz w:val="21"/>
                <w:szCs w:val="21"/>
                <w:u w:val="none"/>
              </w:rPr>
              <w:t>8.1</w:t>
            </w: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公司策划了环境安全管理</w:t>
            </w:r>
            <w:r>
              <w:rPr>
                <w:rFonts w:hint="eastAsia" w:cs="Times New Roman"/>
                <w:szCs w:val="22"/>
                <w:lang w:val="en-US" w:eastAsia="zh-CN"/>
              </w:rPr>
              <w:t>相关程序文件和管理</w:t>
            </w:r>
            <w:r>
              <w:rPr>
                <w:rFonts w:hint="eastAsia" w:ascii="Times New Roman" w:hAnsi="Times New Roman" w:eastAsia="宋体" w:cs="Times New Roman"/>
                <w:szCs w:val="22"/>
                <w:lang w:val="en-US" w:eastAsia="zh-CN"/>
              </w:rPr>
              <w:t>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环境因素和危险源识别评价与控制程序</w:t>
            </w:r>
            <w:r>
              <w:rPr>
                <w:rFonts w:hint="eastAsia" w:cs="Times New Roman"/>
                <w:szCs w:val="22"/>
                <w:lang w:val="en-US" w:eastAsia="zh-CN"/>
              </w:rPr>
              <w:t>、</w:t>
            </w:r>
            <w:r>
              <w:rPr>
                <w:rFonts w:hint="eastAsia" w:ascii="Times New Roman" w:hAnsi="Times New Roman" w:eastAsia="宋体" w:cs="Times New Roman"/>
                <w:szCs w:val="22"/>
                <w:lang w:val="en-US" w:eastAsia="zh-CN"/>
              </w:rPr>
              <w:t>环境和职业健康安全法律法规控制程序</w:t>
            </w:r>
            <w:r>
              <w:rPr>
                <w:rFonts w:hint="eastAsia" w:cs="Times New Roman"/>
                <w:szCs w:val="22"/>
                <w:lang w:val="en-US" w:eastAsia="zh-CN"/>
              </w:rPr>
              <w:t>、运行控制程序、废弃物控制程序、噪声控制程序、消防控制程序、设备控制程序、劳动防护用品控制程序、化学品油品控制程序、资源能源控制程序、应急准备和响应控制程序、事故调查处理控制程序、工艺作业指导书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现场观察：配置的办公桌符合人机工程要求，干净整洁，照明、通风良好；配置有空调，温度适宜；有少量绿植；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查见配置有灭火器，状态良好，保留检查</w:t>
            </w:r>
            <w:r>
              <w:rPr>
                <w:rFonts w:hint="eastAsia"/>
                <w:color w:val="auto"/>
                <w:lang w:val="en-US" w:eastAsia="zh-CN"/>
              </w:rPr>
              <w:t>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节约用水用电、纸张双面使用、禁止吸烟、无乱拉乱接电线、无超额电器使用；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生活废水经市政管网排放；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办公环境安静，无明显噪声和废气；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办公用固废集中回收，园区环卫部门收集处理；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kern w:val="2"/>
                <w:sz w:val="21"/>
                <w:lang w:val="en-US" w:eastAsia="zh-CN" w:bidi="ar-SA"/>
              </w:rPr>
            </w:pPr>
            <w:r>
              <w:rPr>
                <w:rFonts w:hint="eastAsia"/>
                <w:lang w:val="en-US" w:eastAsia="zh-CN"/>
              </w:rPr>
              <w:t>办公用墨盒硒鼓等危废以旧换新。</w:t>
            </w:r>
          </w:p>
        </w:tc>
        <w:tc>
          <w:tcPr>
            <w:tcW w:w="0" w:type="auto"/>
            <w:vAlign w:val="top"/>
          </w:tcPr>
          <w:p>
            <w:pPr>
              <w:spacing w:line="360" w:lineRule="auto"/>
              <w:rPr>
                <w:rFonts w:hint="default" w:ascii="Times New Roman" w:hAnsi="Times New Roman" w:eastAsia="宋体" w:cs="Times New Roman"/>
                <w:color w:val="0000FF"/>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81"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spacing w:val="-6"/>
                <w:kern w:val="2"/>
                <w:sz w:val="21"/>
                <w:szCs w:val="21"/>
                <w:lang w:val="en-US" w:eastAsia="zh-CN" w:bidi="ar-SA"/>
              </w:rPr>
            </w:pPr>
            <w:r>
              <w:rPr>
                <w:rFonts w:hint="eastAsia" w:asciiTheme="minorEastAsia" w:hAnsiTheme="minorEastAsia" w:eastAsiaTheme="minorEastAsia" w:cstheme="minorEastAsia"/>
                <w:spacing w:val="-6"/>
                <w:sz w:val="21"/>
                <w:szCs w:val="21"/>
                <w:lang w:val="en-US" w:eastAsia="zh-CN"/>
              </w:rPr>
              <w:t>外部提供控制</w:t>
            </w:r>
          </w:p>
        </w:tc>
        <w:tc>
          <w:tcPr>
            <w:tcW w:w="1173" w:type="dxa"/>
            <w:vAlign w:val="top"/>
          </w:tcPr>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Theme="minorEastAsia" w:hAnsiTheme="minorEastAsia" w:eastAsiaTheme="minorEastAsia" w:cstheme="minorEastAsia"/>
                <w:spacing w:val="-6"/>
                <w:kern w:val="2"/>
                <w:sz w:val="21"/>
                <w:szCs w:val="21"/>
                <w:lang w:val="en-US" w:eastAsia="zh-CN" w:bidi="ar-SA"/>
              </w:rPr>
            </w:pPr>
            <w:r>
              <w:rPr>
                <w:rFonts w:hint="eastAsia" w:asciiTheme="minorEastAsia" w:hAnsiTheme="minorEastAsia" w:eastAsiaTheme="minorEastAsia" w:cstheme="minorEastAsia"/>
                <w:spacing w:val="-6"/>
                <w:kern w:val="2"/>
                <w:sz w:val="21"/>
                <w:szCs w:val="21"/>
                <w:lang w:val="en-US" w:eastAsia="zh-CN" w:bidi="ar-SA"/>
              </w:rPr>
              <w:t>Q:8.4</w:t>
            </w:r>
          </w:p>
        </w:tc>
        <w:tc>
          <w:tcPr>
            <w:tcW w:w="10868"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color w:val="auto"/>
                <w:szCs w:val="22"/>
                <w:lang w:val="en-US" w:eastAsia="zh-CN"/>
              </w:rPr>
            </w:pPr>
            <w:r>
              <w:rPr>
                <w:rFonts w:hint="eastAsia" w:ascii="Times New Roman" w:hAnsi="Times New Roman" w:eastAsia="宋体" w:cs="Times New Roman"/>
                <w:color w:val="auto"/>
                <w:szCs w:val="22"/>
                <w:lang w:val="en-US" w:eastAsia="zh-CN"/>
              </w:rPr>
              <w:t>查见“采购控制程序”，有效文件</w:t>
            </w:r>
            <w:r>
              <w:rPr>
                <w:rFonts w:hint="eastAsia" w:ascii="Times New Roman" w:hAnsi="Times New Roman" w:cs="Times New Roman"/>
                <w:color w:val="auto"/>
                <w:szCs w:val="22"/>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lang w:val="en-US" w:eastAsia="zh-CN"/>
              </w:rPr>
              <w:t>查见合格供应商名录，登记了：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lang w:val="en-US" w:eastAsia="zh-CN"/>
              </w:rPr>
            </w:pPr>
            <w:r>
              <w:rPr>
                <w:rFonts w:hint="default"/>
                <w:lang w:val="en-US" w:eastAsia="zh-CN"/>
              </w:rPr>
              <w:t>武汉造船厂</w:t>
            </w:r>
            <w:r>
              <w:rPr>
                <w:rFonts w:hint="eastAsia"/>
                <w:lang w:val="en-US" w:eastAsia="zh-CN"/>
              </w:rPr>
              <w:t>——</w:t>
            </w:r>
            <w:r>
              <w:rPr>
                <w:rFonts w:hint="eastAsia" w:ascii="宋体" w:hAnsi="宋体" w:eastAsia="宋体" w:cs="宋体"/>
                <w:sz w:val="21"/>
                <w:szCs w:val="21"/>
                <w:lang w:eastAsia="zh-CN"/>
              </w:rPr>
              <w:t>船舶通风管道、舾装件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lang w:val="en-US" w:eastAsia="zh-CN"/>
              </w:rPr>
            </w:pPr>
            <w:r>
              <w:rPr>
                <w:rFonts w:hint="eastAsia" w:ascii="宋体" w:hAnsi="宋体" w:eastAsia="宋体" w:cs="宋体"/>
                <w:sz w:val="21"/>
                <w:szCs w:val="21"/>
                <w:lang w:val="en-US" w:eastAsia="zh-CN"/>
              </w:rPr>
              <w:t xml:space="preserve">查见供方调查评价表，对上述两个供应商进行了调查，供方对产品/服务质量的承诺：安全生产、质量第一等；参加评审人员签名；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lang w:val="en-US" w:eastAsia="zh-CN"/>
              </w:rPr>
              <w:t>现场沟通，船舶工程的焊接、装配施工作业使用的设备及原材料均由船厂提供，公司无采购情况。</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lang w:val="en-US" w:eastAsia="zh-CN"/>
              </w:rPr>
              <w:t>提供的设备及原材料包含焊丝、焊机、砂轮打磨机、劳保用品等，保留了领用签收的记录。</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kern w:val="2"/>
                <w:sz w:val="21"/>
                <w:lang w:val="en-US" w:eastAsia="zh-CN" w:bidi="ar-SA"/>
              </w:rPr>
            </w:pPr>
            <w:r>
              <w:rPr>
                <w:rFonts w:hint="eastAsia"/>
                <w:lang w:val="en-US" w:eastAsia="zh-CN"/>
              </w:rPr>
              <w:t>抽见领料单，见领用了焊条、法兰、螺栓镀锌钢板等材料。</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81" w:type="dxa"/>
            <w:vAlign w:val="top"/>
          </w:tcPr>
          <w:p>
            <w:pPr>
              <w:spacing w:line="360" w:lineRule="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顾客要求</w:t>
            </w:r>
          </w:p>
        </w:tc>
        <w:tc>
          <w:tcPr>
            <w:tcW w:w="1173" w:type="dxa"/>
            <w:vAlign w:val="top"/>
          </w:tcPr>
          <w:p>
            <w:pPr>
              <w:spacing w:line="360" w:lineRule="auto"/>
              <w:rPr>
                <w:rFonts w:hint="eastAsia"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lang w:val="en-US" w:eastAsia="zh-CN"/>
              </w:rPr>
              <w:t>Q:8.2</w:t>
            </w:r>
          </w:p>
        </w:tc>
        <w:tc>
          <w:tcPr>
            <w:tcW w:w="10868" w:type="dxa"/>
            <w:vAlign w:val="top"/>
          </w:tcPr>
          <w:p>
            <w:pPr>
              <w:spacing w:line="360" w:lineRule="auto"/>
              <w:ind w:firstLine="420" w:firstLineChars="200"/>
              <w:rPr>
                <w:rFonts w:hint="default"/>
                <w:lang w:val="en-US" w:eastAsia="zh-CN"/>
              </w:rPr>
            </w:pPr>
            <w:r>
              <w:rPr>
                <w:rFonts w:hint="eastAsia"/>
                <w:lang w:val="en-US" w:eastAsia="zh-CN"/>
              </w:rPr>
              <w:t>介绍说，公司策划了对销售过程的控制要求。</w:t>
            </w:r>
          </w:p>
          <w:p>
            <w:pPr>
              <w:spacing w:line="360" w:lineRule="auto"/>
              <w:ind w:firstLine="420" w:firstLineChars="200"/>
              <w:rPr>
                <w:rFonts w:hint="eastAsia"/>
                <w:lang w:val="en-US" w:eastAsia="zh-CN"/>
              </w:rPr>
            </w:pPr>
            <w:r>
              <w:rPr>
                <w:rFonts w:hint="eastAsia"/>
                <w:lang w:val="en-US" w:eastAsia="zh-CN"/>
              </w:rPr>
              <w:t>负责人介绍沟通方式：主要是电话、资料传递等形式宣传本公司的服务及公司的有关信誉等。</w:t>
            </w:r>
          </w:p>
          <w:p>
            <w:pPr>
              <w:spacing w:line="360" w:lineRule="auto"/>
              <w:ind w:firstLine="420" w:firstLineChars="200"/>
              <w:rPr>
                <w:rFonts w:hint="eastAsia"/>
                <w:lang w:val="en-US" w:eastAsia="zh-CN"/>
              </w:rPr>
            </w:pPr>
            <w:r>
              <w:rPr>
                <w:rFonts w:hint="eastAsia"/>
                <w:lang w:val="en-US" w:eastAsia="zh-CN"/>
              </w:rPr>
              <w:t>针对合同洽谈、签订、履行过程中的问题，及时电话联系，明确各自的要求，执行合同。</w:t>
            </w:r>
          </w:p>
          <w:p>
            <w:pPr>
              <w:spacing w:line="360" w:lineRule="auto"/>
              <w:ind w:firstLine="420" w:firstLineChars="200"/>
              <w:rPr>
                <w:rFonts w:hint="eastAsia"/>
                <w:lang w:val="en-US" w:eastAsia="zh-CN"/>
              </w:rPr>
            </w:pPr>
            <w:r>
              <w:rPr>
                <w:rFonts w:hint="eastAsia"/>
                <w:lang w:val="en-US" w:eastAsia="zh-CN"/>
              </w:rPr>
              <w:t>目前沟通效果良好。</w:t>
            </w:r>
          </w:p>
          <w:p>
            <w:pPr>
              <w:spacing w:line="360" w:lineRule="auto"/>
              <w:ind w:firstLine="420" w:firstLineChars="200"/>
              <w:rPr>
                <w:rFonts w:hint="eastAsia"/>
                <w:lang w:val="en-US" w:eastAsia="zh-CN"/>
              </w:rPr>
            </w:pPr>
            <w:r>
              <w:rPr>
                <w:rFonts w:hint="eastAsia"/>
                <w:lang w:val="en-US" w:eastAsia="zh-CN"/>
              </w:rPr>
              <w:t>公司主要通过客户的走访了解市场的需求状态。主要以合同、电话等形式确定与产品有关的要求，均已保存或进行相应的记录。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由业务人员直接对顾客要求进行识别、确认，对于存在的问题直接提出和顾客进行交流沟通（如电话、微信等方式）；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查与船厂签订的劳务承揽合同，抽见：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武汉船舶重工集团有限公司——2022.4.18，风管附件；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武汉船舶重工集团有限公司——2022.6.8，角钢、垫板等舾装件；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承揽合同明确了工程内容及周期、施工依据及要求、施工场地、机械和工具、工程质量等要求；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eastAsia"/>
                <w:lang w:val="en-US" w:eastAsia="zh-CN"/>
              </w:rPr>
              <w:t>介绍说，承揽合同签订前进行了充分沟通和评审，明确无误后签字盖章。</w:t>
            </w:r>
          </w:p>
        </w:tc>
        <w:tc>
          <w:tcPr>
            <w:tcW w:w="0" w:type="auto"/>
            <w:vAlign w:val="top"/>
          </w:tcPr>
          <w:p>
            <w:pPr>
              <w:spacing w:line="360" w:lineRule="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81" w:type="dxa"/>
            <w:vAlign w:val="top"/>
          </w:tcPr>
          <w:p>
            <w:pPr>
              <w:spacing w:line="360" w:lineRule="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顾客财产</w:t>
            </w:r>
          </w:p>
        </w:tc>
        <w:tc>
          <w:tcPr>
            <w:tcW w:w="1173" w:type="dxa"/>
            <w:vAlign w:val="top"/>
          </w:tcPr>
          <w:p>
            <w:pPr>
              <w:spacing w:line="360" w:lineRule="auto"/>
              <w:jc w:val="center"/>
              <w:rPr>
                <w:rFonts w:hint="default"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lang w:val="en-US" w:eastAsia="zh-CN"/>
              </w:rPr>
              <w:t>Q:8.5.3</w:t>
            </w: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介绍说顾客财产主要是船厂提供的设备和材料，对设备和材料能进行辨识、验证，并妥善保管，保留了领用单和设备清单，抽见：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 xml:space="preserve">查见“设备设施一览表”，登记了在船厂领用的磨光机、切割机、电焊机、手垃葫芦等；介绍说每天使用前进行检查，并保留设备维护记录；设备故障问题由船厂负责修理。 </w:t>
            </w:r>
          </w:p>
        </w:tc>
        <w:tc>
          <w:tcPr>
            <w:tcW w:w="0" w:type="auto"/>
            <w:vAlign w:val="top"/>
          </w:tcPr>
          <w:p>
            <w:pPr>
              <w:spacing w:line="360" w:lineRule="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81" w:type="dxa"/>
            <w:vAlign w:val="top"/>
          </w:tcPr>
          <w:p>
            <w:pPr>
              <w:spacing w:line="360" w:lineRule="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交付后活动</w:t>
            </w:r>
          </w:p>
        </w:tc>
        <w:tc>
          <w:tcPr>
            <w:tcW w:w="1173" w:type="dxa"/>
            <w:vAlign w:val="top"/>
          </w:tcPr>
          <w:p>
            <w:pPr>
              <w:spacing w:line="360" w:lineRule="auto"/>
              <w:jc w:val="center"/>
              <w:rPr>
                <w:rFonts w:hint="default"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lang w:val="en-US" w:eastAsia="zh-CN"/>
              </w:rPr>
              <w:t>Q:8.5.5</w:t>
            </w: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介绍说，交付后的活动主要是由船厂负责，会根据船厂的安排进行返工或修理；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 xml:space="preserve">介绍说，本周期返工活动很少，未保留相关记录，交流。 </w:t>
            </w:r>
          </w:p>
        </w:tc>
        <w:tc>
          <w:tcPr>
            <w:tcW w:w="0" w:type="auto"/>
            <w:vAlign w:val="top"/>
          </w:tcPr>
          <w:p>
            <w:pPr>
              <w:spacing w:line="360" w:lineRule="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81" w:type="dxa"/>
            <w:vAlign w:val="top"/>
          </w:tcPr>
          <w:p>
            <w:pPr>
              <w:spacing w:line="360" w:lineRule="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顾客满意</w:t>
            </w:r>
          </w:p>
        </w:tc>
        <w:tc>
          <w:tcPr>
            <w:tcW w:w="1173" w:type="dxa"/>
            <w:vAlign w:val="top"/>
          </w:tcPr>
          <w:p>
            <w:pPr>
              <w:spacing w:line="360" w:lineRule="auto"/>
              <w:jc w:val="center"/>
              <w:rPr>
                <w:rFonts w:hint="default"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lang w:val="en-US" w:eastAsia="zh-CN"/>
              </w:rPr>
              <w:t>Q:9.1.2</w:t>
            </w:r>
          </w:p>
        </w:tc>
        <w:tc>
          <w:tcPr>
            <w:tcW w:w="10868" w:type="dxa"/>
            <w:vAlign w:val="top"/>
          </w:tcPr>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公司编制《顾客满意度控制程序》，通过拜访、电话、电邮、问卷等形式，收集顾客反馈信息，监视顾客满意程度，评价体系的有效性，寻求体系改进的机会。</w:t>
            </w:r>
          </w:p>
          <w:p>
            <w:pPr>
              <w:spacing w:line="360" w:lineRule="auto"/>
              <w:ind w:firstLine="420" w:firstLineChars="200"/>
              <w:rPr>
                <w:rFonts w:hint="eastAsia" w:ascii="Times New Roman" w:hAnsi="Times New Roman" w:eastAsia="宋体" w:cs="Times New Roman"/>
                <w:szCs w:val="22"/>
                <w:highlight w:val="yellow"/>
                <w:lang w:val="en-US" w:eastAsia="zh-CN"/>
              </w:rPr>
            </w:pPr>
            <w:r>
              <w:rPr>
                <w:rFonts w:hint="eastAsia" w:ascii="Times New Roman" w:hAnsi="Times New Roman" w:eastAsia="宋体" w:cs="Times New Roman"/>
                <w:szCs w:val="22"/>
                <w:highlight w:val="none"/>
                <w:lang w:val="en-US" w:eastAsia="zh-CN"/>
              </w:rPr>
              <w:t>提供了</w:t>
            </w:r>
            <w:r>
              <w:rPr>
                <w:rFonts w:hint="eastAsia" w:cs="Times New Roman"/>
                <w:szCs w:val="22"/>
                <w:highlight w:val="none"/>
                <w:lang w:val="en-US" w:eastAsia="zh-CN"/>
              </w:rPr>
              <w:t>2022年9月26日—28日对</w:t>
            </w:r>
            <w:r>
              <w:rPr>
                <w:rFonts w:hint="eastAsia"/>
                <w:highlight w:val="none"/>
                <w:lang w:val="en-US" w:eastAsia="zh-CN"/>
              </w:rPr>
              <w:t>武汉造船厂、江联造船厂</w:t>
            </w:r>
            <w:r>
              <w:rPr>
                <w:rFonts w:hint="eastAsia" w:ascii="Times New Roman" w:hAnsi="Times New Roman" w:eastAsia="宋体" w:cs="Times New Roman"/>
                <w:szCs w:val="22"/>
                <w:highlight w:val="none"/>
                <w:lang w:val="en-US" w:eastAsia="zh-CN"/>
              </w:rPr>
              <w:t>等</w:t>
            </w:r>
            <w:r>
              <w:rPr>
                <w:rFonts w:hint="eastAsia" w:cs="Times New Roman"/>
                <w:szCs w:val="22"/>
                <w:highlight w:val="none"/>
                <w:lang w:val="en-US" w:eastAsia="zh-CN"/>
              </w:rPr>
              <w:t>2</w:t>
            </w:r>
            <w:r>
              <w:rPr>
                <w:rFonts w:hint="eastAsia" w:ascii="Times New Roman" w:hAnsi="Times New Roman" w:eastAsia="宋体" w:cs="Times New Roman"/>
                <w:szCs w:val="22"/>
                <w:highlight w:val="none"/>
                <w:lang w:val="en-US" w:eastAsia="zh-CN"/>
              </w:rPr>
              <w:t>家顾客的《顾客满意度调查记录表》；</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查见《顾客满意度调查分析》，2022年9月28日对顾客满意度指标予以分析汇总，经评价测算客户满意度得分98.5分。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szCs w:val="22"/>
                <w:lang w:val="en-US" w:eastAsia="zh-CN"/>
              </w:rPr>
              <w:t>企业对顾客满意度的调查、分析利用进行了策划并实施，基本符合标准条款的要求。</w:t>
            </w:r>
          </w:p>
        </w:tc>
        <w:tc>
          <w:tcPr>
            <w:tcW w:w="0" w:type="auto"/>
            <w:vAlign w:val="top"/>
          </w:tcPr>
          <w:p>
            <w:pPr>
              <w:spacing w:line="360" w:lineRule="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81" w:type="dxa"/>
            <w:vAlign w:val="top"/>
          </w:tcPr>
          <w:p>
            <w:pPr>
              <w:spacing w:line="360" w:lineRule="auto"/>
              <w:rPr>
                <w:rFonts w:ascii="Times New Roman" w:hAnsi="Times New Roman" w:eastAsia="宋体" w:cs="Times New Roman"/>
                <w:color w:val="auto"/>
                <w:kern w:val="2"/>
                <w:sz w:val="21"/>
                <w:lang w:val="en-US" w:eastAsia="zh-CN" w:bidi="ar-SA"/>
              </w:rPr>
            </w:pPr>
            <w:r>
              <w:rPr>
                <w:rFonts w:hint="eastAsia"/>
                <w:color w:val="auto"/>
              </w:rPr>
              <w:t>监视、测量、分析和评价总则</w:t>
            </w:r>
          </w:p>
        </w:tc>
        <w:tc>
          <w:tcPr>
            <w:tcW w:w="1173" w:type="dxa"/>
            <w:vAlign w:val="top"/>
          </w:tcPr>
          <w:p>
            <w:pPr>
              <w:spacing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QEO:9.1.1</w:t>
            </w:r>
          </w:p>
          <w:p>
            <w:pPr>
              <w:spacing w:line="360" w:lineRule="auto"/>
              <w:jc w:val="center"/>
              <w:rPr>
                <w:rFonts w:hint="default" w:ascii="Times New Roman" w:hAnsi="Times New Roman" w:eastAsia="宋体" w:cs="Times New Roman"/>
                <w:color w:val="auto"/>
                <w:kern w:val="2"/>
                <w:sz w:val="21"/>
                <w:lang w:val="en-US" w:eastAsia="zh-CN" w:bidi="ar-SA"/>
              </w:rPr>
            </w:pPr>
            <w:r>
              <w:rPr>
                <w:rFonts w:hint="eastAsia" w:ascii="宋体" w:hAnsi="宋体" w:eastAsia="宋体" w:cs="Arial"/>
                <w:color w:val="auto"/>
                <w:spacing w:val="-6"/>
                <w:kern w:val="2"/>
                <w:sz w:val="21"/>
                <w:szCs w:val="21"/>
                <w:lang w:val="en-US" w:eastAsia="zh-CN" w:bidi="ar-SA"/>
              </w:rPr>
              <w:t>QEO:9.1.3</w:t>
            </w: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保持有“监视和测量控制程序”，有效文件；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查“目标分解考核表”，每季度一次对目标完成情况进行考核；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查到环境、安全检查记录，每月检查一次，结果均符合，交流；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查见体检报告，抽见王XX等8人职业健康安全检查个人报告，武汉仁生医院出具，2022.3.1，均未发现职业禁忌症。可从事焊接、噪声等岗位工作。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介绍说，环境监测、工作场所职业危害因素检测均由船厂负责进行监测，如有不满足要求的地方，船厂会予以通知并责令改正。目前未接到有关排放超标的信息和通知；</w:t>
            </w:r>
            <w:bookmarkStart w:id="3" w:name="_GoBack"/>
            <w:bookmarkEnd w:id="3"/>
            <w:r>
              <w:rPr>
                <w:rFonts w:hint="eastAsia"/>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介绍说公司每年会召开会议，对年度工作进行总结，明确公司优势，提出公司发展中存在的问题，并对下年度的工作做出安排。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基本符合。</w:t>
            </w:r>
          </w:p>
        </w:tc>
        <w:tc>
          <w:tcPr>
            <w:tcW w:w="0" w:type="auto"/>
            <w:vAlign w:val="top"/>
          </w:tcPr>
          <w:p>
            <w:pPr>
              <w:spacing w:line="360" w:lineRule="auto"/>
              <w:rPr>
                <w:rFonts w:hint="default"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81" w:type="dxa"/>
            <w:vAlign w:val="top"/>
          </w:tcPr>
          <w:p>
            <w:pPr>
              <w:spacing w:line="360" w:lineRule="auto"/>
              <w:rPr>
                <w:rFonts w:ascii="Times New Roman" w:hAnsi="Times New Roman" w:eastAsia="宋体" w:cs="Times New Roman"/>
                <w:color w:val="0000FF"/>
                <w:kern w:val="2"/>
                <w:sz w:val="21"/>
                <w:lang w:val="en-US" w:eastAsia="zh-CN" w:bidi="ar-SA"/>
              </w:rPr>
            </w:pPr>
            <w:r>
              <w:rPr>
                <w:rFonts w:hint="eastAsia"/>
                <w:color w:val="auto"/>
              </w:rPr>
              <w:t>内部审核</w:t>
            </w:r>
          </w:p>
        </w:tc>
        <w:tc>
          <w:tcPr>
            <w:tcW w:w="1173" w:type="dxa"/>
            <w:vAlign w:val="top"/>
          </w:tcPr>
          <w:p>
            <w:pPr>
              <w:spacing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QEO:9.2</w:t>
            </w:r>
          </w:p>
          <w:p>
            <w:pPr>
              <w:pStyle w:val="4"/>
              <w:spacing w:line="360" w:lineRule="auto"/>
              <w:ind w:left="0" w:leftChars="0" w:firstLine="0" w:firstLineChars="0"/>
              <w:jc w:val="center"/>
              <w:rPr>
                <w:rFonts w:hint="default" w:ascii="Times New Roman" w:hAnsi="Times New Roman" w:eastAsia="宋体" w:cs="Times New Roman"/>
                <w:kern w:val="2"/>
                <w:sz w:val="21"/>
                <w:lang w:val="en-US" w:eastAsia="zh-CN" w:bidi="ar-SA"/>
              </w:rPr>
            </w:pPr>
            <w:r>
              <w:rPr>
                <w:rFonts w:hint="eastAsia" w:ascii="宋体" w:hAnsi="宋体" w:cs="Arial"/>
                <w:color w:val="auto"/>
                <w:spacing w:val="-6"/>
                <w:sz w:val="21"/>
                <w:szCs w:val="21"/>
                <w:lang w:val="en-US" w:eastAsia="zh-CN"/>
              </w:rPr>
              <w:t>10.2</w:t>
            </w: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制定有《内部审核程序》，有效文件；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保持《不符合、纠正和预防措施控制程序》、《事故调查处理控制程序》，有效文件。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rPr>
              <w:t>2022年10月20-21日</w:t>
            </w:r>
            <w:r>
              <w:rPr>
                <w:rFonts w:hint="eastAsia"/>
                <w:lang w:val="en-US" w:eastAsia="zh-CN"/>
              </w:rPr>
              <w:t>对贯标的各职能部门、生产单位进行内部审核，保留了内审计划、内审记录、不符合报告、内审报告；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内审覆盖了管理体系范围内的活动及标准的要求；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 xml:space="preserve">本次内审开具不符合报告1份，已整改，经验证予以关闭；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kern w:val="2"/>
                <w:sz w:val="21"/>
                <w:lang w:val="en-US" w:eastAsia="zh-CN" w:bidi="ar-SA"/>
              </w:rPr>
            </w:pPr>
            <w:r>
              <w:rPr>
                <w:rFonts w:hint="eastAsia"/>
                <w:lang w:val="en-US" w:eastAsia="zh-CN"/>
              </w:rPr>
              <w:t>内审结论为：三体系运行基本良好，运行达到一定的效果，基本符合ISO9001:2015、ISO14001:2015、ISO45001:2018标准的要求。</w:t>
            </w:r>
          </w:p>
        </w:tc>
        <w:tc>
          <w:tcPr>
            <w:tcW w:w="0" w:type="auto"/>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81"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lang w:val="en-US" w:eastAsia="zh-CN"/>
              </w:rPr>
              <w:t>应急管理</w:t>
            </w:r>
          </w:p>
        </w:tc>
        <w:tc>
          <w:tcPr>
            <w:tcW w:w="1173" w:type="dxa"/>
            <w:vAlign w:val="top"/>
          </w:tcPr>
          <w:p>
            <w:pPr>
              <w:spacing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lang w:val="en-US" w:eastAsia="zh-CN"/>
              </w:rPr>
              <w:t>EO:8.2</w:t>
            </w: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参加由生产部组织的演练，详见生产部记录。</w:t>
            </w:r>
          </w:p>
        </w:tc>
        <w:tc>
          <w:tcPr>
            <w:tcW w:w="0" w:type="auto"/>
            <w:vAlign w:val="top"/>
          </w:tcPr>
          <w:p>
            <w:pPr>
              <w:spacing w:line="360" w:lineRule="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Y</w:t>
            </w: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1AA91390"/>
    <w:rsid w:val="594C7ED2"/>
    <w:rsid w:val="788E2A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9"/>
    <w:pPr>
      <w:keepNext/>
      <w:jc w:val="center"/>
      <w:outlineLvl w:val="1"/>
    </w:pPr>
    <w:rPr>
      <w:rFonts w:ascii="宋体" w:hAnsi="宋体"/>
      <w:b/>
      <w:sz w:val="5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4144</Words>
  <Characters>4502</Characters>
  <Lines>1</Lines>
  <Paragraphs>1</Paragraphs>
  <TotalTime>1</TotalTime>
  <ScaleCrop>false</ScaleCrop>
  <LinksUpToDate>false</LinksUpToDate>
  <CharactersWithSpaces>4551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2022-12-27T03:24:50Z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554D47619267490EAA535A8CC696F8DE</vt:lpwstr>
  </property>
  <property fmtid="{D5CDD505-2E9C-101B-9397-08002B2CF9AE}" pid="3" name="KSOProductBuildVer">
    <vt:lpwstr>2052-11.1.0.12980</vt:lpwstr>
  </property>
</Properties>
</file>