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298"/>
        <w:gridCol w:w="10661"/>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61"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安全事务代表     </w:t>
            </w:r>
            <w:r>
              <w:rPr>
                <w:rFonts w:hint="eastAsia"/>
                <w:sz w:val="24"/>
                <w:szCs w:val="24"/>
              </w:rPr>
              <w:t>主管领导：</w:t>
            </w:r>
            <w:bookmarkStart w:id="0" w:name="管理者代表"/>
            <w:r>
              <w:rPr>
                <w:rFonts w:hint="eastAsia"/>
                <w:sz w:val="24"/>
                <w:szCs w:val="24"/>
                <w:lang w:eastAsia="zh-CN"/>
              </w:rPr>
              <w:t>赵红伟</w:t>
            </w:r>
            <w:r>
              <w:rPr>
                <w:rFonts w:hint="eastAsia"/>
                <w:sz w:val="24"/>
                <w:szCs w:val="24"/>
                <w:lang w:val="en-US" w:eastAsia="zh-CN"/>
              </w:rPr>
              <w:t xml:space="preserve"> </w:t>
            </w:r>
            <w:r>
              <w:rPr>
                <w:rFonts w:hint="eastAsia"/>
                <w:sz w:val="24"/>
                <w:szCs w:val="24"/>
              </w:rPr>
              <w:t>李怀松</w:t>
            </w:r>
            <w:bookmarkEnd w:id="0"/>
            <w:r>
              <w:rPr>
                <w:rFonts w:hint="eastAsia"/>
                <w:sz w:val="24"/>
                <w:szCs w:val="24"/>
                <w:lang w:val="en-US" w:eastAsia="zh-CN"/>
              </w:rPr>
              <w:t xml:space="preserve"> 段付杰   </w:t>
            </w:r>
            <w:r>
              <w:rPr>
                <w:rFonts w:hint="eastAsia"/>
                <w:sz w:val="24"/>
                <w:szCs w:val="24"/>
              </w:rPr>
              <w:t>陪同人员：</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Merge w:val="continue"/>
            <w:vAlign w:val="center"/>
          </w:tcPr>
          <w:p/>
        </w:tc>
        <w:tc>
          <w:tcPr>
            <w:tcW w:w="1298" w:type="dxa"/>
            <w:vMerge w:val="continue"/>
            <w:vAlign w:val="center"/>
          </w:tcPr>
          <w:p/>
        </w:tc>
        <w:tc>
          <w:tcPr>
            <w:tcW w:w="10661"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吴文龙</w:t>
            </w:r>
            <w:bookmarkEnd w:id="1"/>
            <w:r>
              <w:rPr>
                <w:rFonts w:hint="eastAsia"/>
                <w:sz w:val="24"/>
                <w:szCs w:val="24"/>
                <w:lang w:val="en-US" w:eastAsia="zh-CN"/>
              </w:rPr>
              <w:t xml:space="preserve">            </w:t>
            </w:r>
            <w:r>
              <w:rPr>
                <w:rFonts w:hint="eastAsia"/>
                <w:sz w:val="24"/>
                <w:szCs w:val="24"/>
              </w:rPr>
              <w:t>审核时间：</w:t>
            </w:r>
            <w:bookmarkStart w:id="2" w:name="审核日期"/>
            <w:r>
              <w:t>2022年12月</w:t>
            </w:r>
            <w:r>
              <w:rPr>
                <w:rFonts w:hint="eastAsia"/>
                <w:lang w:val="en-US" w:eastAsia="zh-CN"/>
              </w:rPr>
              <w:t>26</w:t>
            </w:r>
            <w:r>
              <w:t>日</w:t>
            </w:r>
            <w:bookmarkEnd w:id="2"/>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Merge w:val="continue"/>
            <w:vAlign w:val="center"/>
          </w:tcPr>
          <w:p/>
        </w:tc>
        <w:tc>
          <w:tcPr>
            <w:tcW w:w="1298" w:type="dxa"/>
            <w:vMerge w:val="continue"/>
            <w:vAlign w:val="center"/>
          </w:tcPr>
          <w:p/>
        </w:tc>
        <w:tc>
          <w:tcPr>
            <w:tcW w:w="10661"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rPr>
            </w:pPr>
            <w:r>
              <w:rPr>
                <w:rFonts w:hint="eastAsia" w:ascii="宋体" w:hAnsi="宋体" w:cs="Arial"/>
                <w:sz w:val="21"/>
                <w:szCs w:val="21"/>
                <w:lang w:eastAsia="zh-CN"/>
              </w:rPr>
              <w:t>QE</w:t>
            </w:r>
            <w:r>
              <w:rPr>
                <w:rFonts w:hint="eastAsia" w:ascii="宋体" w:hAnsi="宋体" w:cs="Arial"/>
                <w:sz w:val="21"/>
                <w:szCs w:val="21"/>
              </w:rPr>
              <w:t>O:4.1理解组织及其环境、4.2理解相关方的需求和期望、4.3确定管理体系的范围、4.4管理体系及其过程、5.1领导作用和承诺、5.2方针、5.3组织的岗位、职责和权限、6.1应对风险和机遇的措施、6.2目标及其实现的策划、7.1资源、</w:t>
            </w:r>
            <w:r>
              <w:rPr>
                <w:rFonts w:hint="eastAsia" w:ascii="宋体" w:hAnsi="宋体" w:cs="Arial"/>
                <w:sz w:val="21"/>
                <w:szCs w:val="21"/>
                <w:lang w:val="en-US" w:eastAsia="zh-CN"/>
              </w:rPr>
              <w:t>7.4信息交流、</w:t>
            </w:r>
            <w:r>
              <w:rPr>
                <w:rFonts w:hint="eastAsia" w:ascii="宋体" w:hAnsi="宋体" w:cs="Arial"/>
                <w:sz w:val="21"/>
                <w:szCs w:val="21"/>
              </w:rPr>
              <w:t>9.3管理评审、10.1改进、10.3持续改进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lang w:eastAsia="zh-CN"/>
              </w:rPr>
            </w:pPr>
            <w:r>
              <w:rPr>
                <w:rFonts w:hint="eastAsia" w:ascii="宋体" w:hAnsi="宋体" w:cs="Arial"/>
                <w:sz w:val="21"/>
                <w:szCs w:val="21"/>
              </w:rPr>
              <w:t>Q6.3变更的策划、8.3</w:t>
            </w:r>
            <w:r>
              <w:rPr>
                <w:rFonts w:hint="eastAsia" w:ascii="宋体" w:hAnsi="宋体" w:cs="Arial"/>
                <w:sz w:val="21"/>
                <w:szCs w:val="21"/>
                <w:lang w:eastAsia="zh-CN"/>
              </w:rPr>
              <w:t>删减确认</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baseline"/>
              <w:rPr>
                <w:rFonts w:hint="eastAsia" w:ascii="宋体" w:hAnsi="宋体" w:cs="Arial"/>
                <w:sz w:val="21"/>
                <w:szCs w:val="21"/>
              </w:rPr>
            </w:pPr>
            <w:r>
              <w:rPr>
                <w:rFonts w:hint="eastAsia" w:ascii="宋体" w:hAnsi="宋体" w:cs="Arial"/>
                <w:sz w:val="21"/>
                <w:szCs w:val="21"/>
              </w:rPr>
              <w:t>O5.4协商与参与</w:t>
            </w:r>
          </w:p>
          <w:p>
            <w:pPr>
              <w:rPr>
                <w:rFonts w:hint="eastAsia"/>
                <w:sz w:val="24"/>
                <w:szCs w:val="24"/>
              </w:rPr>
            </w:pPr>
            <w:r>
              <w:rPr>
                <w:rFonts w:hint="eastAsia" w:ascii="宋体" w:hAnsi="宋体" w:cs="Arial"/>
                <w:sz w:val="21"/>
                <w:szCs w:val="21"/>
              </w:rPr>
              <w:t>标准/规范/法规的执行情况、</w:t>
            </w:r>
            <w:r>
              <w:rPr>
                <w:rFonts w:hint="eastAsia" w:ascii="宋体" w:hAnsi="宋体" w:cs="Arial"/>
                <w:sz w:val="21"/>
                <w:szCs w:val="21"/>
                <w:lang w:eastAsia="zh-CN"/>
              </w:rPr>
              <w:t>上次</w:t>
            </w:r>
            <w:r>
              <w:rPr>
                <w:rFonts w:hint="eastAsia" w:ascii="宋体" w:hAnsi="宋体" w:cs="Arial"/>
                <w:sz w:val="21"/>
                <w:szCs w:val="21"/>
              </w:rPr>
              <w:t>审核不符合项的验证、认证证书、标志的使用情况、投诉或事故、监督抽查情况</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QEO</w:t>
            </w:r>
            <w:r>
              <w:rPr>
                <w:rFonts w:hint="eastAsia" w:ascii="宋体" w:hAnsi="宋体" w:eastAsia="宋体" w:cs="Arial"/>
                <w:spacing w:val="-6"/>
                <w:sz w:val="21"/>
                <w:szCs w:val="21"/>
              </w:rPr>
              <w:t>:4.1</w:t>
            </w:r>
          </w:p>
        </w:tc>
        <w:tc>
          <w:tcPr>
            <w:tcW w:w="1066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瑞昌市宏瑞船舶工程有限公司成立于20</w:t>
            </w:r>
            <w:r>
              <w:rPr>
                <w:rFonts w:hint="eastAsia" w:ascii="宋体" w:hAnsi="宋体" w:eastAsia="宋体" w:cs="Arial"/>
                <w:color w:val="auto"/>
                <w:spacing w:val="-6"/>
                <w:sz w:val="21"/>
                <w:szCs w:val="21"/>
                <w:lang w:val="en-US" w:eastAsia="zh-CN"/>
              </w:rPr>
              <w:t>08</w:t>
            </w:r>
            <w:r>
              <w:rPr>
                <w:rFonts w:hint="eastAsia" w:ascii="宋体" w:hAnsi="宋体" w:eastAsia="宋体" w:cs="Arial"/>
                <w:color w:val="auto"/>
                <w:spacing w:val="-6"/>
                <w:sz w:val="21"/>
                <w:szCs w:val="21"/>
                <w:lang w:eastAsia="zh-CN"/>
              </w:rPr>
              <w:t>年0</w:t>
            </w:r>
            <w:r>
              <w:rPr>
                <w:rFonts w:hint="eastAsia" w:ascii="宋体" w:hAnsi="宋体" w:eastAsia="宋体" w:cs="Arial"/>
                <w:color w:val="auto"/>
                <w:spacing w:val="-6"/>
                <w:sz w:val="21"/>
                <w:szCs w:val="21"/>
                <w:lang w:val="en-US" w:eastAsia="zh-CN"/>
              </w:rPr>
              <w:t>9</w:t>
            </w:r>
            <w:r>
              <w:rPr>
                <w:rFonts w:hint="eastAsia" w:ascii="宋体" w:hAnsi="宋体" w:eastAsia="宋体" w:cs="Arial"/>
                <w:color w:val="auto"/>
                <w:spacing w:val="-6"/>
                <w:sz w:val="21"/>
                <w:szCs w:val="21"/>
                <w:lang w:eastAsia="zh-CN"/>
              </w:rPr>
              <w:t>月</w:t>
            </w:r>
            <w:r>
              <w:rPr>
                <w:rFonts w:hint="eastAsia" w:ascii="宋体" w:hAnsi="宋体" w:eastAsia="宋体" w:cs="Arial"/>
                <w:color w:val="auto"/>
                <w:spacing w:val="-6"/>
                <w:sz w:val="21"/>
                <w:szCs w:val="21"/>
                <w:lang w:val="en-US" w:eastAsia="zh-CN"/>
              </w:rPr>
              <w:t>23</w:t>
            </w:r>
            <w:r>
              <w:rPr>
                <w:rFonts w:hint="eastAsia" w:ascii="宋体" w:hAnsi="宋体" w:eastAsia="宋体" w:cs="Arial"/>
                <w:color w:val="auto"/>
                <w:spacing w:val="-6"/>
                <w:sz w:val="21"/>
                <w:szCs w:val="21"/>
                <w:lang w:eastAsia="zh-CN"/>
              </w:rPr>
              <w:t>日，</w:t>
            </w:r>
            <w:r>
              <w:rPr>
                <w:rFonts w:hint="eastAsia" w:ascii="宋体" w:hAnsi="宋体" w:cs="Arial"/>
                <w:color w:val="auto"/>
                <w:spacing w:val="-6"/>
                <w:sz w:val="21"/>
                <w:szCs w:val="21"/>
                <w:lang w:val="en-US" w:eastAsia="zh-CN"/>
              </w:rPr>
              <w:t>注册资金壹仟万元；建筑面积100平方米；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cs="Arial"/>
                <w:color w:val="auto"/>
                <w:spacing w:val="-6"/>
                <w:sz w:val="21"/>
                <w:szCs w:val="21"/>
                <w:lang w:val="en-US" w:eastAsia="zh-CN"/>
              </w:rPr>
              <w:t>地址</w:t>
            </w:r>
            <w:r>
              <w:rPr>
                <w:rFonts w:hint="eastAsia" w:ascii="宋体" w:hAnsi="宋体" w:cs="Arial"/>
                <w:color w:val="auto"/>
                <w:spacing w:val="-6"/>
                <w:sz w:val="21"/>
                <w:szCs w:val="21"/>
                <w:lang w:eastAsia="zh-CN"/>
              </w:rPr>
              <w:t>：</w:t>
            </w:r>
            <w:r>
              <w:rPr>
                <w:rFonts w:hint="eastAsia" w:asciiTheme="minorEastAsia" w:hAnsiTheme="minorEastAsia" w:eastAsiaTheme="minorEastAsia"/>
                <w:sz w:val="20"/>
              </w:rPr>
              <w:t>瑞昌市码头镇（原6214厂一分厂）</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highlight w:val="none"/>
                <w:lang w:val="en-US" w:eastAsia="zh-CN"/>
              </w:rPr>
            </w:pPr>
            <w:r>
              <w:rPr>
                <w:rFonts w:hint="eastAsia" w:ascii="宋体" w:hAnsi="宋体" w:cs="Arial"/>
                <w:color w:val="auto"/>
                <w:spacing w:val="-6"/>
                <w:sz w:val="21"/>
                <w:szCs w:val="21"/>
                <w:highlight w:val="none"/>
                <w:lang w:val="en-US" w:eastAsia="zh-CN"/>
              </w:rPr>
              <w:t>经营地址：</w:t>
            </w:r>
            <w:r>
              <w:rPr>
                <w:rFonts w:hint="eastAsia" w:asciiTheme="minorEastAsia" w:hAnsiTheme="minorEastAsia" w:eastAsiaTheme="minorEastAsia"/>
                <w:sz w:val="20"/>
                <w:highlight w:val="none"/>
              </w:rPr>
              <w:t>江西省瑞昌市码头镇（原6214厂一分厂）</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营业执照：统一社会信用代码91360481677995396B，有效期2008年09月23日—长期；</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eastAsia="zh-CN"/>
              </w:rPr>
              <w:t>经营范围</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金属船舶制造，船舶通风系统制作、安装，防腐保温工程，舾装件制造、安装，白铁钣金工程，空调机螺旋风管制造、安装，船舶内装工程（依法须经批准的项目，经相关部门批准后方可开展经营活动）</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sz w:val="20"/>
                <w:lang w:val="en-US" w:eastAsia="zh-CN"/>
              </w:rPr>
            </w:pPr>
            <w:r>
              <w:rPr>
                <w:rFonts w:hint="eastAsia" w:ascii="宋体" w:hAnsi="宋体" w:eastAsia="宋体" w:cs="Arial"/>
                <w:color w:val="auto"/>
                <w:spacing w:val="-6"/>
                <w:sz w:val="21"/>
                <w:szCs w:val="21"/>
                <w:highlight w:val="none"/>
                <w:lang w:val="en-US" w:eastAsia="zh-CN"/>
              </w:rPr>
              <w:t>经营范围覆盖了体系认证范围；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rFonts w:hint="default" w:eastAsia="宋体"/>
                <w:lang w:val="en-US" w:eastAsia="zh-CN"/>
              </w:rPr>
            </w:pPr>
            <w:r>
              <w:rPr>
                <w:rFonts w:hint="eastAsia"/>
                <w:sz w:val="20"/>
                <w:lang w:val="en-US" w:eastAsia="zh-CN"/>
              </w:rPr>
              <w:t>现场确认，审核范围不覆盖生产过程。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公司人员共</w:t>
            </w:r>
            <w:r>
              <w:rPr>
                <w:rFonts w:hint="eastAsia" w:ascii="宋体" w:hAnsi="宋体" w:cs="Arial"/>
                <w:color w:val="auto"/>
                <w:spacing w:val="-6"/>
                <w:sz w:val="21"/>
                <w:szCs w:val="21"/>
                <w:highlight w:val="none"/>
                <w:lang w:val="en-US" w:eastAsia="zh-CN"/>
              </w:rPr>
              <w:t>23</w:t>
            </w:r>
            <w:r>
              <w:rPr>
                <w:rFonts w:hint="eastAsia" w:ascii="宋体" w:hAnsi="宋体" w:eastAsia="宋体" w:cs="Arial"/>
                <w:color w:val="auto"/>
                <w:spacing w:val="-6"/>
                <w:sz w:val="21"/>
                <w:szCs w:val="21"/>
                <w:highlight w:val="none"/>
                <w:lang w:eastAsia="zh-CN"/>
              </w:rPr>
              <w:t>人，</w:t>
            </w:r>
            <w:r>
              <w:rPr>
                <w:rFonts w:hint="eastAsia" w:ascii="宋体" w:hAnsi="宋体" w:cs="Arial"/>
                <w:color w:val="auto"/>
                <w:spacing w:val="-6"/>
                <w:sz w:val="21"/>
                <w:szCs w:val="21"/>
                <w:highlight w:val="none"/>
                <w:lang w:val="en-US" w:eastAsia="zh-CN"/>
              </w:rPr>
              <w:t>建立有员工花名册</w:t>
            </w:r>
            <w:r>
              <w:rPr>
                <w:rFonts w:hint="eastAsia" w:ascii="宋体" w:hAnsi="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设备有磨光机、切割机、电焊机、手垃葫芦等。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公司组织机构设置为：管理层、行政部、</w:t>
            </w:r>
            <w:r>
              <w:rPr>
                <w:rFonts w:hint="eastAsia" w:ascii="宋体" w:hAnsi="宋体" w:eastAsia="宋体" w:cs="Arial"/>
                <w:color w:val="auto"/>
                <w:spacing w:val="-6"/>
                <w:sz w:val="21"/>
                <w:szCs w:val="21"/>
                <w:lang w:val="en-US" w:eastAsia="zh-CN"/>
              </w:rPr>
              <w:t>生产</w:t>
            </w:r>
            <w:r>
              <w:rPr>
                <w:rFonts w:hint="eastAsia" w:ascii="宋体" w:hAnsi="宋体" w:eastAsia="宋体" w:cs="Arial"/>
                <w:color w:val="auto"/>
                <w:spacing w:val="-6"/>
                <w:sz w:val="21"/>
                <w:szCs w:val="21"/>
                <w:lang w:eastAsia="zh-CN"/>
              </w:rPr>
              <w:t>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外部因素——国家政策变化、客户需求的变化、新技术的运用等；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内部因素——公司文化、内部管理机制的建立、人员稳定性、员工能力等；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公司每年根据从市场、客户、网络等搜集到的信息并结合公司自身业务运作情况进行分析，通过分析对这些内部和外部因素的相关信息进行监视和评审以确保其充分和适宜。</w:t>
            </w:r>
          </w:p>
        </w:tc>
        <w:tc>
          <w:tcPr>
            <w:tcW w:w="928"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61"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公司确定了与质量、环境、职业健康安全管理体系有关的相关方包括顾客/最终消费者、员工、政府、外部供方、竞争对手、社会、相邻单位；</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相关方期望或要求识别表中明确了相关方的需求，以及监视和测量、采取应对措施等要求；</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基本符合。</w:t>
            </w:r>
          </w:p>
        </w:tc>
        <w:tc>
          <w:tcPr>
            <w:tcW w:w="928"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6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val="en-US" w:eastAsia="zh-CN"/>
              </w:rPr>
              <w:t>存在的机遇：公司持续运营多年，积累了良好的信誉和相关方业务关系基础，人员的稳定性和能力，给公司的发展带来了机遇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val="en-US" w:eastAsia="zh-CN"/>
              </w:rPr>
              <w:t>存在的风险：行业进入门槛低导致竞争对手多、国家政策的变化导致更多的业务通过招投标进行面临的低价中标等</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编制有《风险和机遇的应对控制程序》，对组织内外的风险和机遇进行了策划。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重要环境因素：</w:t>
            </w:r>
            <w:r>
              <w:rPr>
                <w:rFonts w:hint="eastAsia"/>
                <w:color w:val="auto"/>
                <w:highlight w:val="none"/>
                <w:lang w:val="en-US" w:eastAsia="zh-CN"/>
              </w:rPr>
              <w:t>固废、潜在火灾、噪声排放、废气排放、粉尘排放</w:t>
            </w:r>
            <w:r>
              <w:rPr>
                <w:rFonts w:hint="eastAsia"/>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控制措施：一般固废集中收集外售至废品回收站；</w:t>
            </w:r>
            <w:r>
              <w:rPr>
                <w:rFonts w:hint="eastAsia"/>
                <w:lang w:val="en-US" w:eastAsia="zh-CN"/>
              </w:rPr>
              <w:t>节约资源；</w:t>
            </w:r>
            <w:r>
              <w:rPr>
                <w:rFonts w:hint="eastAsia"/>
                <w:lang w:eastAsia="zh-CN"/>
              </w:rPr>
              <w:t>提高安全意识，做好火灾预防措施</w:t>
            </w:r>
            <w:r>
              <w:rPr>
                <w:rFonts w:hint="eastAsia"/>
                <w:lang w:val="en-US" w:eastAsia="zh-CN"/>
              </w:rPr>
              <w:t>达标排放</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制定目标、指标和管理方案。</w:t>
            </w:r>
          </w:p>
          <w:p>
            <w:pPr>
              <w:adjustRightInd w:val="0"/>
              <w:snapToGrid w:val="0"/>
              <w:spacing w:line="360" w:lineRule="auto"/>
              <w:ind w:right="105" w:rightChars="50" w:firstLine="420" w:firstLineChars="200"/>
              <w:textAlignment w:val="baseline"/>
            </w:pPr>
            <w:r>
              <w:rPr>
                <w:rFonts w:hint="eastAsia"/>
              </w:rPr>
              <w:t>不可接受风险：机械伤害、人身伤害、触电、吸入性伤害；</w:t>
            </w:r>
          </w:p>
          <w:p>
            <w:pPr>
              <w:adjustRightInd w:val="0"/>
              <w:snapToGrid w:val="0"/>
              <w:spacing w:line="360" w:lineRule="auto"/>
              <w:ind w:right="105" w:rightChars="50" w:firstLine="420" w:firstLineChars="200"/>
              <w:textAlignment w:val="baseline"/>
            </w:pPr>
            <w:r>
              <w:rPr>
                <w:rFonts w:hint="eastAsia"/>
              </w:rPr>
              <w:t>控制措施：制定目标、指标和管理方案；</w:t>
            </w:r>
            <w:r>
              <w:rPr>
                <w:rFonts w:hint="eastAsia" w:ascii="宋体" w:hAnsi="宋体" w:cs="Arial"/>
                <w:spacing w:val="-6"/>
                <w:szCs w:val="21"/>
              </w:rPr>
              <w:t>配备消防器材、个体防护、日常检查、日常培训教育</w:t>
            </w:r>
            <w:r>
              <w:rPr>
                <w:rFonts w:hint="eastAsia" w:ascii="宋体" w:hAnsi="宋体" w:cs="Arial"/>
                <w:spacing w:val="-6"/>
                <w:szCs w:val="21"/>
                <w:lang w:val="en-US" w:eastAsia="zh-CN"/>
              </w:rPr>
              <w:t>，</w:t>
            </w:r>
            <w:r>
              <w:rPr>
                <w:rFonts w:hint="eastAsia"/>
              </w:rPr>
              <w:t>安全用电，做好火灾预防措施。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rPr>
              <w:t>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为应对上述的风险和机遇，公司依据IS9001：2015、IS14001：2015、IS45001：2018标准的要求并结合本公司的具体情况，采取PDCA的过程方法，建立、实施、保持并持续改进质量、环境、职业健康安全管理体系。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保持《管理手册》——A/0版，于2021年07月01日实施。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程序文件——A/0版，于2021年07月01日实施，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建立有外来文件清单，收集中华人民共和国产品质量法、中华人民共和国安全生产法、中华人民共和国环境保护法、中华人民共和国消防法、中华人民共和国民法典等；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建立环境、职业健康安全法律法规和其他要求清单，共97个；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本公司识别并确定了过程：</w:t>
            </w:r>
            <w:r>
              <w:rPr>
                <w:rFonts w:hint="eastAsia"/>
                <w:lang w:val="en-US" w:eastAsia="zh-CN"/>
              </w:rPr>
              <w:t>安装</w:t>
            </w:r>
            <w:r>
              <w:rPr>
                <w:rFonts w:hint="eastAsia"/>
                <w:lang w:eastAsia="zh-CN"/>
              </w:rPr>
              <w:t>过程、检验与交付过程、绩效分析、评价与改进等多个过程。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吊装—安装—焊接—打磨—报检—交付；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关键过程：安装、焊接；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需确认的过程：焊接。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经确认，公司无外包过程。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管理手册中</w:t>
            </w:r>
            <w:r>
              <w:rPr>
                <w:rFonts w:hint="eastAsia"/>
                <w:lang w:val="en-US" w:eastAsia="zh-CN"/>
              </w:rPr>
              <w:t>确定</w:t>
            </w:r>
            <w:r>
              <w:rPr>
                <w:rFonts w:hint="eastAsia"/>
                <w:lang w:eastAsia="zh-CN"/>
              </w:rPr>
              <w:t>的认证范围：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rPr>
            </w:pPr>
            <w:r>
              <w:rPr>
                <w:rFonts w:hint="eastAsia"/>
              </w:rPr>
              <w:t>Q：船舶通风管道、舾装件的安装（资质许可范围内除外）</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rPr>
            </w:pPr>
            <w:r>
              <w:rPr>
                <w:rFonts w:hint="eastAsia"/>
              </w:rPr>
              <w:t>E：船舶通风管道、舾装件的安装（资质许可范围内除外）所涉及场所的相关环境管理活动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sz w:val="20"/>
              </w:rPr>
            </w:pPr>
            <w:r>
              <w:rPr>
                <w:rFonts w:hint="eastAsia"/>
                <w:sz w:val="20"/>
                <w:lang w:val="en-US" w:eastAsia="zh-CN"/>
              </w:rPr>
              <w:t>O：</w:t>
            </w:r>
            <w:r>
              <w:rPr>
                <w:sz w:val="20"/>
              </w:rPr>
              <w:t>船舶通风管道、舾装件的安装（资质许可范围内除外）所涉及场所的相关职业健康安全管理活动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Q:8.3条款删减。</w:t>
            </w:r>
            <w:r>
              <w:rPr>
                <w:rFonts w:hint="eastAsia"/>
              </w:rPr>
              <w:t>公司船舶通风管道、舾装件的安装及其所涉及的相关管理活动均参照国家、行业标准及客户给出的产品参数要求、图纸、样板等技术资料、参考国家标准转换为公司内部生产工艺，组织产品的生产，不需要进行设计开发，其不适用的要求不影响组织确保其产品和服务合格的能力和责任，对增强顾客满意也不会产生影响</w:t>
            </w:r>
            <w:r>
              <w:rPr>
                <w:rFonts w:hint="eastAsia"/>
                <w:lang w:eastAsia="zh-CN"/>
              </w:rPr>
              <w:t>；</w:t>
            </w:r>
            <w:r>
              <w:rPr>
                <w:rFonts w:hint="eastAsia"/>
                <w:lang w:val="en-US" w:eastAsia="zh-CN"/>
              </w:rPr>
              <w:t>删减基本合理。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体系建立以来</w:t>
            </w:r>
            <w:r>
              <w:rPr>
                <w:rFonts w:hint="eastAsia" w:ascii="宋体" w:hAnsi="宋体" w:eastAsia="宋体" w:cs="Arial"/>
                <w:color w:val="auto"/>
                <w:spacing w:val="-6"/>
                <w:sz w:val="21"/>
                <w:szCs w:val="21"/>
                <w:highlight w:val="none"/>
                <w:lang w:val="en-US" w:eastAsia="zh-CN"/>
              </w:rPr>
              <w:t>未发生变更。</w:t>
            </w:r>
          </w:p>
        </w:tc>
        <w:tc>
          <w:tcPr>
            <w:tcW w:w="928"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质量/环境方针</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质量/环境目标及其实现的策划</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color w:val="000000"/>
                <w:szCs w:val="18"/>
                <w:u w:val="single"/>
              </w:rPr>
            </w:pPr>
            <w:r>
              <w:rPr>
                <w:rFonts w:hint="eastAsia"/>
                <w:color w:val="000000"/>
                <w:szCs w:val="18"/>
                <w:u w:val="single"/>
              </w:rPr>
              <w:t xml:space="preserve">用户至上、产品求精、持续改进、质量兴企；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color w:val="000000"/>
                <w:szCs w:val="18"/>
                <w:u w:val="single"/>
              </w:rPr>
            </w:pPr>
            <w:r>
              <w:rPr>
                <w:rFonts w:hint="eastAsia"/>
                <w:color w:val="000000"/>
                <w:szCs w:val="18"/>
                <w:u w:val="single"/>
              </w:rPr>
              <w:t>遵纪守法、预防危害、防治污染、持续发展。</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方针适宜于公司现状，在管理手册中明确，通过文件发放，是员工获知，适用时提供给相关方。</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安装调试、交付合格率100%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顾客满意度96分以上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火灾事故为0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因公责任重大伤亡率为0；职业病发病为0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固体废弃物分类处置率100%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制定有目标完成计划，策划了采取措施、需要的资源、负责人、完成时间、如何评价结果等内容；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szCs w:val="22"/>
                <w:highlight w:val="none"/>
                <w:lang w:val="en-US" w:eastAsia="zh-CN"/>
              </w:rPr>
              <w:t>抽见2022年1-9月目标分解考核表，考核目标均已全部完成。</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w:t>
            </w:r>
            <w:r>
              <w:rPr>
                <w:rFonts w:hint="eastAsia" w:ascii="宋体" w:hAnsi="宋体" w:cs="Arial"/>
                <w:color w:val="auto"/>
                <w:spacing w:val="-6"/>
                <w:sz w:val="21"/>
                <w:szCs w:val="21"/>
                <w:lang w:val="en-US" w:eastAsia="zh-CN"/>
              </w:rPr>
              <w:t>公司</w:t>
            </w:r>
            <w:r>
              <w:rPr>
                <w:rFonts w:hint="eastAsia" w:ascii="宋体" w:hAnsi="宋体" w:cs="Arial"/>
                <w:color w:val="auto"/>
                <w:spacing w:val="-6"/>
                <w:sz w:val="21"/>
                <w:szCs w:val="21"/>
              </w:rPr>
              <w:t>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公司组织机构设置为：管理层、行政部、</w:t>
            </w:r>
            <w:r>
              <w:rPr>
                <w:rFonts w:hint="eastAsia" w:ascii="宋体" w:hAnsi="宋体" w:eastAsia="宋体" w:cs="Arial"/>
                <w:color w:val="auto"/>
                <w:spacing w:val="-6"/>
                <w:sz w:val="21"/>
                <w:szCs w:val="21"/>
                <w:lang w:val="en-US" w:eastAsia="zh-CN"/>
              </w:rPr>
              <w:t>生产</w:t>
            </w:r>
            <w:r>
              <w:rPr>
                <w:rFonts w:hint="eastAsia" w:ascii="宋体" w:hAnsi="宋体" w:eastAsia="宋体" w:cs="Arial"/>
                <w:color w:val="auto"/>
                <w:spacing w:val="-6"/>
                <w:sz w:val="21"/>
                <w:szCs w:val="21"/>
              </w:rPr>
              <w:t>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注册资金壹仟万元；建筑面积100平方米；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公司人员共</w:t>
            </w:r>
            <w:r>
              <w:rPr>
                <w:rFonts w:hint="eastAsia" w:ascii="宋体" w:hAnsi="宋体" w:cs="Arial"/>
                <w:color w:val="auto"/>
                <w:spacing w:val="-6"/>
                <w:sz w:val="21"/>
                <w:szCs w:val="21"/>
                <w:highlight w:val="none"/>
                <w:lang w:val="en-US" w:eastAsia="zh-CN"/>
              </w:rPr>
              <w:t>23</w:t>
            </w:r>
            <w:r>
              <w:rPr>
                <w:rFonts w:hint="eastAsia" w:ascii="宋体" w:hAnsi="宋体" w:eastAsia="宋体" w:cs="Arial"/>
                <w:color w:val="auto"/>
                <w:spacing w:val="-6"/>
                <w:sz w:val="21"/>
                <w:szCs w:val="21"/>
                <w:highlight w:val="none"/>
                <w:lang w:eastAsia="zh-CN"/>
              </w:rPr>
              <w:t>人，</w:t>
            </w:r>
            <w:r>
              <w:rPr>
                <w:rFonts w:hint="eastAsia" w:ascii="宋体" w:hAnsi="宋体" w:cs="Arial"/>
                <w:color w:val="auto"/>
                <w:spacing w:val="-6"/>
                <w:sz w:val="21"/>
                <w:szCs w:val="21"/>
                <w:highlight w:val="none"/>
                <w:lang w:val="en-US" w:eastAsia="zh-CN"/>
              </w:rPr>
              <w:t>管理层、行政人员、作业人员等，满足要求</w:t>
            </w:r>
            <w:r>
              <w:rPr>
                <w:rFonts w:hint="eastAsia" w:ascii="宋体" w:hAnsi="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设备有磨光机、切割机、电焊机、手垃葫芦等。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环保安全设施设备主要有：消防设备、垃圾桶等；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确认公司目前人力资源、基础设施、财力、信息等资源均能保证。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公司能保证质量、环境工作的开展，确保相关资金及时投入。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信息交流</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bCs/>
                <w:spacing w:val="-6"/>
                <w:kern w:val="2"/>
                <w:sz w:val="21"/>
                <w:szCs w:val="21"/>
                <w:lang w:val="en-US" w:eastAsia="zh-CN" w:bidi="ar-SA"/>
              </w:rPr>
            </w:pPr>
            <w:r>
              <w:rPr>
                <w:rFonts w:hint="eastAsia" w:ascii="宋体" w:hAnsi="宋体" w:eastAsia="宋体" w:cs="Arial"/>
                <w:bCs/>
                <w:spacing w:val="-6"/>
                <w:kern w:val="2"/>
                <w:sz w:val="21"/>
                <w:szCs w:val="21"/>
                <w:lang w:val="en-US" w:eastAsia="zh-CN" w:bidi="ar-SA"/>
              </w:rPr>
              <w:t>QEO:7.4</w:t>
            </w:r>
          </w:p>
          <w:p>
            <w:pPr>
              <w:pStyle w:val="2"/>
              <w:rPr>
                <w:rFonts w:hint="default" w:eastAsia="宋体"/>
                <w:lang w:val="en-US" w:eastAsia="zh-CN"/>
              </w:rPr>
            </w:pPr>
            <w:r>
              <w:rPr>
                <w:rFonts w:hint="eastAsia" w:ascii="宋体" w:hAnsi="宋体" w:eastAsia="宋体" w:cs="Arial"/>
                <w:bCs/>
                <w:spacing w:val="-6"/>
                <w:kern w:val="2"/>
                <w:sz w:val="21"/>
                <w:szCs w:val="21"/>
                <w:lang w:val="en-US" w:eastAsia="zh-CN" w:bidi="ar-SA"/>
              </w:rPr>
              <w:t>O5.4</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组织在各部门之间建立了与体系有关的信息通渠沟道，借助于会议、电话、微信、网络、信息系统、口头交流等方式使全体员工达到沟通和理解。目前各部门协调一致，工作上的接口基本理顺。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总经理主持经营例会，分析公司的发展、市场情况和体系运行是否有效，管理目标完成情况，满足顾客要求和法规程度，改进建议等内部管理存在问题等。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公司经选举确定职业健康安全事务代表是段付杰，</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a）负责员工职业健康安全日常工作；</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c）接收、处理外部职业健康安全信息；</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d）交流各级职能部门间产生的职业健康安全信息；</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e）收集、处理和反馈员工所关心的职业健康安全问题；</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spacing w:val="-6"/>
                <w:szCs w:val="21"/>
              </w:rPr>
              <w:t>g）参与影响作业场所人员职业健康安全的任何变化的讨论。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2022年10月31日在公司会议室由</w:t>
            </w:r>
            <w:r>
              <w:rPr>
                <w:rFonts w:hint="eastAsia" w:ascii="宋体" w:hAnsi="宋体" w:cs="Arial"/>
                <w:color w:val="auto"/>
                <w:spacing w:val="-6"/>
                <w:sz w:val="21"/>
                <w:szCs w:val="21"/>
                <w:highlight w:val="none"/>
                <w:lang w:val="en-US" w:eastAsia="zh-CN"/>
              </w:rPr>
              <w:t>赵红伟</w:t>
            </w:r>
            <w:r>
              <w:rPr>
                <w:rFonts w:hint="eastAsia" w:ascii="宋体" w:hAnsi="宋体" w:eastAsia="宋体" w:cs="Arial"/>
                <w:color w:val="auto"/>
                <w:spacing w:val="-6"/>
                <w:sz w:val="21"/>
                <w:szCs w:val="21"/>
                <w:highlight w:val="none"/>
                <w:lang w:val="en-US" w:eastAsia="zh-CN"/>
              </w:rPr>
              <w:t>总经理主持召开管理评审会议；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管理评审结论：公司管理体系的建立和运行是充分的、适宜的、有效的。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改进措施要求：加强环境安全管理意识，定期进行环境安全运行检查。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保留“管理评审改进措施计划”。</w:t>
            </w:r>
            <w:bookmarkStart w:id="3" w:name="_GoBack"/>
            <w:bookmarkEnd w:id="3"/>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w:t>
            </w:r>
            <w:r>
              <w:rPr>
                <w:rFonts w:hint="eastAsia" w:ascii="宋体" w:hAnsi="宋体" w:cs="Arial"/>
                <w:color w:val="auto"/>
                <w:spacing w:val="-6"/>
                <w:sz w:val="21"/>
                <w:szCs w:val="21"/>
                <w:highlight w:val="none"/>
                <w:lang w:val="en-US" w:eastAsia="zh-CN"/>
              </w:rPr>
              <w:t>行政部</w:t>
            </w:r>
            <w:r>
              <w:rPr>
                <w:rFonts w:hint="eastAsia" w:ascii="宋体" w:hAnsi="宋体" w:eastAsia="宋体" w:cs="Arial"/>
                <w:color w:val="auto"/>
                <w:spacing w:val="-6"/>
                <w:sz w:val="21"/>
                <w:szCs w:val="21"/>
                <w:highlight w:val="none"/>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29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未发生重大质量</w:t>
            </w:r>
            <w:r>
              <w:rPr>
                <w:rFonts w:hint="eastAsia" w:ascii="宋体" w:hAnsi="宋体" w:cs="Arial"/>
                <w:spacing w:val="-6"/>
                <w:sz w:val="21"/>
                <w:szCs w:val="21"/>
                <w:lang w:val="en-US" w:eastAsia="zh-CN"/>
              </w:rPr>
              <w:t>、环境</w:t>
            </w:r>
            <w:r>
              <w:rPr>
                <w:rFonts w:hint="eastAsia" w:ascii="宋体" w:hAnsi="宋体" w:eastAsia="宋体" w:cs="Arial"/>
                <w:spacing w:val="-6"/>
                <w:sz w:val="21"/>
                <w:szCs w:val="21"/>
                <w:lang w:val="en-US" w:eastAsia="zh-CN"/>
              </w:rPr>
              <w:t>、安全事故</w:t>
            </w:r>
            <w:r>
              <w:rPr>
                <w:rFonts w:hint="eastAsia" w:ascii="宋体" w:hAnsi="宋体" w:cs="Arial"/>
                <w:spacing w:val="-6"/>
                <w:sz w:val="21"/>
                <w:szCs w:val="21"/>
                <w:lang w:val="en-US" w:eastAsia="zh-CN"/>
              </w:rPr>
              <w:t>，能遵</w:t>
            </w:r>
            <w:r>
              <w:rPr>
                <w:rFonts w:hint="eastAsia" w:ascii="宋体" w:hAnsi="宋体" w:eastAsia="宋体" w:cs="Arial"/>
                <w:spacing w:val="-6"/>
                <w:sz w:val="21"/>
                <w:szCs w:val="21"/>
                <w:lang w:val="en-US" w:eastAsia="zh-CN"/>
              </w:rPr>
              <w:t>守法律法规要求。</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上次</w:t>
            </w:r>
            <w:r>
              <w:rPr>
                <w:rFonts w:hint="eastAsia" w:ascii="宋体" w:hAnsi="宋体" w:cs="Arial"/>
                <w:spacing w:val="-6"/>
                <w:sz w:val="21"/>
                <w:szCs w:val="21"/>
              </w:rPr>
              <w:t>审核不符合项的验证</w:t>
            </w:r>
          </w:p>
        </w:tc>
        <w:tc>
          <w:tcPr>
            <w:tcW w:w="129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color w:val="auto"/>
                <w:spacing w:val="-6"/>
                <w:sz w:val="21"/>
                <w:szCs w:val="21"/>
                <w:highlight w:val="none"/>
                <w:lang w:val="en-US" w:eastAsia="zh-CN"/>
              </w:rPr>
              <w:t>上次</w:t>
            </w:r>
            <w:r>
              <w:rPr>
                <w:rFonts w:hint="eastAsia" w:ascii="宋体" w:hAnsi="宋体" w:eastAsia="宋体" w:cs="Arial"/>
                <w:color w:val="auto"/>
                <w:spacing w:val="-6"/>
                <w:sz w:val="21"/>
                <w:szCs w:val="21"/>
                <w:highlight w:val="none"/>
                <w:lang w:val="en-US" w:eastAsia="zh-CN"/>
              </w:rPr>
              <w:t>审核时未提出书面问题。</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cs="Arial"/>
                <w:spacing w:val="-6"/>
                <w:sz w:val="21"/>
                <w:szCs w:val="21"/>
                <w:lang w:val="en-US" w:eastAsia="zh-CN"/>
              </w:rPr>
            </w:pPr>
            <w:r>
              <w:rPr>
                <w:rFonts w:hint="eastAsia" w:ascii="宋体" w:hAnsi="宋体" w:cs="Arial"/>
                <w:sz w:val="21"/>
                <w:szCs w:val="21"/>
              </w:rPr>
              <w:t>认证证书、标志的使用情况</w:t>
            </w:r>
          </w:p>
        </w:tc>
        <w:tc>
          <w:tcPr>
            <w:tcW w:w="129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用于招投标</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default"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2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29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w:t>
            </w:r>
            <w:r>
              <w:rPr>
                <w:rFonts w:hint="eastAsia" w:ascii="宋体" w:hAnsi="宋体" w:eastAsia="宋体" w:cs="Arial"/>
                <w:spacing w:val="-6"/>
                <w:sz w:val="21"/>
                <w:szCs w:val="21"/>
                <w:highlight w:val="none"/>
                <w:lang w:val="en-US" w:eastAsia="zh-CN"/>
              </w:rPr>
              <w:t>以来，未发生相关方的投诉</w:t>
            </w:r>
            <w:r>
              <w:rPr>
                <w:rFonts w:hint="eastAsia" w:ascii="宋体" w:hAnsi="宋体" w:cs="Arial"/>
                <w:spacing w:val="-6"/>
                <w:sz w:val="21"/>
                <w:szCs w:val="21"/>
                <w:highlight w:val="none"/>
                <w:lang w:val="en-US" w:eastAsia="zh-CN"/>
              </w:rPr>
              <w:t>；</w:t>
            </w:r>
            <w:r>
              <w:rPr>
                <w:rFonts w:hint="eastAsia" w:ascii="宋体" w:hAnsi="宋体" w:eastAsia="宋体" w:cs="Arial"/>
                <w:spacing w:val="-6"/>
                <w:sz w:val="21"/>
                <w:szCs w:val="21"/>
                <w:highlight w:val="none"/>
                <w:lang w:val="en-US" w:eastAsia="zh-CN"/>
              </w:rPr>
              <w:t>暂时没有国家/地方抽查情况</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Arial"/>
                <w:spacing w:val="-6"/>
                <w:kern w:val="2"/>
                <w:sz w:val="21"/>
                <w:szCs w:val="21"/>
                <w:lang w:val="en-US" w:eastAsia="zh-CN" w:bidi="ar-SA"/>
              </w:rPr>
            </w:pPr>
            <w:r>
              <w:rPr>
                <w:rFonts w:hint="eastAsia"/>
                <w:highlight w:val="none"/>
                <w:lang w:val="en-US" w:eastAsia="zh-CN"/>
              </w:rPr>
              <w:t>受到的</w:t>
            </w:r>
            <w:r>
              <w:rPr>
                <w:rFonts w:hint="eastAsia" w:ascii="宋体" w:hAnsi="宋体" w:eastAsia="宋体" w:cs="Arial"/>
                <w:spacing w:val="-6"/>
                <w:sz w:val="21"/>
                <w:szCs w:val="21"/>
                <w:highlight w:val="none"/>
                <w:lang w:val="en-US" w:eastAsia="zh-CN"/>
              </w:rPr>
              <w:t>相关行政主管部门</w:t>
            </w:r>
            <w:r>
              <w:rPr>
                <w:rFonts w:hint="eastAsia" w:ascii="宋体" w:hAnsi="宋体" w:cs="Arial"/>
                <w:spacing w:val="-6"/>
                <w:sz w:val="21"/>
                <w:szCs w:val="21"/>
                <w:highlight w:val="none"/>
                <w:lang w:val="en-US" w:eastAsia="zh-CN"/>
              </w:rPr>
              <w:t>、船厂</w:t>
            </w:r>
            <w:r>
              <w:rPr>
                <w:rFonts w:hint="eastAsia" w:ascii="宋体" w:hAnsi="宋体" w:eastAsia="宋体" w:cs="Arial"/>
                <w:spacing w:val="-6"/>
                <w:sz w:val="21"/>
                <w:szCs w:val="21"/>
                <w:highlight w:val="none"/>
                <w:lang w:val="en-US" w:eastAsia="zh-CN"/>
              </w:rPr>
              <w:t>的检查</w:t>
            </w:r>
            <w:r>
              <w:rPr>
                <w:rFonts w:hint="eastAsia" w:ascii="宋体" w:hAnsi="宋体" w:cs="Arial"/>
                <w:spacing w:val="-6"/>
                <w:sz w:val="21"/>
                <w:szCs w:val="21"/>
                <w:highlight w:val="none"/>
                <w:lang w:val="en-US" w:eastAsia="zh-CN"/>
              </w:rPr>
              <w:t>处理</w:t>
            </w:r>
            <w:r>
              <w:rPr>
                <w:rFonts w:hint="eastAsia" w:ascii="宋体" w:hAnsi="宋体" w:eastAsia="宋体" w:cs="Arial"/>
                <w:spacing w:val="-6"/>
                <w:sz w:val="21"/>
                <w:szCs w:val="21"/>
                <w:highlight w:val="none"/>
                <w:lang w:val="en-US" w:eastAsia="zh-CN"/>
              </w:rPr>
              <w:t>，</w:t>
            </w:r>
            <w:r>
              <w:rPr>
                <w:rFonts w:hint="eastAsia" w:ascii="宋体" w:hAnsi="宋体" w:cs="Arial"/>
                <w:spacing w:val="-6"/>
                <w:sz w:val="21"/>
                <w:szCs w:val="21"/>
                <w:highlight w:val="none"/>
                <w:lang w:val="en-US" w:eastAsia="zh-CN"/>
              </w:rPr>
              <w:t>能及时进行整改</w:t>
            </w:r>
            <w:r>
              <w:rPr>
                <w:rFonts w:hint="eastAsia" w:ascii="宋体" w:hAnsi="宋体" w:eastAsia="宋体" w:cs="Arial"/>
                <w:spacing w:val="-6"/>
                <w:sz w:val="21"/>
                <w:szCs w:val="21"/>
                <w:highlight w:val="none"/>
                <w:lang w:val="en-US" w:eastAsia="zh-CN"/>
              </w:rPr>
              <w:t>。</w:t>
            </w:r>
          </w:p>
        </w:tc>
        <w:tc>
          <w:tcPr>
            <w:tcW w:w="0" w:type="auto"/>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5B84852"/>
    <w:rsid w:val="0C696030"/>
    <w:rsid w:val="5F245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4260</Words>
  <Characters>4503</Characters>
  <Lines>1</Lines>
  <Paragraphs>1</Paragraphs>
  <TotalTime>4</TotalTime>
  <ScaleCrop>false</ScaleCrop>
  <LinksUpToDate>false</LinksUpToDate>
  <CharactersWithSpaces>4532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2022-12-27T03:56:55Z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8B2ED857DC044A94BE47709BDA39B404</vt:lpwstr>
  </property>
  <property fmtid="{D5CDD505-2E9C-101B-9397-08002B2CF9AE}" pid="3" name="KSOProductBuildVer">
    <vt:lpwstr>2052-11.1.0.12980</vt:lpwstr>
  </property>
</Properties>
</file>