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830"/>
        <w:gridCol w:w="11919"/>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56" w:type="pct"/>
            <w:vMerge w:val="restart"/>
            <w:noWrap w:val="0"/>
            <w:vAlign w:val="center"/>
          </w:tcPr>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过程与活动、抽样计划</w:t>
            </w:r>
          </w:p>
        </w:tc>
        <w:tc>
          <w:tcPr>
            <w:tcW w:w="278" w:type="pct"/>
            <w:vMerge w:val="restart"/>
            <w:noWrap w:val="0"/>
            <w:vAlign w:val="center"/>
          </w:tcPr>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涉及</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条款</w:t>
            </w:r>
          </w:p>
        </w:tc>
        <w:tc>
          <w:tcPr>
            <w:tcW w:w="4006" w:type="pct"/>
            <w:noWrap w:val="0"/>
            <w:vAlign w:val="center"/>
          </w:tcPr>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受审核部门：管理层     主管领导：总经理/管代  王霞/</w:t>
            </w:r>
            <w:r>
              <w:rPr>
                <w:rFonts w:hint="eastAsia" w:ascii="华文楷体" w:hAnsi="华文楷体" w:eastAsia="华文楷体" w:cs="华文楷体"/>
                <w:color w:val="auto"/>
                <w:kern w:val="0"/>
                <w:sz w:val="21"/>
                <w:szCs w:val="21"/>
                <w:lang w:val="en-US" w:eastAsia="zh-CN" w:bidi="ar"/>
              </w:rPr>
              <w:t>许丽娜</w:t>
            </w: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val="en-US" w:eastAsia="zh-CN"/>
              </w:rPr>
              <w:t xml:space="preserve">安全事务代表：周萍   </w:t>
            </w:r>
            <w:r>
              <w:rPr>
                <w:rFonts w:hint="eastAsia" w:ascii="华文楷体" w:hAnsi="华文楷体" w:eastAsia="华文楷体" w:cs="华文楷体"/>
                <w:color w:val="auto"/>
                <w:sz w:val="21"/>
                <w:szCs w:val="21"/>
              </w:rPr>
              <w:t xml:space="preserve">  陪同人员：</w:t>
            </w:r>
            <w:r>
              <w:rPr>
                <w:rFonts w:hint="eastAsia" w:ascii="华文楷体" w:hAnsi="华文楷体" w:eastAsia="华文楷体" w:cs="华文楷体"/>
                <w:color w:val="auto"/>
                <w:kern w:val="0"/>
                <w:sz w:val="21"/>
                <w:szCs w:val="21"/>
                <w:lang w:val="en-US" w:eastAsia="zh-CN" w:bidi="ar"/>
              </w:rPr>
              <w:t>廉玥</w:t>
            </w:r>
          </w:p>
        </w:tc>
        <w:tc>
          <w:tcPr>
            <w:tcW w:w="258" w:type="pct"/>
            <w:vMerge w:val="restart"/>
            <w:noWrap w:val="0"/>
            <w:vAlign w:val="center"/>
          </w:tcPr>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6" w:type="pct"/>
            <w:vMerge w:val="continue"/>
            <w:noWrap w:val="0"/>
            <w:vAlign w:val="center"/>
          </w:tcPr>
          <w:p>
            <w:pPr>
              <w:spacing w:line="320" w:lineRule="exact"/>
              <w:rPr>
                <w:rFonts w:hint="eastAsia" w:ascii="华文楷体" w:hAnsi="华文楷体" w:eastAsia="华文楷体" w:cs="华文楷体"/>
                <w:color w:val="auto"/>
                <w:sz w:val="21"/>
                <w:szCs w:val="21"/>
              </w:rPr>
            </w:pPr>
          </w:p>
        </w:tc>
        <w:tc>
          <w:tcPr>
            <w:tcW w:w="278" w:type="pct"/>
            <w:vMerge w:val="continue"/>
            <w:noWrap w:val="0"/>
            <w:vAlign w:val="center"/>
          </w:tcPr>
          <w:p>
            <w:pPr>
              <w:spacing w:line="320" w:lineRule="exact"/>
              <w:rPr>
                <w:rFonts w:hint="eastAsia" w:ascii="华文楷体" w:hAnsi="华文楷体" w:eastAsia="华文楷体" w:cs="华文楷体"/>
                <w:color w:val="auto"/>
                <w:sz w:val="21"/>
                <w:szCs w:val="21"/>
              </w:rPr>
            </w:pPr>
          </w:p>
        </w:tc>
        <w:tc>
          <w:tcPr>
            <w:tcW w:w="4006" w:type="pct"/>
            <w:noWrap w:val="0"/>
            <w:vAlign w:val="center"/>
          </w:tcPr>
          <w:p>
            <w:pPr>
              <w:spacing w:line="320" w:lineRule="exact"/>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审核员：</w:t>
            </w:r>
            <w:r>
              <w:rPr>
                <w:rFonts w:hint="eastAsia" w:ascii="华文楷体" w:hAnsi="华文楷体" w:eastAsia="华文楷体" w:cs="华文楷体"/>
                <w:color w:val="auto"/>
                <w:sz w:val="21"/>
                <w:szCs w:val="21"/>
                <w:lang w:val="en-US" w:eastAsia="zh-CN"/>
              </w:rPr>
              <w:t>李凤仪</w:t>
            </w: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val="en-US" w:eastAsia="zh-CN"/>
              </w:rPr>
              <w:t xml:space="preserve">  </w:t>
            </w:r>
            <w:r>
              <w:rPr>
                <w:rFonts w:hint="eastAsia" w:ascii="华文楷体" w:hAnsi="华文楷体" w:eastAsia="华文楷体" w:cs="华文楷体"/>
                <w:color w:val="auto"/>
                <w:sz w:val="21"/>
                <w:szCs w:val="21"/>
              </w:rPr>
              <w:t xml:space="preserve"> 审核时间：202</w:t>
            </w:r>
            <w:r>
              <w:rPr>
                <w:rFonts w:hint="eastAsia" w:ascii="华文楷体" w:hAnsi="华文楷体" w:eastAsia="华文楷体" w:cs="华文楷体"/>
                <w:color w:val="auto"/>
                <w:sz w:val="21"/>
                <w:szCs w:val="21"/>
                <w:lang w:val="en-US" w:eastAsia="zh-CN"/>
              </w:rPr>
              <w:t>2.12.6    审核方式;微信/视频</w:t>
            </w:r>
          </w:p>
        </w:tc>
        <w:tc>
          <w:tcPr>
            <w:tcW w:w="258" w:type="pct"/>
            <w:vMerge w:val="continue"/>
            <w:noWrap w:val="0"/>
            <w:vAlign w:val="top"/>
          </w:tcPr>
          <w:p>
            <w:pPr>
              <w:spacing w:line="320" w:lineRule="exact"/>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56" w:type="pct"/>
            <w:vMerge w:val="continue"/>
            <w:noWrap w:val="0"/>
            <w:vAlign w:val="center"/>
          </w:tcPr>
          <w:p>
            <w:pPr>
              <w:spacing w:line="320" w:lineRule="exact"/>
              <w:rPr>
                <w:rFonts w:hint="eastAsia" w:ascii="华文楷体" w:hAnsi="华文楷体" w:eastAsia="华文楷体" w:cs="华文楷体"/>
                <w:color w:val="auto"/>
                <w:sz w:val="21"/>
                <w:szCs w:val="21"/>
              </w:rPr>
            </w:pPr>
          </w:p>
        </w:tc>
        <w:tc>
          <w:tcPr>
            <w:tcW w:w="278" w:type="pct"/>
            <w:vMerge w:val="continue"/>
            <w:noWrap w:val="0"/>
            <w:vAlign w:val="center"/>
          </w:tcPr>
          <w:p>
            <w:pPr>
              <w:spacing w:line="320" w:lineRule="exact"/>
              <w:rPr>
                <w:rFonts w:hint="eastAsia" w:ascii="华文楷体" w:hAnsi="华文楷体" w:eastAsia="华文楷体" w:cs="华文楷体"/>
                <w:color w:val="auto"/>
                <w:sz w:val="21"/>
                <w:szCs w:val="21"/>
              </w:rPr>
            </w:pPr>
          </w:p>
        </w:tc>
        <w:tc>
          <w:tcPr>
            <w:tcW w:w="4006" w:type="pct"/>
            <w:noWrap w:val="0"/>
            <w:vAlign w:val="center"/>
          </w:tcPr>
          <w:p>
            <w:pPr>
              <w:spacing w:line="30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color w:val="auto"/>
                <w:sz w:val="21"/>
                <w:szCs w:val="21"/>
              </w:rPr>
              <w:t>审核条款</w:t>
            </w:r>
            <w:r>
              <w:rPr>
                <w:rFonts w:hint="eastAsia" w:ascii="华文楷体" w:hAnsi="华文楷体" w:eastAsia="华文楷体" w:cs="华文楷体"/>
                <w:b w:val="0"/>
                <w:bCs w:val="0"/>
                <w:color w:val="auto"/>
                <w:sz w:val="21"/>
                <w:szCs w:val="21"/>
              </w:rPr>
              <w:t>Q/(J)：Q:4.1/4.2/4.3/4.4/（3.1、3.3）5.1（4.3）/5.2（3.2）/5.3（4.3）/6.1（12.3-5）/6.2（3.2）/6.3（3.4）/7.1.1(3.4)/9.1.1（3.4.2、11.1.1、11.2、12.1、12.2.1-2）/9.3（12.4）/10.1(12.1)/10.3（12.5）</w:t>
            </w:r>
          </w:p>
          <w:p>
            <w:pPr>
              <w:spacing w:line="30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E</w:t>
            </w:r>
            <w:r>
              <w:rPr>
                <w:rFonts w:hint="eastAsia" w:ascii="华文楷体" w:hAnsi="华文楷体" w:eastAsia="华文楷体" w:cs="华文楷体"/>
                <w:b w:val="0"/>
                <w:bCs w:val="0"/>
                <w:color w:val="auto"/>
                <w:sz w:val="21"/>
                <w:szCs w:val="21"/>
                <w:lang w:val="en-US" w:eastAsia="zh-CN"/>
              </w:rPr>
              <w:t>O：</w:t>
            </w:r>
            <w:r>
              <w:rPr>
                <w:rFonts w:hint="eastAsia" w:ascii="华文楷体" w:hAnsi="华文楷体" w:eastAsia="华文楷体" w:cs="华文楷体"/>
                <w:b w:val="0"/>
                <w:bCs w:val="0"/>
                <w:color w:val="auto"/>
                <w:sz w:val="21"/>
                <w:szCs w:val="21"/>
              </w:rPr>
              <w:t>4.1/4.2/4.3/4.4/5.1/5.2/5.3/</w:t>
            </w:r>
          </w:p>
          <w:p>
            <w:pPr>
              <w:spacing w:line="30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6.1.1/6.1.4/6.2/7.1/9.1.1/9.3/10.1/10.3 </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b w:val="0"/>
                <w:bCs w:val="0"/>
                <w:color w:val="auto"/>
                <w:sz w:val="21"/>
                <w:szCs w:val="21"/>
              </w:rPr>
              <w:t>资质验证、安全事故、顾客投诉、</w:t>
            </w:r>
            <w:r>
              <w:rPr>
                <w:rFonts w:hint="eastAsia" w:ascii="华文楷体" w:hAnsi="华文楷体" w:eastAsia="华文楷体" w:cs="华文楷体"/>
                <w:b w:val="0"/>
                <w:bCs w:val="0"/>
                <w:color w:val="auto"/>
                <w:sz w:val="21"/>
                <w:szCs w:val="21"/>
                <w:lang w:val="en-US" w:eastAsia="zh-CN"/>
              </w:rPr>
              <w:t>QEO</w:t>
            </w:r>
            <w:r>
              <w:rPr>
                <w:rFonts w:hint="eastAsia" w:ascii="华文楷体" w:hAnsi="华文楷体" w:eastAsia="华文楷体" w:cs="华文楷体"/>
                <w:b w:val="0"/>
                <w:bCs w:val="0"/>
                <w:color w:val="auto"/>
                <w:sz w:val="21"/>
                <w:szCs w:val="21"/>
              </w:rPr>
              <w:t>抽查、遵纪守法情况、认证证书、标志的使用情况</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lang w:val="en-US" w:eastAsia="zh-CN"/>
              </w:rPr>
              <w:t>上一年度</w:t>
            </w:r>
            <w:r>
              <w:rPr>
                <w:rFonts w:hint="eastAsia" w:ascii="华文楷体" w:hAnsi="华文楷体" w:eastAsia="华文楷体" w:cs="华文楷体"/>
                <w:b w:val="0"/>
                <w:bCs w:val="0"/>
                <w:color w:val="auto"/>
                <w:sz w:val="21"/>
                <w:szCs w:val="21"/>
              </w:rPr>
              <w:t>不符合项整改</w:t>
            </w:r>
            <w:r>
              <w:rPr>
                <w:rFonts w:hint="eastAsia" w:ascii="华文楷体" w:hAnsi="华文楷体" w:eastAsia="华文楷体" w:cs="华文楷体"/>
                <w:b w:val="0"/>
                <w:bCs w:val="0"/>
                <w:color w:val="auto"/>
                <w:sz w:val="21"/>
                <w:szCs w:val="21"/>
                <w:lang w:val="en-US" w:eastAsia="zh-CN"/>
              </w:rPr>
              <w:t>等</w:t>
            </w:r>
          </w:p>
        </w:tc>
        <w:tc>
          <w:tcPr>
            <w:tcW w:w="258" w:type="pct"/>
            <w:vMerge w:val="continue"/>
            <w:noWrap w:val="0"/>
            <w:vAlign w:val="top"/>
          </w:tcPr>
          <w:p>
            <w:pPr>
              <w:spacing w:line="320" w:lineRule="exact"/>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56"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理解组织及其环境</w:t>
            </w:r>
          </w:p>
        </w:tc>
        <w:tc>
          <w:tcPr>
            <w:tcW w:w="278" w:type="pct"/>
            <w:noWrap w:val="0"/>
            <w:vAlign w:val="center"/>
          </w:tcPr>
          <w:p>
            <w:pPr>
              <w:adjustRightInd w:val="0"/>
              <w:snapToGrid w:val="0"/>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w:t>
            </w:r>
            <w:r>
              <w:rPr>
                <w:rFonts w:hint="eastAsia" w:ascii="华文楷体" w:hAnsi="华文楷体" w:eastAsia="华文楷体" w:cs="华文楷体"/>
                <w:color w:val="auto"/>
                <w:sz w:val="21"/>
                <w:szCs w:val="21"/>
                <w:lang w:val="en-US" w:eastAsia="zh-CN"/>
              </w:rPr>
              <w:t>EO</w:t>
            </w:r>
            <w:r>
              <w:rPr>
                <w:rFonts w:hint="eastAsia" w:ascii="华文楷体" w:hAnsi="华文楷体" w:eastAsia="华文楷体" w:cs="华文楷体"/>
                <w:color w:val="auto"/>
                <w:sz w:val="21"/>
                <w:szCs w:val="21"/>
              </w:rPr>
              <w:t>4.1</w:t>
            </w:r>
          </w:p>
          <w:p>
            <w:pPr>
              <w:adjustRightInd w:val="0"/>
              <w:snapToGrid w:val="0"/>
              <w:spacing w:line="360" w:lineRule="auto"/>
              <w:rPr>
                <w:rFonts w:hint="eastAsia" w:ascii="华文楷体" w:hAnsi="华文楷体" w:eastAsia="华文楷体" w:cs="华文楷体"/>
                <w:color w:val="auto"/>
                <w:sz w:val="21"/>
                <w:szCs w:val="21"/>
              </w:rPr>
            </w:pP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J:3.3/</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3.4</w:t>
            </w:r>
          </w:p>
        </w:tc>
        <w:tc>
          <w:tcPr>
            <w:tcW w:w="4006" w:type="pct"/>
            <w:noWrap w:val="0"/>
            <w:vAlign w:val="center"/>
          </w:tcPr>
          <w:p>
            <w:pPr>
              <w:spacing w:line="360" w:lineRule="auto"/>
              <w:ind w:firstLine="420" w:firstLineChars="200"/>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zh-CN"/>
              </w:rPr>
              <w:t>基本情况：</w:t>
            </w:r>
            <w:r>
              <w:rPr>
                <w:rFonts w:hint="eastAsia" w:ascii="华文楷体" w:hAnsi="华文楷体" w:eastAsia="华文楷体" w:cs="华文楷体"/>
                <w:color w:val="auto"/>
                <w:sz w:val="21"/>
                <w:szCs w:val="21"/>
              </w:rPr>
              <w:t>江西盛通网络有限公司，成立于2006年3月31日，注册资金2100万元，注册地址：</w:t>
            </w:r>
            <w:r>
              <w:rPr>
                <w:rFonts w:hint="eastAsia" w:ascii="华文楷体" w:hAnsi="华文楷体" w:eastAsia="华文楷体" w:cs="华文楷体"/>
                <w:color w:val="auto"/>
                <w:sz w:val="21"/>
                <w:szCs w:val="21"/>
                <w:lang w:eastAsia="zh-CN"/>
              </w:rPr>
              <w:t>江西省南昌市青山湖区京东大道1388号京东镇人民政府京东大楼7楼</w:t>
            </w:r>
            <w:r>
              <w:rPr>
                <w:rFonts w:hint="eastAsia" w:ascii="华文楷体" w:hAnsi="华文楷体" w:eastAsia="华文楷体" w:cs="华文楷体"/>
                <w:color w:val="auto"/>
                <w:sz w:val="21"/>
                <w:szCs w:val="21"/>
              </w:rPr>
              <w:t>，主要从事资质等级范围内的建筑智能化工程的施工等业务， 拥有设备和仪器：网线钳、测线仪、万用表、光纤熔接机、螺丝刀套装、压线工具、光纤剥离钳、线缆剪、光纤剪刀、剥线钳、充电起子、手电钻、梯子、管子钳、角磨机、切割机、卷尺、光时域反射仪、网络测试仪、安全帽、扳手等</w:t>
            </w:r>
            <w:r>
              <w:rPr>
                <w:rFonts w:hint="eastAsia" w:ascii="华文楷体" w:hAnsi="华文楷体" w:eastAsia="华文楷体" w:cs="华文楷体"/>
                <w:color w:val="auto"/>
                <w:sz w:val="21"/>
                <w:szCs w:val="21"/>
                <w:lang w:val="zh-CN"/>
              </w:rPr>
              <w:t>。</w:t>
            </w:r>
          </w:p>
          <w:p>
            <w:pPr>
              <w:spacing w:line="360" w:lineRule="auto"/>
              <w:rPr>
                <w:rFonts w:hint="eastAsia" w:ascii="华文楷体" w:hAnsi="华文楷体" w:eastAsia="华文楷体" w:cs="华文楷体"/>
                <w:color w:val="auto"/>
                <w:sz w:val="21"/>
                <w:szCs w:val="21"/>
                <w:lang w:val="zh-CN"/>
              </w:rPr>
            </w:pP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ascii="华文楷体" w:hAnsi="华文楷体" w:eastAsia="华文楷体" w:cs="华文楷体"/>
                <w:color w:val="auto"/>
                <w:sz w:val="21"/>
                <w:szCs w:val="21"/>
                <w:lang w:val="en-GB"/>
              </w:rPr>
              <w:t>通过制定管理制度、作业文件及相关措施，对活动的主要环节实施了有效的控制。</w:t>
            </w:r>
            <w:r>
              <w:rPr>
                <w:rFonts w:hint="eastAsia" w:ascii="华文楷体" w:hAnsi="华文楷体" w:eastAsia="华文楷体" w:cs="华文楷体"/>
                <w:color w:val="auto"/>
                <w:sz w:val="21"/>
                <w:szCs w:val="21"/>
              </w:rPr>
              <w:t>各种制度及规定基本建立。管理手册中对组织机构和职责进行了策划，形成了文件。组织机构的设置，职责、权限的分配基本明确，基本适宜，人力资源基本满足需求。</w:t>
            </w:r>
          </w:p>
          <w:p>
            <w:pPr>
              <w:spacing w:line="360" w:lineRule="auto"/>
              <w:rPr>
                <w:rFonts w:hint="eastAsia" w:ascii="华文楷体" w:hAnsi="华文楷体" w:eastAsia="华文楷体" w:cs="华文楷体"/>
                <w:color w:val="auto"/>
                <w:sz w:val="21"/>
                <w:szCs w:val="21"/>
              </w:rPr>
            </w:pPr>
          </w:p>
          <w:p>
            <w:pPr>
              <w:spacing w:line="360" w:lineRule="auto"/>
              <w:ind w:firstLine="420" w:firstLineChars="200"/>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公司高层通过及时了解国家相关政策、与客户/同行业/上下游产业的交流等方式认识公司的所处的环境，并制定经营思路。</w:t>
            </w:r>
          </w:p>
          <w:p>
            <w:pPr>
              <w:spacing w:line="360" w:lineRule="auto"/>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总经理介绍目前对公司影响较大的是</w:t>
            </w:r>
            <w:r>
              <w:rPr>
                <w:rFonts w:hint="eastAsia" w:ascii="华文楷体" w:hAnsi="华文楷体" w:eastAsia="华文楷体" w:cs="华文楷体"/>
                <w:color w:val="auto"/>
                <w:sz w:val="21"/>
                <w:szCs w:val="21"/>
              </w:rPr>
              <w:t>新冠肺炎疫情</w:t>
            </w:r>
            <w:r>
              <w:rPr>
                <w:rFonts w:hint="eastAsia" w:ascii="华文楷体" w:hAnsi="华文楷体" w:eastAsia="华文楷体" w:cs="华文楷体"/>
                <w:color w:val="auto"/>
                <w:sz w:val="21"/>
                <w:szCs w:val="21"/>
                <w:lang w:val="en-US" w:eastAsia="zh-CN"/>
              </w:rPr>
              <w:t>以来</w:t>
            </w:r>
            <w:r>
              <w:rPr>
                <w:rFonts w:hint="eastAsia" w:ascii="华文楷体" w:hAnsi="华文楷体" w:eastAsia="华文楷体" w:cs="华文楷体"/>
                <w:color w:val="auto"/>
                <w:sz w:val="21"/>
                <w:szCs w:val="21"/>
              </w:rPr>
              <w:t>在全国乃至全球的流行各行各业都受到很大的冲击，考虑到疫情影响的今年</w:t>
            </w:r>
            <w:r>
              <w:rPr>
                <w:rFonts w:hint="eastAsia" w:ascii="华文楷体" w:hAnsi="华文楷体" w:eastAsia="华文楷体" w:cs="华文楷体"/>
                <w:color w:val="auto"/>
                <w:sz w:val="21"/>
                <w:szCs w:val="21"/>
                <w:lang w:val="zh-CN"/>
              </w:rPr>
              <w:t>国内经济政策环境，可能会工程回款比较慢；同行竞争加剧；原材料、人力成本增加，行业利润会的少、环保监察力度增大在环境和安全方面投入增大等。</w:t>
            </w:r>
          </w:p>
          <w:p>
            <w:pPr>
              <w:spacing w:line="360" w:lineRule="auto"/>
              <w:ind w:firstLine="420" w:firstLineChars="200"/>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 xml:space="preserve">另外施工特点为点多、面散，环境、安全问题突出，也是公司施工的风险点，因此全体员工秉承：诚实守信、环境保护、安全第一的管理理念。   </w:t>
            </w:r>
          </w:p>
          <w:p>
            <w:pPr>
              <w:spacing w:line="360" w:lineRule="auto"/>
              <w:ind w:firstLine="420" w:firstLineChars="200"/>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应对措施，努力将现有的工程打造成样板工程，提升口碑，以稳定并扩大</w:t>
            </w:r>
            <w:r>
              <w:rPr>
                <w:rFonts w:hint="eastAsia" w:ascii="华文楷体" w:hAnsi="华文楷体" w:eastAsia="华文楷体" w:cs="华文楷体"/>
                <w:color w:val="auto"/>
                <w:sz w:val="21"/>
                <w:szCs w:val="21"/>
              </w:rPr>
              <w:t>相关</w:t>
            </w:r>
            <w:r>
              <w:rPr>
                <w:rFonts w:hint="eastAsia" w:ascii="华文楷体" w:hAnsi="华文楷体" w:eastAsia="华文楷体" w:cs="华文楷体"/>
                <w:color w:val="auto"/>
                <w:sz w:val="21"/>
                <w:szCs w:val="21"/>
                <w:lang w:val="zh-CN"/>
              </w:rPr>
              <w:t>业务，通过培训增强公司标书的编写能力，增加在投标过程中的中标概率,积极组织公司员工进行专业培训，提升员工职业技能，提高工作效率。</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lang w:val="en-US" w:eastAsia="zh-CN"/>
              </w:rPr>
            </w:pPr>
          </w:p>
          <w:p>
            <w:pPr>
              <w:spacing w:line="360" w:lineRule="auto"/>
              <w:rPr>
                <w:rFonts w:hint="eastAsia" w:ascii="华文楷体" w:hAnsi="华文楷体" w:eastAsia="华文楷体" w:cs="华文楷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56"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理解相关方需求和期望</w:t>
            </w:r>
          </w:p>
        </w:tc>
        <w:tc>
          <w:tcPr>
            <w:tcW w:w="278"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QEO</w:t>
            </w:r>
            <w:r>
              <w:rPr>
                <w:rFonts w:hint="eastAsia" w:ascii="华文楷体" w:hAnsi="华文楷体" w:eastAsia="华文楷体" w:cs="华文楷体"/>
                <w:color w:val="auto"/>
                <w:sz w:val="21"/>
                <w:szCs w:val="21"/>
              </w:rPr>
              <w:t>4.2</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J:3.3/</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3.4</w:t>
            </w:r>
          </w:p>
        </w:tc>
        <w:tc>
          <w:tcPr>
            <w:tcW w:w="4006" w:type="pct"/>
            <w:noWrap w:val="0"/>
            <w:vAlign w:val="center"/>
          </w:tcPr>
          <w:p>
            <w:pPr>
              <w:spacing w:line="360" w:lineRule="auto"/>
              <w:ind w:firstLine="420" w:firstLineChars="200"/>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跟王总沟通了解到，公司的相关方包括：主要客户（发包方），最终使用者，供应方，分包方，监理、设计方、施工方，合作伙伴、政府主管部门，员工，银行，项目施工周围居民等。</w:t>
            </w:r>
          </w:p>
          <w:p>
            <w:pPr>
              <w:spacing w:line="360" w:lineRule="auto"/>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1、根据相关方对公司产品或服务存在的影响或潜在影响，通过不同的渠道(如市场预测,上门拜访,商务活动,会议,电话,定期访问相关官网等)实施了收集并确定了相关方的需求</w:t>
            </w:r>
          </w:p>
          <w:p>
            <w:pPr>
              <w:spacing w:line="360" w:lineRule="auto"/>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 xml:space="preserve">2、优势：公司管理人员业务水平较高，资金比较充裕，工程技术管理人员经验丰富，人员稳定；自公司成立以来，承建的工程从未发生质量、安全、环境污染事故；公司建造师、施工员、安全员、资料员等施工管理技术人员配备充足，技术能力水平较高。 </w:t>
            </w:r>
          </w:p>
          <w:p>
            <w:pPr>
              <w:spacing w:line="360" w:lineRule="auto"/>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3、劣势：行业内施工企业数量多，竞争激烈，利润率降低较多；在招投标过程中经常遇到串标、围标等对公司不利的违规操作；会遇到工程款结算不及时的情况，从而对公司的资金链造成压力；工程项目竣工后审计过程中经常出现工程价款缩水的情况。</w:t>
            </w:r>
          </w:p>
          <w:p>
            <w:pPr>
              <w:spacing w:line="360" w:lineRule="auto"/>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4、公司针对目前的各种情况制定了响应的应求和期望。对这些相关方的要求进行了分析，哪些成为企业的合规义务，公司在合同评审中、管理制度和合规义务评价中进行确定和执行。</w:t>
            </w:r>
          </w:p>
          <w:p>
            <w:pPr>
              <w:spacing w:line="360" w:lineRule="auto"/>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5、公司自领导层到施工项目部均与对接的相关方有良好的沟通，通过质量、安全、环保管理达到相关方满意。</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zh-CN"/>
              </w:rPr>
              <w:t>6、企业定期通过合同评审、合规性评价、顾客满意调查、社会认知度等形式对相关方的需求和期望进行监视和评审，确立与各相关方的良好合作关系，认真服务社会，增强其满足程度，树立本企业在市场中的良好形象。同时追求管理改进提高。</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456"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管理体系的范围</w:t>
            </w:r>
          </w:p>
        </w:tc>
        <w:tc>
          <w:tcPr>
            <w:tcW w:w="278"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QEO</w:t>
            </w:r>
            <w:r>
              <w:rPr>
                <w:rFonts w:hint="eastAsia" w:ascii="华文楷体" w:hAnsi="华文楷体" w:eastAsia="华文楷体" w:cs="华文楷体"/>
                <w:color w:val="auto"/>
                <w:sz w:val="21"/>
                <w:szCs w:val="21"/>
              </w:rPr>
              <w:t>4.3</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J:3.3/</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3.4</w:t>
            </w:r>
          </w:p>
        </w:tc>
        <w:tc>
          <w:tcPr>
            <w:tcW w:w="4006" w:type="pct"/>
            <w:noWrap w:val="0"/>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确认该公司管理体系适用范围是：</w:t>
            </w:r>
          </w:p>
          <w:p>
            <w:pPr>
              <w:spacing w:line="360" w:lineRule="auto"/>
              <w:rPr>
                <w:rFonts w:hint="eastAsia" w:ascii="华文楷体" w:hAnsi="华文楷体" w:eastAsia="华文楷体" w:cs="华文楷体"/>
                <w:color w:val="auto"/>
                <w:sz w:val="21"/>
                <w:szCs w:val="21"/>
              </w:rPr>
            </w:pPr>
            <w:bookmarkStart w:id="0" w:name="审核范围"/>
            <w:r>
              <w:rPr>
                <w:rFonts w:hint="eastAsia" w:ascii="华文楷体" w:hAnsi="华文楷体" w:eastAsia="华文楷体" w:cs="华文楷体"/>
                <w:color w:val="auto"/>
                <w:sz w:val="21"/>
                <w:szCs w:val="21"/>
              </w:rPr>
              <w:t>EC：建筑智能化工程的施工（仅限资质范围内）</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E：建筑智能化工程的施工（仅限资质范围内）及其场所所涉及的环境管理活动</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O：建筑智能化工程的施工（仅限资质范围内）及其场所所涉及的职业健康安全管理活动</w:t>
            </w:r>
            <w:bookmarkEnd w:id="0"/>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通过文件发放的方式在公司内部进行传递；在与客户沟通中，及时通知客户，为相关方获取。</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上述范围与企业目前经营范围相一致。</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管理体系及其过程</w:t>
            </w:r>
          </w:p>
        </w:tc>
        <w:tc>
          <w:tcPr>
            <w:tcW w:w="278"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QEO</w:t>
            </w:r>
            <w:r>
              <w:rPr>
                <w:rFonts w:hint="eastAsia" w:ascii="华文楷体" w:hAnsi="华文楷体" w:eastAsia="华文楷体" w:cs="华文楷体"/>
                <w:color w:val="auto"/>
                <w:sz w:val="21"/>
                <w:szCs w:val="21"/>
              </w:rPr>
              <w:t>4.4</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J:3.3/</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3.4</w:t>
            </w:r>
          </w:p>
        </w:tc>
        <w:tc>
          <w:tcPr>
            <w:tcW w:w="4006" w:type="pct"/>
            <w:noWrap w:val="0"/>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为健全和完善本公司的管理体系，</w:t>
            </w:r>
            <w:r>
              <w:rPr>
                <w:rFonts w:hint="eastAsia" w:ascii="华文楷体" w:hAnsi="华文楷体" w:eastAsia="华文楷体" w:cs="华文楷体"/>
                <w:color w:val="auto"/>
                <w:sz w:val="21"/>
                <w:szCs w:val="21"/>
                <w:lang w:val="zh-CN"/>
              </w:rPr>
              <w:t>公司依据</w:t>
            </w:r>
            <w:r>
              <w:rPr>
                <w:rFonts w:hint="eastAsia" w:ascii="华文楷体" w:hAnsi="华文楷体" w:eastAsia="华文楷体" w:cs="华文楷体"/>
                <w:color w:val="auto"/>
                <w:sz w:val="21"/>
                <w:szCs w:val="21"/>
              </w:rPr>
              <w:t>GB/T19001-2016</w:t>
            </w:r>
            <w:r>
              <w:rPr>
                <w:rFonts w:hint="eastAsia" w:ascii="华文楷体" w:hAnsi="华文楷体" w:eastAsia="华文楷体" w:cs="华文楷体"/>
                <w:color w:val="auto"/>
                <w:sz w:val="21"/>
                <w:szCs w:val="21"/>
                <w:lang w:val="zh-CN"/>
              </w:rPr>
              <w:t>《质量管理体系 要求》、</w:t>
            </w:r>
            <w:r>
              <w:rPr>
                <w:rFonts w:hint="eastAsia" w:ascii="华文楷体" w:hAnsi="华文楷体" w:eastAsia="华文楷体" w:cs="华文楷体"/>
                <w:color w:val="auto"/>
                <w:sz w:val="21"/>
                <w:szCs w:val="21"/>
              </w:rPr>
              <w:t>GB/T24001-2016</w:t>
            </w:r>
            <w:r>
              <w:rPr>
                <w:rFonts w:hint="eastAsia" w:ascii="华文楷体" w:hAnsi="华文楷体" w:eastAsia="华文楷体" w:cs="华文楷体"/>
                <w:color w:val="auto"/>
                <w:sz w:val="21"/>
                <w:szCs w:val="21"/>
                <w:lang w:val="zh-CN"/>
              </w:rPr>
              <w:t>《</w:t>
            </w:r>
            <w:r>
              <w:rPr>
                <w:rFonts w:hint="eastAsia" w:ascii="华文楷体" w:hAnsi="华文楷体" w:eastAsia="华文楷体" w:cs="华文楷体"/>
                <w:color w:val="auto"/>
                <w:sz w:val="21"/>
                <w:szCs w:val="21"/>
              </w:rPr>
              <w:t xml:space="preserve">环境管理体系  </w:t>
            </w:r>
            <w:r>
              <w:rPr>
                <w:rFonts w:hint="eastAsia" w:ascii="华文楷体" w:hAnsi="华文楷体" w:eastAsia="华文楷体" w:cs="华文楷体"/>
                <w:color w:val="auto"/>
                <w:sz w:val="21"/>
                <w:szCs w:val="21"/>
                <w:lang w:val="zh-CN"/>
              </w:rPr>
              <w:t>要求及使用指南》、</w:t>
            </w:r>
            <w:r>
              <w:rPr>
                <w:rFonts w:hint="eastAsia" w:ascii="华文楷体" w:hAnsi="华文楷体" w:eastAsia="华文楷体" w:cs="华文楷体"/>
                <w:color w:val="auto"/>
                <w:sz w:val="21"/>
                <w:szCs w:val="21"/>
              </w:rPr>
              <w:t>ISO45001-2018《</w:t>
            </w:r>
            <w:r>
              <w:rPr>
                <w:rFonts w:hint="eastAsia" w:ascii="华文楷体" w:hAnsi="华文楷体" w:eastAsia="华文楷体" w:cs="华文楷体"/>
                <w:color w:val="auto"/>
                <w:sz w:val="21"/>
                <w:szCs w:val="21"/>
                <w:lang w:val="zh-CN"/>
              </w:rPr>
              <w:t>职业健康安全管理体系 要求及使用指南</w:t>
            </w:r>
            <w:r>
              <w:rPr>
                <w:rFonts w:hint="eastAsia" w:ascii="华文楷体" w:hAnsi="华文楷体" w:eastAsia="华文楷体" w:cs="华文楷体"/>
                <w:color w:val="auto"/>
                <w:sz w:val="21"/>
                <w:szCs w:val="21"/>
              </w:rPr>
              <w:t>》、GB/T50430-2017</w:t>
            </w:r>
            <w:r>
              <w:rPr>
                <w:rFonts w:hint="eastAsia" w:ascii="华文楷体" w:hAnsi="华文楷体" w:eastAsia="华文楷体" w:cs="华文楷体"/>
                <w:color w:val="auto"/>
                <w:sz w:val="21"/>
                <w:szCs w:val="21"/>
                <w:lang w:val="zh-CN"/>
              </w:rPr>
              <w:t>《工程建设施工企业质量管理规范》</w:t>
            </w:r>
            <w:r>
              <w:rPr>
                <w:rFonts w:hint="eastAsia" w:ascii="华文楷体" w:hAnsi="华文楷体" w:eastAsia="华文楷体" w:cs="华文楷体"/>
                <w:color w:val="auto"/>
                <w:sz w:val="21"/>
                <w:szCs w:val="21"/>
              </w:rPr>
              <w:t>，结合公司实际情况于2020年6月1日发布实施了管理体系文件，包括管理手册、程序文件、管理制度、作业文件、记录等。</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管理承诺总则</w:t>
            </w:r>
          </w:p>
        </w:tc>
        <w:tc>
          <w:tcPr>
            <w:tcW w:w="278"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QEO</w:t>
            </w:r>
            <w:r>
              <w:rPr>
                <w:rFonts w:hint="eastAsia" w:ascii="华文楷体" w:hAnsi="华文楷体" w:eastAsia="华文楷体" w:cs="华文楷体"/>
                <w:color w:val="auto"/>
                <w:sz w:val="21"/>
                <w:szCs w:val="21"/>
              </w:rPr>
              <w:t>5.1</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J4.3</w:t>
            </w:r>
          </w:p>
        </w:tc>
        <w:tc>
          <w:tcPr>
            <w:tcW w:w="4006" w:type="pct"/>
            <w:noWrap w:val="0"/>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56"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管理方针</w:t>
            </w:r>
          </w:p>
        </w:tc>
        <w:tc>
          <w:tcPr>
            <w:tcW w:w="278"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QEO</w:t>
            </w:r>
            <w:r>
              <w:rPr>
                <w:rFonts w:hint="eastAsia" w:ascii="华文楷体" w:hAnsi="华文楷体" w:eastAsia="华文楷体" w:cs="华文楷体"/>
                <w:color w:val="auto"/>
                <w:sz w:val="21"/>
                <w:szCs w:val="21"/>
              </w:rPr>
              <w:t>5.2</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J3.2</w:t>
            </w:r>
          </w:p>
        </w:tc>
        <w:tc>
          <w:tcPr>
            <w:tcW w:w="4006" w:type="pct"/>
            <w:noWrap w:val="0"/>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1.管理方针：全员参与、规范管理、精心施工、创建品牌、减少污染、控制噪声、安全第一、 以人为本、持续改进、创新发展、遵纪守法、心系顾客、控制过程、服务业主。.</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 管理方针与企业的经营宗旨相适应，协调；</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 通过会议传达，沟通，让全体员工理解执行。并定期进行评审（一般一年一次）。</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456"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组织的岗位、职责权限</w:t>
            </w:r>
          </w:p>
        </w:tc>
        <w:tc>
          <w:tcPr>
            <w:tcW w:w="278"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QEO</w:t>
            </w:r>
            <w:r>
              <w:rPr>
                <w:rFonts w:hint="eastAsia" w:ascii="华文楷体" w:hAnsi="华文楷体" w:eastAsia="华文楷体" w:cs="华文楷体"/>
                <w:color w:val="auto"/>
                <w:sz w:val="21"/>
                <w:szCs w:val="21"/>
              </w:rPr>
              <w:t>5.3</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J4.2</w:t>
            </w:r>
          </w:p>
        </w:tc>
        <w:tc>
          <w:tcPr>
            <w:tcW w:w="4006" w:type="pct"/>
            <w:noWrap w:val="0"/>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公司管理体系覆盖部门包括：</w:t>
            </w:r>
            <w:r>
              <w:rPr>
                <w:rFonts w:hint="eastAsia" w:ascii="华文楷体" w:hAnsi="华文楷体" w:eastAsia="华文楷体" w:cs="华文楷体"/>
                <w:color w:val="auto"/>
                <w:sz w:val="21"/>
                <w:szCs w:val="21"/>
                <w:lang w:eastAsia="zh-CN"/>
              </w:rPr>
              <w:t>经营部</w:t>
            </w:r>
            <w:r>
              <w:rPr>
                <w:rFonts w:hint="eastAsia" w:ascii="华文楷体" w:hAnsi="华文楷体" w:eastAsia="华文楷体" w:cs="华文楷体"/>
                <w:color w:val="auto"/>
                <w:sz w:val="21"/>
                <w:szCs w:val="21"/>
                <w:lang w:val="zh-CN"/>
              </w:rPr>
              <w:t>、工程服务部、</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、财务部，项目部属于工程服务部管理；部门划分尚可。</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56" w:type="pct"/>
            <w:noWrap w:val="0"/>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应对风险和机遇的措施；</w:t>
            </w:r>
          </w:p>
        </w:tc>
        <w:tc>
          <w:tcPr>
            <w:tcW w:w="278" w:type="pct"/>
            <w:noWrap w:val="0"/>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w:t>
            </w:r>
            <w:r>
              <w:rPr>
                <w:rFonts w:hint="eastAsia" w:ascii="华文楷体" w:hAnsi="华文楷体" w:eastAsia="华文楷体" w:cs="华文楷体"/>
                <w:color w:val="auto"/>
                <w:sz w:val="21"/>
                <w:szCs w:val="21"/>
                <w:lang w:val="en-US" w:eastAsia="zh-CN"/>
              </w:rPr>
              <w:t>EO</w:t>
            </w:r>
            <w:r>
              <w:rPr>
                <w:rFonts w:hint="eastAsia" w:ascii="华文楷体" w:hAnsi="华文楷体" w:eastAsia="华文楷体" w:cs="华文楷体"/>
                <w:color w:val="auto"/>
                <w:sz w:val="21"/>
                <w:szCs w:val="21"/>
              </w:rPr>
              <w:t xml:space="preserve">6.1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J3.</w:t>
            </w:r>
            <w:r>
              <w:rPr>
                <w:rFonts w:hint="eastAsia" w:ascii="华文楷体" w:hAnsi="华文楷体" w:eastAsia="华文楷体" w:cs="华文楷体"/>
                <w:color w:val="auto"/>
                <w:sz w:val="21"/>
                <w:szCs w:val="21"/>
                <w:lang w:val="en-US" w:eastAsia="zh-CN"/>
              </w:rPr>
              <w:t>3</w:t>
            </w:r>
          </w:p>
        </w:tc>
        <w:tc>
          <w:tcPr>
            <w:tcW w:w="4006" w:type="pct"/>
            <w:noWrap w:val="0"/>
            <w:vAlign w:val="top"/>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w:t>
            </w:r>
            <w:r>
              <w:rPr>
                <w:rFonts w:hint="eastAsia" w:ascii="华文楷体" w:hAnsi="华文楷体" w:eastAsia="华文楷体" w:cs="华文楷体"/>
                <w:color w:val="auto"/>
                <w:sz w:val="21"/>
                <w:szCs w:val="21"/>
                <w:lang w:val="en-US" w:eastAsia="zh-CN"/>
              </w:rPr>
              <w:t>识别了</w:t>
            </w:r>
            <w:r>
              <w:rPr>
                <w:rFonts w:hint="eastAsia" w:ascii="华文楷体" w:hAnsi="华文楷体" w:eastAsia="华文楷体" w:cs="华文楷体"/>
                <w:color w:val="auto"/>
                <w:sz w:val="21"/>
                <w:szCs w:val="21"/>
              </w:rPr>
              <w:t>存在的风险和机遇</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应对这些风险，公司依据IS0 9001:2015《质量管理体系要求》，IS01400l:2015《环境管理体系要求及使用指南》；</w:t>
            </w:r>
            <w:r>
              <w:rPr>
                <w:rFonts w:hint="eastAsia" w:ascii="华文楷体" w:hAnsi="华文楷体" w:eastAsia="华文楷体" w:cs="华文楷体"/>
                <w:color w:val="auto"/>
                <w:sz w:val="21"/>
                <w:szCs w:val="21"/>
                <w:lang w:val="en-US" w:eastAsia="zh-CN"/>
              </w:rPr>
              <w:t>ISO45001</w:t>
            </w:r>
            <w:r>
              <w:rPr>
                <w:rFonts w:hint="eastAsia" w:ascii="华文楷体" w:hAnsi="华文楷体" w:eastAsia="华文楷体" w:cs="华文楷体"/>
                <w:color w:val="auto"/>
                <w:sz w:val="21"/>
                <w:szCs w:val="21"/>
              </w:rPr>
              <w:t>《职业健康安全管理体系要求》、GB/T50430-2017《工程建设施工企业质量管理规范》编制了《管理手册》、《程序文件》及《管理制度》。</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357" w:type="dxa"/>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策划措施</w:t>
            </w:r>
          </w:p>
        </w:tc>
        <w:tc>
          <w:tcPr>
            <w:tcW w:w="830" w:type="dxa"/>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E</w:t>
            </w:r>
            <w:r>
              <w:rPr>
                <w:rFonts w:hint="eastAsia" w:ascii="华文楷体" w:hAnsi="华文楷体" w:eastAsia="华文楷体" w:cs="华文楷体"/>
                <w:color w:val="auto"/>
                <w:sz w:val="21"/>
                <w:szCs w:val="21"/>
              </w:rPr>
              <w:t>O</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6.1.4</w:t>
            </w:r>
          </w:p>
        </w:tc>
        <w:tc>
          <w:tcPr>
            <w:tcW w:w="11920" w:type="dxa"/>
            <w:noWrap w:val="0"/>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258" w:type="pct"/>
            <w:noWrap w:val="0"/>
            <w:vAlign w:val="top"/>
          </w:tcPr>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56" w:type="pct"/>
            <w:noWrap w:val="0"/>
            <w:vAlign w:val="top"/>
          </w:tcPr>
          <w:p>
            <w:pPr>
              <w:spacing w:line="360" w:lineRule="auto"/>
              <w:rPr>
                <w:rFonts w:hint="eastAsia" w:ascii="华文楷体" w:hAnsi="华文楷体" w:eastAsia="华文楷体" w:cs="华文楷体"/>
                <w:color w:val="auto"/>
                <w:sz w:val="21"/>
                <w:szCs w:val="21"/>
              </w:rPr>
            </w:pP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目标及其实现的策划</w:t>
            </w:r>
          </w:p>
        </w:tc>
        <w:tc>
          <w:tcPr>
            <w:tcW w:w="278" w:type="pct"/>
            <w:noWrap w:val="0"/>
            <w:vAlign w:val="top"/>
          </w:tcPr>
          <w:p>
            <w:pPr>
              <w:spacing w:line="360" w:lineRule="auto"/>
              <w:rPr>
                <w:rFonts w:hint="eastAsia" w:ascii="华文楷体" w:hAnsi="华文楷体" w:eastAsia="华文楷体" w:cs="华文楷体"/>
                <w:color w:val="auto"/>
                <w:sz w:val="21"/>
                <w:szCs w:val="21"/>
              </w:rPr>
            </w:pP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w:t>
            </w:r>
            <w:r>
              <w:rPr>
                <w:rFonts w:hint="eastAsia" w:ascii="华文楷体" w:hAnsi="华文楷体" w:eastAsia="华文楷体" w:cs="华文楷体"/>
                <w:color w:val="auto"/>
                <w:sz w:val="21"/>
                <w:szCs w:val="21"/>
                <w:lang w:val="en-US" w:eastAsia="zh-CN"/>
              </w:rPr>
              <w:t>EO</w:t>
            </w:r>
            <w:r>
              <w:rPr>
                <w:rFonts w:hint="eastAsia" w:ascii="华文楷体" w:hAnsi="华文楷体" w:eastAsia="华文楷体" w:cs="华文楷体"/>
                <w:color w:val="auto"/>
                <w:sz w:val="21"/>
                <w:szCs w:val="21"/>
              </w:rPr>
              <w:t xml:space="preserve">6.2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J3.2</w:t>
            </w:r>
          </w:p>
          <w:p>
            <w:pPr>
              <w:spacing w:line="360" w:lineRule="auto"/>
              <w:rPr>
                <w:rFonts w:hint="eastAsia" w:ascii="华文楷体" w:hAnsi="华文楷体" w:eastAsia="华文楷体" w:cs="华文楷体"/>
                <w:color w:val="auto"/>
                <w:sz w:val="21"/>
                <w:szCs w:val="21"/>
              </w:rPr>
            </w:pPr>
          </w:p>
        </w:tc>
        <w:tc>
          <w:tcPr>
            <w:tcW w:w="4006" w:type="pct"/>
            <w:noWrap w:val="0"/>
            <w:vAlign w:val="center"/>
          </w:tcPr>
          <w:p>
            <w:pPr>
              <w:spacing w:before="156" w:beforeLines="50" w:line="400" w:lineRule="exact"/>
              <w:jc w:val="center"/>
              <w:rPr>
                <w:rFonts w:hint="eastAsia" w:ascii="华文楷体" w:hAnsi="华文楷体" w:eastAsia="华文楷体" w:cs="华文楷体"/>
                <w:bCs/>
                <w:color w:val="auto"/>
                <w:sz w:val="21"/>
                <w:szCs w:val="21"/>
              </w:rPr>
            </w:pPr>
            <w:r>
              <w:rPr>
                <w:rFonts w:hint="eastAsia" w:ascii="华文楷体" w:hAnsi="华文楷体" w:eastAsia="华文楷体" w:cs="华文楷体"/>
                <w:b/>
                <w:color w:val="auto"/>
                <w:sz w:val="21"/>
                <w:szCs w:val="21"/>
              </w:rPr>
              <w:t xml:space="preserve"> </w:t>
            </w:r>
            <w:r>
              <w:rPr>
                <w:rFonts w:hint="eastAsia" w:ascii="华文楷体" w:hAnsi="华文楷体" w:eastAsia="华文楷体" w:cs="华文楷体"/>
                <w:color w:val="auto"/>
                <w:sz w:val="21"/>
                <w:szCs w:val="21"/>
              </w:rPr>
              <w:t>环境管理目标、指标及其管理方案一览表</w:t>
            </w:r>
          </w:p>
          <w:tbl>
            <w:tblPr>
              <w:tblStyle w:val="13"/>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384"/>
              <w:gridCol w:w="1965"/>
              <w:gridCol w:w="3960"/>
              <w:gridCol w:w="830"/>
              <w:gridCol w:w="1600"/>
              <w:gridCol w:w="1335"/>
              <w:gridCol w:w="23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trPr>
              <w:tc>
                <w:tcPr>
                  <w:tcW w:w="547" w:type="dxa"/>
                  <w:vMerge w:val="restart"/>
                  <w:tcBorders>
                    <w:top w:val="single" w:color="auto" w:sz="12" w:space="0"/>
                    <w:bottom w:val="single" w:color="auto" w:sz="4" w:space="0"/>
                  </w:tcBorders>
                  <w:noWrap w:val="0"/>
                  <w:vAlign w:val="center"/>
                </w:tcPr>
                <w:p>
                  <w:pPr>
                    <w:spacing w:line="240" w:lineRule="auto"/>
                    <w:ind w:left="-30" w:right="-3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序号</w:t>
                  </w:r>
                </w:p>
              </w:tc>
              <w:tc>
                <w:tcPr>
                  <w:tcW w:w="1384" w:type="dxa"/>
                  <w:vMerge w:val="restart"/>
                  <w:tcBorders>
                    <w:top w:val="single" w:color="auto" w:sz="12" w:space="0"/>
                    <w:bottom w:val="single" w:color="auto" w:sz="4" w:space="0"/>
                  </w:tcBorders>
                  <w:noWrap w:val="0"/>
                  <w:vAlign w:val="center"/>
                </w:tcPr>
                <w:p>
                  <w:pPr>
                    <w:spacing w:line="240" w:lineRule="auto"/>
                    <w:ind w:left="-30" w:right="-3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重要环</w:t>
                  </w:r>
                </w:p>
                <w:p>
                  <w:pPr>
                    <w:spacing w:line="240" w:lineRule="auto"/>
                    <w:ind w:left="-30" w:right="-3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境因素</w:t>
                  </w:r>
                </w:p>
              </w:tc>
              <w:tc>
                <w:tcPr>
                  <w:tcW w:w="1965" w:type="dxa"/>
                  <w:vMerge w:val="restart"/>
                  <w:tcBorders>
                    <w:top w:val="single" w:color="auto" w:sz="12" w:space="0"/>
                    <w:bottom w:val="single" w:color="auto" w:sz="4" w:space="0"/>
                  </w:tcBorders>
                  <w:noWrap w:val="0"/>
                  <w:vAlign w:val="center"/>
                </w:tcPr>
                <w:p>
                  <w:pPr>
                    <w:spacing w:line="24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目标\指标</w:t>
                  </w:r>
                </w:p>
              </w:tc>
              <w:tc>
                <w:tcPr>
                  <w:tcW w:w="6390" w:type="dxa"/>
                  <w:gridSpan w:val="3"/>
                  <w:tcBorders>
                    <w:top w:val="single" w:color="auto" w:sz="12" w:space="0"/>
                    <w:bottom w:val="single" w:color="auto" w:sz="4" w:space="0"/>
                  </w:tcBorders>
                  <w:noWrap w:val="0"/>
                  <w:vAlign w:val="center"/>
                </w:tcPr>
                <w:p>
                  <w:pPr>
                    <w:spacing w:line="24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   理   方   案</w:t>
                  </w:r>
                </w:p>
              </w:tc>
              <w:tc>
                <w:tcPr>
                  <w:tcW w:w="1335" w:type="dxa"/>
                  <w:vMerge w:val="restart"/>
                  <w:tcBorders>
                    <w:top w:val="single" w:color="auto" w:sz="12" w:space="0"/>
                    <w:bottom w:val="single" w:color="auto" w:sz="4" w:space="0"/>
                  </w:tcBorders>
                  <w:noWrap w:val="0"/>
                  <w:vAlign w:val="center"/>
                </w:tcPr>
                <w:p>
                  <w:pPr>
                    <w:spacing w:line="24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检查人</w:t>
                  </w:r>
                </w:p>
              </w:tc>
              <w:tc>
                <w:tcPr>
                  <w:tcW w:w="2359" w:type="dxa"/>
                  <w:vMerge w:val="restart"/>
                  <w:tcBorders>
                    <w:top w:val="single" w:color="auto" w:sz="12" w:space="0"/>
                    <w:bottom w:val="single" w:color="auto" w:sz="4" w:space="0"/>
                  </w:tcBorders>
                  <w:noWrap w:val="0"/>
                  <w:vAlign w:val="center"/>
                </w:tcPr>
                <w:p>
                  <w:pPr>
                    <w:spacing w:line="24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资金投入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trPr>
              <w:tc>
                <w:tcPr>
                  <w:tcW w:w="547" w:type="dxa"/>
                  <w:vMerge w:val="continue"/>
                  <w:tcBorders>
                    <w:top w:val="single" w:color="auto" w:sz="4" w:space="0"/>
                    <w:bottom w:val="single" w:color="auto" w:sz="12" w:space="0"/>
                  </w:tcBorders>
                  <w:noWrap w:val="0"/>
                  <w:vAlign w:val="center"/>
                </w:tcPr>
                <w:p>
                  <w:pPr>
                    <w:spacing w:line="240" w:lineRule="auto"/>
                    <w:ind w:left="-30" w:right="-30"/>
                    <w:jc w:val="center"/>
                    <w:rPr>
                      <w:rFonts w:hint="eastAsia" w:ascii="华文楷体" w:hAnsi="华文楷体" w:eastAsia="华文楷体" w:cs="华文楷体"/>
                      <w:color w:val="auto"/>
                      <w:sz w:val="21"/>
                      <w:szCs w:val="21"/>
                    </w:rPr>
                  </w:pPr>
                </w:p>
              </w:tc>
              <w:tc>
                <w:tcPr>
                  <w:tcW w:w="1384" w:type="dxa"/>
                  <w:vMerge w:val="continue"/>
                  <w:tcBorders>
                    <w:top w:val="single" w:color="auto" w:sz="4" w:space="0"/>
                    <w:bottom w:val="single" w:color="auto" w:sz="12" w:space="0"/>
                  </w:tcBorders>
                  <w:noWrap w:val="0"/>
                  <w:vAlign w:val="center"/>
                </w:tcPr>
                <w:p>
                  <w:pPr>
                    <w:spacing w:line="240" w:lineRule="auto"/>
                    <w:ind w:left="-30" w:right="-30"/>
                    <w:jc w:val="center"/>
                    <w:rPr>
                      <w:rFonts w:hint="eastAsia" w:ascii="华文楷体" w:hAnsi="华文楷体" w:eastAsia="华文楷体" w:cs="华文楷体"/>
                      <w:color w:val="auto"/>
                      <w:sz w:val="21"/>
                      <w:szCs w:val="21"/>
                    </w:rPr>
                  </w:pPr>
                </w:p>
              </w:tc>
              <w:tc>
                <w:tcPr>
                  <w:tcW w:w="1965" w:type="dxa"/>
                  <w:vMerge w:val="continue"/>
                  <w:tcBorders>
                    <w:top w:val="single" w:color="auto" w:sz="4" w:space="0"/>
                    <w:bottom w:val="single" w:color="auto" w:sz="12" w:space="0"/>
                  </w:tcBorders>
                  <w:noWrap w:val="0"/>
                  <w:vAlign w:val="center"/>
                </w:tcPr>
                <w:p>
                  <w:pPr>
                    <w:spacing w:line="240" w:lineRule="auto"/>
                    <w:jc w:val="center"/>
                    <w:rPr>
                      <w:rFonts w:hint="eastAsia" w:ascii="华文楷体" w:hAnsi="华文楷体" w:eastAsia="华文楷体" w:cs="华文楷体"/>
                      <w:color w:val="auto"/>
                      <w:sz w:val="21"/>
                      <w:szCs w:val="21"/>
                    </w:rPr>
                  </w:pPr>
                </w:p>
              </w:tc>
              <w:tc>
                <w:tcPr>
                  <w:tcW w:w="3960" w:type="dxa"/>
                  <w:tcBorders>
                    <w:top w:val="single" w:color="auto" w:sz="4" w:space="0"/>
                    <w:bottom w:val="single" w:color="auto" w:sz="12" w:space="0"/>
                  </w:tcBorders>
                  <w:noWrap w:val="0"/>
                  <w:vAlign w:val="center"/>
                </w:tcPr>
                <w:p>
                  <w:pPr>
                    <w:spacing w:line="24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方法、措施/技术手段</w:t>
                  </w:r>
                </w:p>
              </w:tc>
              <w:tc>
                <w:tcPr>
                  <w:tcW w:w="830" w:type="dxa"/>
                  <w:tcBorders>
                    <w:top w:val="single" w:color="auto" w:sz="4" w:space="0"/>
                    <w:bottom w:val="single" w:color="auto" w:sz="12" w:space="0"/>
                  </w:tcBorders>
                  <w:noWrap w:val="0"/>
                  <w:vAlign w:val="center"/>
                </w:tcPr>
                <w:p>
                  <w:pPr>
                    <w:spacing w:line="24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管理部门</w:t>
                  </w:r>
                </w:p>
              </w:tc>
              <w:tc>
                <w:tcPr>
                  <w:tcW w:w="1600" w:type="dxa"/>
                  <w:tcBorders>
                    <w:top w:val="single" w:color="auto" w:sz="4" w:space="0"/>
                    <w:bottom w:val="single" w:color="auto" w:sz="12" w:space="0"/>
                  </w:tcBorders>
                  <w:noWrap w:val="0"/>
                  <w:vAlign w:val="center"/>
                </w:tcPr>
                <w:p>
                  <w:pPr>
                    <w:spacing w:line="24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时间要求</w:t>
                  </w:r>
                </w:p>
              </w:tc>
              <w:tc>
                <w:tcPr>
                  <w:tcW w:w="1335" w:type="dxa"/>
                  <w:vMerge w:val="continue"/>
                  <w:tcBorders>
                    <w:top w:val="single" w:color="auto" w:sz="4" w:space="0"/>
                    <w:bottom w:val="single" w:color="auto" w:sz="12" w:space="0"/>
                  </w:tcBorders>
                  <w:noWrap w:val="0"/>
                  <w:vAlign w:val="center"/>
                </w:tcPr>
                <w:p>
                  <w:pPr>
                    <w:spacing w:line="240" w:lineRule="auto"/>
                    <w:jc w:val="center"/>
                    <w:rPr>
                      <w:rFonts w:hint="eastAsia" w:ascii="华文楷体" w:hAnsi="华文楷体" w:eastAsia="华文楷体" w:cs="华文楷体"/>
                      <w:color w:val="auto"/>
                      <w:sz w:val="21"/>
                      <w:szCs w:val="21"/>
                    </w:rPr>
                  </w:pPr>
                </w:p>
              </w:tc>
              <w:tc>
                <w:tcPr>
                  <w:tcW w:w="2359" w:type="dxa"/>
                  <w:vMerge w:val="continue"/>
                  <w:tcBorders>
                    <w:top w:val="single" w:color="auto" w:sz="4" w:space="0"/>
                    <w:bottom w:val="single" w:color="auto" w:sz="4" w:space="0"/>
                  </w:tcBorders>
                  <w:noWrap w:val="0"/>
                  <w:vAlign w:val="center"/>
                </w:tcPr>
                <w:p>
                  <w:pPr>
                    <w:spacing w:line="240" w:lineRule="auto"/>
                    <w:jc w:val="center"/>
                    <w:rPr>
                      <w:rFonts w:hint="eastAsia" w:ascii="华文楷体" w:hAnsi="华文楷体" w:eastAsia="华文楷体" w:cs="华文楷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547" w:type="dxa"/>
                  <w:tcBorders>
                    <w:top w:val="single" w:color="auto" w:sz="12" w:space="0"/>
                  </w:tcBorders>
                  <w:noWrap w:val="0"/>
                  <w:vAlign w:val="center"/>
                </w:tcPr>
                <w:p>
                  <w:pPr>
                    <w:spacing w:line="240" w:lineRule="auto"/>
                    <w:jc w:val="center"/>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lang w:val="en-US" w:eastAsia="zh-CN"/>
                    </w:rPr>
                    <w:t>1</w:t>
                  </w:r>
                </w:p>
              </w:tc>
              <w:tc>
                <w:tcPr>
                  <w:tcW w:w="1384" w:type="dxa"/>
                  <w:tcBorders>
                    <w:top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火灾爆炸</w:t>
                  </w:r>
                </w:p>
              </w:tc>
              <w:tc>
                <w:tcPr>
                  <w:tcW w:w="1965" w:type="dxa"/>
                  <w:tcBorders>
                    <w:top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p>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发生率为0，并做好降低定期发生时的损失。</w:t>
                  </w:r>
                </w:p>
                <w:p>
                  <w:pPr>
                    <w:spacing w:line="240" w:lineRule="auto"/>
                    <w:rPr>
                      <w:rFonts w:hint="eastAsia" w:ascii="华文楷体" w:hAnsi="华文楷体" w:eastAsia="华文楷体" w:cs="华文楷体"/>
                      <w:color w:val="auto"/>
                      <w:sz w:val="21"/>
                      <w:szCs w:val="21"/>
                    </w:rPr>
                  </w:pPr>
                </w:p>
              </w:tc>
              <w:tc>
                <w:tcPr>
                  <w:tcW w:w="3960" w:type="dxa"/>
                  <w:tcBorders>
                    <w:top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制定火灾预案。</w:t>
                  </w:r>
                </w:p>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w:t>
                  </w:r>
                  <w:r>
                    <w:rPr>
                      <w:rFonts w:hint="eastAsia" w:ascii="华文楷体" w:hAnsi="华文楷体" w:eastAsia="华文楷体" w:cs="华文楷体"/>
                      <w:color w:val="auto"/>
                      <w:sz w:val="21"/>
                      <w:szCs w:val="21"/>
                      <w:lang w:val="en-US" w:eastAsia="zh-CN"/>
                    </w:rPr>
                    <w:t>施工过程</w:t>
                  </w:r>
                  <w:r>
                    <w:rPr>
                      <w:rFonts w:hint="eastAsia" w:ascii="华文楷体" w:hAnsi="华文楷体" w:eastAsia="华文楷体" w:cs="华文楷体"/>
                      <w:color w:val="auto"/>
                      <w:sz w:val="21"/>
                      <w:szCs w:val="21"/>
                    </w:rPr>
                    <w:t>合理配置干粉灭火器。</w:t>
                  </w:r>
                </w:p>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3.确保消防水栓、干粉灭火器的使用状态，定期检查。</w:t>
                  </w:r>
                </w:p>
              </w:tc>
              <w:tc>
                <w:tcPr>
                  <w:tcW w:w="830" w:type="dxa"/>
                  <w:tcBorders>
                    <w:top w:val="single" w:color="auto" w:sz="12" w:space="0"/>
                  </w:tcBorders>
                  <w:noWrap w:val="0"/>
                  <w:vAlign w:val="center"/>
                </w:tcPr>
                <w:p>
                  <w:pPr>
                    <w:spacing w:line="240" w:lineRule="auto"/>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lang w:eastAsia="zh-CN"/>
                    </w:rPr>
                    <w:t>工程服务部</w:t>
                  </w:r>
                </w:p>
              </w:tc>
              <w:tc>
                <w:tcPr>
                  <w:tcW w:w="1600" w:type="dxa"/>
                  <w:tcBorders>
                    <w:top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eastAsia="zh-CN"/>
                    </w:rPr>
                    <w:t>本年度体系运行时间内；</w:t>
                  </w:r>
                </w:p>
              </w:tc>
              <w:tc>
                <w:tcPr>
                  <w:tcW w:w="1335" w:type="dxa"/>
                  <w:tcBorders>
                    <w:top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管理者代表组织每季度进行一次检查。</w:t>
                  </w:r>
                </w:p>
              </w:tc>
              <w:tc>
                <w:tcPr>
                  <w:tcW w:w="2359" w:type="dxa"/>
                  <w:tcBorders>
                    <w:top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财务室应按本管理方案的要求提供资金，经管理者代表批准后实施。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547" w:type="dxa"/>
                  <w:tcBorders>
                    <w:top w:val="single" w:color="auto" w:sz="12" w:space="0"/>
                    <w:bottom w:val="single" w:color="auto" w:sz="12" w:space="0"/>
                  </w:tcBorders>
                  <w:noWrap w:val="0"/>
                  <w:vAlign w:val="center"/>
                </w:tcPr>
                <w:p>
                  <w:pPr>
                    <w:spacing w:line="240" w:lineRule="auto"/>
                    <w:jc w:val="center"/>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2</w:t>
                  </w:r>
                </w:p>
              </w:tc>
              <w:tc>
                <w:tcPr>
                  <w:tcW w:w="1384" w:type="dxa"/>
                  <w:tcBorders>
                    <w:top w:val="single" w:color="auto" w:sz="12" w:space="0"/>
                    <w:bottom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噪声排放</w:t>
                  </w:r>
                </w:p>
              </w:tc>
              <w:tc>
                <w:tcPr>
                  <w:tcW w:w="1965" w:type="dxa"/>
                  <w:tcBorders>
                    <w:top w:val="single" w:color="auto" w:sz="12" w:space="0"/>
                    <w:bottom w:val="single" w:color="auto" w:sz="12" w:space="0"/>
                  </w:tcBorders>
                  <w:noWrap w:val="0"/>
                  <w:vAlign w:val="center"/>
                </w:tcPr>
                <w:p>
                  <w:pPr>
                    <w:spacing w:line="24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机械设备运作声响达标排放；</w:t>
                  </w:r>
                </w:p>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职业病耳鸣耳聋情况的发生概率为零</w:t>
                  </w:r>
                </w:p>
              </w:tc>
              <w:tc>
                <w:tcPr>
                  <w:tcW w:w="3960" w:type="dxa"/>
                  <w:tcBorders>
                    <w:top w:val="single" w:color="auto" w:sz="12" w:space="0"/>
                    <w:bottom w:val="single" w:color="auto" w:sz="12" w:space="0"/>
                  </w:tcBorders>
                  <w:noWrap w:val="0"/>
                  <w:vAlign w:val="center"/>
                </w:tcPr>
                <w:p>
                  <w:pPr>
                    <w:numPr>
                      <w:ilvl w:val="0"/>
                      <w:numId w:val="2"/>
                    </w:numPr>
                    <w:spacing w:line="24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加强设备的检修保养，保持设备关键部位的润滑度；</w:t>
                  </w:r>
                </w:p>
                <w:p>
                  <w:pPr>
                    <w:numPr>
                      <w:ilvl w:val="0"/>
                      <w:numId w:val="2"/>
                    </w:num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施工时安装适量的消声器材；</w:t>
                  </w:r>
                </w:p>
                <w:p>
                  <w:pPr>
                    <w:numPr>
                      <w:ilvl w:val="0"/>
                      <w:numId w:val="2"/>
                    </w:num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作业人员佩戴耳塞；</w:t>
                  </w:r>
                </w:p>
              </w:tc>
              <w:tc>
                <w:tcPr>
                  <w:tcW w:w="830" w:type="dxa"/>
                  <w:tcBorders>
                    <w:top w:val="single" w:color="auto" w:sz="12" w:space="0"/>
                    <w:bottom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工程服务部</w:t>
                  </w:r>
                </w:p>
              </w:tc>
              <w:tc>
                <w:tcPr>
                  <w:tcW w:w="1600" w:type="dxa"/>
                  <w:tcBorders>
                    <w:top w:val="single" w:color="auto" w:sz="12" w:space="0"/>
                    <w:bottom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运行过程中</w:t>
                  </w:r>
                </w:p>
              </w:tc>
              <w:tc>
                <w:tcPr>
                  <w:tcW w:w="1335" w:type="dxa"/>
                  <w:tcBorders>
                    <w:top w:val="single" w:color="auto" w:sz="12" w:space="0"/>
                    <w:bottom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管理者代表组织每季度进行一次检查。</w:t>
                  </w:r>
                </w:p>
              </w:tc>
              <w:tc>
                <w:tcPr>
                  <w:tcW w:w="2359" w:type="dxa"/>
                  <w:tcBorders>
                    <w:top w:val="single" w:color="auto" w:sz="12" w:space="0"/>
                    <w:bottom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财务部应按本运行控制的要求提供资金，经管理者代表批准后实施。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547" w:type="dxa"/>
                  <w:tcBorders>
                    <w:top w:val="single" w:color="auto" w:sz="12" w:space="0"/>
                    <w:bottom w:val="single" w:color="auto" w:sz="12" w:space="0"/>
                  </w:tcBorders>
                  <w:noWrap w:val="0"/>
                  <w:vAlign w:val="center"/>
                </w:tcPr>
                <w:p>
                  <w:pPr>
                    <w:spacing w:line="240" w:lineRule="auto"/>
                    <w:jc w:val="center"/>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3</w:t>
                  </w:r>
                </w:p>
              </w:tc>
              <w:tc>
                <w:tcPr>
                  <w:tcW w:w="1384" w:type="dxa"/>
                  <w:tcBorders>
                    <w:top w:val="single" w:color="auto" w:sz="12" w:space="0"/>
                    <w:bottom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电能消耗</w:t>
                  </w:r>
                </w:p>
              </w:tc>
              <w:tc>
                <w:tcPr>
                  <w:tcW w:w="1965" w:type="dxa"/>
                  <w:tcBorders>
                    <w:top w:val="single" w:color="auto" w:sz="12" w:space="0"/>
                    <w:bottom w:val="single" w:color="auto" w:sz="12" w:space="0"/>
                  </w:tcBorders>
                  <w:noWrap w:val="0"/>
                  <w:vAlign w:val="center"/>
                </w:tcPr>
                <w:p>
                  <w:pPr>
                    <w:spacing w:line="24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等同产量下电能用量同比减少1‰</w:t>
                  </w:r>
                </w:p>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节约能源，提倡环保；</w:t>
                  </w:r>
                </w:p>
              </w:tc>
              <w:tc>
                <w:tcPr>
                  <w:tcW w:w="3960" w:type="dxa"/>
                  <w:tcBorders>
                    <w:top w:val="single" w:color="auto" w:sz="12" w:space="0"/>
                    <w:bottom w:val="single" w:color="auto" w:sz="12" w:space="0"/>
                  </w:tcBorders>
                  <w:noWrap w:val="0"/>
                  <w:vAlign w:val="center"/>
                </w:tcPr>
                <w:p>
                  <w:pPr>
                    <w:numPr>
                      <w:ilvl w:val="0"/>
                      <w:numId w:val="3"/>
                    </w:numPr>
                    <w:spacing w:line="24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用电记录；</w:t>
                  </w:r>
                </w:p>
                <w:p>
                  <w:pPr>
                    <w:numPr>
                      <w:ilvl w:val="0"/>
                      <w:numId w:val="3"/>
                    </w:num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教育各职能部门和车间工作人员，节约用电，做到人走电关；</w:t>
                  </w:r>
                </w:p>
              </w:tc>
              <w:tc>
                <w:tcPr>
                  <w:tcW w:w="830" w:type="dxa"/>
                  <w:tcBorders>
                    <w:top w:val="single" w:color="auto" w:sz="12" w:space="0"/>
                    <w:bottom w:val="single" w:color="auto" w:sz="12" w:space="0"/>
                  </w:tcBorders>
                  <w:noWrap w:val="0"/>
                  <w:vAlign w:val="center"/>
                </w:tcPr>
                <w:p>
                  <w:pPr>
                    <w:spacing w:line="240" w:lineRule="auto"/>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lang w:eastAsia="zh-CN"/>
                    </w:rPr>
                    <w:t>综合服务部</w:t>
                  </w:r>
                </w:p>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工程服务部</w:t>
                  </w:r>
                </w:p>
              </w:tc>
              <w:tc>
                <w:tcPr>
                  <w:tcW w:w="1600" w:type="dxa"/>
                  <w:tcBorders>
                    <w:top w:val="single" w:color="auto" w:sz="12" w:space="0"/>
                    <w:bottom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运行过程中</w:t>
                  </w:r>
                </w:p>
              </w:tc>
              <w:tc>
                <w:tcPr>
                  <w:tcW w:w="1335" w:type="dxa"/>
                  <w:tcBorders>
                    <w:top w:val="single" w:color="auto" w:sz="12" w:space="0"/>
                    <w:bottom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管理者代表组织每季度进行一次检查。</w:t>
                  </w:r>
                </w:p>
              </w:tc>
              <w:tc>
                <w:tcPr>
                  <w:tcW w:w="2359" w:type="dxa"/>
                  <w:tcBorders>
                    <w:top w:val="single" w:color="auto" w:sz="12" w:space="0"/>
                    <w:bottom w:val="single" w:color="auto" w:sz="12" w:space="0"/>
                  </w:tcBorders>
                  <w:noWrap w:val="0"/>
                  <w:vAlign w:val="center"/>
                </w:tcPr>
                <w:p>
                  <w:pPr>
                    <w:spacing w:line="24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财务部应按本运行控制的要求提供资金，经管理者代表批准后实施。</w:t>
                  </w:r>
                </w:p>
              </w:tc>
            </w:tr>
          </w:tbl>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编制：工程服务部                 审核：许丽娜                      批准：王 霞             日期：</w:t>
            </w:r>
            <w:r>
              <w:rPr>
                <w:rFonts w:hint="eastAsia" w:ascii="华文楷体" w:hAnsi="华文楷体" w:eastAsia="华文楷体" w:cs="华文楷体"/>
                <w:color w:val="auto"/>
                <w:sz w:val="21"/>
                <w:szCs w:val="21"/>
                <w:lang w:eastAsia="zh-CN"/>
              </w:rPr>
              <w:t>2022</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1.12</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A2"/>
            </w:r>
            <w:r>
              <w:rPr>
                <w:rFonts w:hint="eastAsia" w:ascii="华文楷体" w:hAnsi="华文楷体" w:eastAsia="华文楷体" w:cs="华文楷体"/>
                <w:color w:val="auto"/>
                <w:sz w:val="21"/>
                <w:szCs w:val="21"/>
              </w:rPr>
              <w:t>公司职业健康安全目标：</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目标 指标 </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质量 </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工程一次交验合格率100% 100% </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顾客满意率≥95% </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环境 </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施工噪声:投诉率为0 实现全年无投诉 </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固体废弃物分类处置率100% 100% </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职业健康安全 </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火灾、触电事故为零 0 </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重伤率不超过0.6‰，轻伤人数单位工程控制在2‰以内 0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对目标进行了分解，建立了各部门的分目标，</w:t>
            </w:r>
            <w:r>
              <w:rPr>
                <w:rFonts w:hint="eastAsia" w:ascii="华文楷体" w:hAnsi="华文楷体" w:eastAsia="华文楷体" w:cs="华文楷体"/>
                <w:color w:val="auto"/>
                <w:sz w:val="21"/>
                <w:szCs w:val="21"/>
                <w:lang w:val="en-US" w:eastAsia="zh-CN"/>
              </w:rPr>
              <w:t>半年</w:t>
            </w:r>
            <w:r>
              <w:rPr>
                <w:rFonts w:hint="eastAsia" w:ascii="华文楷体" w:hAnsi="华文楷体" w:eastAsia="华文楷体" w:cs="华文楷体"/>
                <w:color w:val="auto"/>
                <w:sz w:val="21"/>
                <w:szCs w:val="21"/>
              </w:rPr>
              <w:t>进行一次考核，</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A2"/>
            </w:r>
            <w:r>
              <w:rPr>
                <w:rFonts w:hint="eastAsia" w:ascii="华文楷体" w:hAnsi="华文楷体" w:eastAsia="华文楷体" w:cs="华文楷体"/>
                <w:color w:val="auto"/>
                <w:sz w:val="21"/>
                <w:szCs w:val="21"/>
              </w:rPr>
              <w:t>查看</w:t>
            </w:r>
            <w:r>
              <w:rPr>
                <w:rFonts w:hint="eastAsia" w:ascii="华文楷体" w:hAnsi="华文楷体" w:eastAsia="华文楷体" w:cs="华文楷体"/>
                <w:color w:val="auto"/>
                <w:sz w:val="21"/>
                <w:szCs w:val="21"/>
                <w:lang w:eastAsia="zh-CN"/>
              </w:rPr>
              <w:t>2022年7月12日</w:t>
            </w:r>
            <w:r>
              <w:rPr>
                <w:rFonts w:hint="eastAsia" w:ascii="华文楷体" w:hAnsi="华文楷体" w:eastAsia="华文楷体" w:cs="华文楷体"/>
                <w:color w:val="auto"/>
                <w:sz w:val="21"/>
                <w:szCs w:val="21"/>
              </w:rPr>
              <w:t>考核结果，显示完成，见各部门考核情况。</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456" w:type="pct"/>
            <w:noWrap w:val="0"/>
            <w:vAlign w:val="top"/>
          </w:tcPr>
          <w:p>
            <w:pPr>
              <w:adjustRightInd w:val="0"/>
              <w:snapToGrid w:val="0"/>
              <w:spacing w:line="360" w:lineRule="auto"/>
              <w:jc w:val="left"/>
              <w:rPr>
                <w:rFonts w:hint="eastAsia" w:ascii="华文楷体" w:hAnsi="华文楷体" w:eastAsia="华文楷体" w:cs="华文楷体"/>
                <w:color w:val="auto"/>
                <w:sz w:val="21"/>
                <w:szCs w:val="21"/>
              </w:rPr>
            </w:pPr>
          </w:p>
          <w:p>
            <w:pPr>
              <w:adjustRightInd w:val="0"/>
              <w:snapToGrid w:val="0"/>
              <w:spacing w:line="360" w:lineRule="auto"/>
              <w:jc w:val="left"/>
              <w:rPr>
                <w:rFonts w:hint="eastAsia" w:ascii="华文楷体" w:hAnsi="华文楷体" w:eastAsia="华文楷体" w:cs="华文楷体"/>
                <w:color w:val="auto"/>
                <w:sz w:val="21"/>
                <w:szCs w:val="21"/>
              </w:rPr>
            </w:pPr>
          </w:p>
          <w:p>
            <w:pPr>
              <w:adjustRightInd w:val="0"/>
              <w:snapToGrid w:val="0"/>
              <w:spacing w:line="360" w:lineRule="auto"/>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变更的策划</w:t>
            </w:r>
          </w:p>
        </w:tc>
        <w:tc>
          <w:tcPr>
            <w:tcW w:w="278" w:type="pct"/>
            <w:noWrap w:val="0"/>
            <w:vAlign w:val="top"/>
          </w:tcPr>
          <w:p>
            <w:pPr>
              <w:spacing w:line="360" w:lineRule="auto"/>
              <w:rPr>
                <w:rFonts w:hint="eastAsia" w:ascii="华文楷体" w:hAnsi="华文楷体" w:eastAsia="华文楷体" w:cs="华文楷体"/>
                <w:color w:val="auto"/>
                <w:sz w:val="21"/>
                <w:szCs w:val="21"/>
              </w:rPr>
            </w:pP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Q6.3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J3.4</w:t>
            </w:r>
          </w:p>
        </w:tc>
        <w:tc>
          <w:tcPr>
            <w:tcW w:w="4006" w:type="pct"/>
            <w:noWrap w:val="0"/>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公司确定需要对管理体系进行变更时，应经策划并系统的实施。公司应考虑：</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a) 变更目的及其潜在后果；b) 管理体系的完整性；c) 资源的可获得性；d) 责任和权限的分配与再分配。</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公司目前对管理体系暂无变更。</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56" w:type="pct"/>
            <w:noWrap w:val="0"/>
            <w:vAlign w:val="top"/>
          </w:tcPr>
          <w:p>
            <w:pPr>
              <w:spacing w:line="360" w:lineRule="auto"/>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人员</w:t>
            </w:r>
          </w:p>
        </w:tc>
        <w:tc>
          <w:tcPr>
            <w:tcW w:w="278" w:type="pct"/>
            <w:noWrap w:val="0"/>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Q7.1.</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 xml:space="preserve">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J5.2</w:t>
            </w:r>
          </w:p>
        </w:tc>
        <w:tc>
          <w:tcPr>
            <w:tcW w:w="4006" w:type="pct"/>
            <w:noWrap w:val="0"/>
            <w:vAlign w:val="top"/>
          </w:tcPr>
          <w:p>
            <w:pPr>
              <w:tabs>
                <w:tab w:val="center" w:pos="3169"/>
              </w:tabs>
              <w:spacing w:line="360" w:lineRule="auto"/>
              <w:ind w:firstLine="420" w:firstLineChars="20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查见：公司编制员工岗位能力规定</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360" w:lineRule="auto"/>
              <w:ind w:firstLine="420" w:firstLineChars="20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查</w:t>
            </w:r>
            <w:r>
              <w:rPr>
                <w:rFonts w:hint="eastAsia" w:ascii="华文楷体" w:hAnsi="华文楷体" w:eastAsia="华文楷体" w:cs="华文楷体"/>
                <w:color w:val="auto"/>
                <w:sz w:val="21"/>
                <w:szCs w:val="21"/>
              </w:rPr>
              <w:t>各副总经理学历和企业管理实际工作经验；员工岗位能力规定熟知产品的执行标准</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规范</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流程并有能力组织实施产品和相关服务活动全过程的程序和质量控制点；对公司在用的设备性能、原理、维修与保养项目及间隔时间明确并有组织实施的能力；能有效地协调各部门之间的工作，确保公司的各项工作有序并有效运转。</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56" w:type="pct"/>
            <w:noWrap w:val="0"/>
            <w:vAlign w:val="top"/>
          </w:tcPr>
          <w:p>
            <w:pPr>
              <w:adjustRightInd w:val="0"/>
              <w:snapToGrid w:val="0"/>
              <w:spacing w:line="360" w:lineRule="auto"/>
              <w:jc w:val="left"/>
              <w:rPr>
                <w:rFonts w:hint="eastAsia" w:ascii="华文楷体" w:hAnsi="华文楷体" w:eastAsia="华文楷体" w:cs="华文楷体"/>
                <w:color w:val="auto"/>
                <w:sz w:val="21"/>
                <w:szCs w:val="21"/>
              </w:rPr>
            </w:pPr>
          </w:p>
          <w:p>
            <w:pPr>
              <w:adjustRightInd w:val="0"/>
              <w:snapToGrid w:val="0"/>
              <w:spacing w:line="360" w:lineRule="auto"/>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资源</w:t>
            </w:r>
          </w:p>
        </w:tc>
        <w:tc>
          <w:tcPr>
            <w:tcW w:w="278" w:type="pct"/>
            <w:noWrap w:val="0"/>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Q7.1.1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EO7.1</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J5.1</w:t>
            </w:r>
          </w:p>
        </w:tc>
        <w:tc>
          <w:tcPr>
            <w:tcW w:w="4006" w:type="pct"/>
            <w:noWrap w:val="0"/>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A2"/>
            </w:r>
            <w:r>
              <w:rPr>
                <w:rFonts w:hint="eastAsia" w:ascii="华文楷体" w:hAnsi="华文楷体" w:eastAsia="华文楷体" w:cs="华文楷体"/>
                <w:color w:val="auto"/>
                <w:sz w:val="21"/>
                <w:szCs w:val="21"/>
              </w:rPr>
              <w:t>组织为建立、实施、保持和持续改进管理体系，结合自有资源及可能从外部供方得到的资源支持，提供了以下资源：</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1）资金提供：注册资金2100万元；</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2）人力资源：企业目前涉及认证范围内的员工34人，配备有建造师、施工员、资料员、质量员、安全员以及各类技工等专业人员配备充足，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3）建筑物及相关设施：</w:t>
            </w:r>
            <w:r>
              <w:rPr>
                <w:rFonts w:hint="eastAsia" w:ascii="华文楷体" w:hAnsi="华文楷体" w:eastAsia="华文楷体" w:cs="华文楷体"/>
                <w:color w:val="auto"/>
                <w:sz w:val="21"/>
                <w:szCs w:val="21"/>
                <w:lang w:val="en-US" w:eastAsia="zh-CN"/>
              </w:rPr>
              <w:t>租赁</w:t>
            </w:r>
            <w:r>
              <w:rPr>
                <w:rFonts w:hint="eastAsia" w:ascii="华文楷体" w:hAnsi="华文楷体" w:eastAsia="华文楷体" w:cs="华文楷体"/>
                <w:color w:val="auto"/>
                <w:sz w:val="21"/>
                <w:szCs w:val="21"/>
              </w:rPr>
              <w:t>办公大楼，共有约</w:t>
            </w:r>
            <w:r>
              <w:rPr>
                <w:rFonts w:hint="eastAsia" w:ascii="华文楷体" w:hAnsi="华文楷体" w:eastAsia="华文楷体" w:cs="华文楷体"/>
                <w:color w:val="auto"/>
                <w:sz w:val="21"/>
                <w:szCs w:val="21"/>
                <w:lang w:eastAsia="zh-CN"/>
              </w:rPr>
              <w:t>836.34平方</w:t>
            </w:r>
            <w:r>
              <w:rPr>
                <w:rFonts w:hint="eastAsia" w:ascii="华文楷体" w:hAnsi="华文楷体" w:eastAsia="华文楷体" w:cs="华文楷体"/>
                <w:color w:val="auto"/>
                <w:sz w:val="21"/>
                <w:szCs w:val="21"/>
              </w:rPr>
              <w:t>米，区域划分明确，各部门独立办公，能够满足公司办公/经营需求。</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4）生产设施：公司为施工现场配备主要有：网线钳、测线仪、万用表、光纤熔接机、螺丝刀套装、压线工具、光纤剥离钳、线缆剪、光纤剪刀、剥线钳、充电起子、手电钻、梯子、管子钳、角磨机、切割机、卷尺、光时域反射仪、网络测试仪、安全帽、扳手等，能够满足施工现场需求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5）过程运行环境：各部门办公区域均设置了空调，各部门办公区域干净整洁、通风照明状况良好、温度适宜；施工现场严格按照安全文明施工要求对施工环境进行控制；</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6）配备有能满足现场施工需求的计量器具；万用表、钢卷尺等</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7）文件资源：组织建立了确保管理体系有效运行所需的形成文件的信息。 </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企业投入体系管理的人员、技术、资金、基础设施等资源基本能够满足管理体系运行需要，满足建筑智能化工程的施工（仅限资质范围内）专业承包的需要。</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A2"/>
            </w:r>
            <w:r>
              <w:rPr>
                <w:rFonts w:hint="eastAsia" w:ascii="华文楷体" w:hAnsi="华文楷体" w:eastAsia="华文楷体" w:cs="华文楷体"/>
                <w:color w:val="auto"/>
                <w:sz w:val="21"/>
                <w:szCs w:val="21"/>
              </w:rPr>
              <w:t>企业投入体系管理的人员、技术、资金、基础设施等资源基本能够满足管理体系运行需要.</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56"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总则</w:t>
            </w:r>
          </w:p>
        </w:tc>
        <w:tc>
          <w:tcPr>
            <w:tcW w:w="278" w:type="pct"/>
            <w:noWrap w:val="0"/>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QEO</w:t>
            </w:r>
            <w:r>
              <w:rPr>
                <w:rFonts w:hint="eastAsia" w:ascii="华文楷体" w:hAnsi="华文楷体" w:eastAsia="华文楷体" w:cs="华文楷体"/>
                <w:color w:val="auto"/>
                <w:sz w:val="21"/>
                <w:szCs w:val="21"/>
              </w:rPr>
              <w:t>9.1</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J12.3/</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12.4</w:t>
            </w:r>
          </w:p>
        </w:tc>
        <w:tc>
          <w:tcPr>
            <w:tcW w:w="4006" w:type="pct"/>
            <w:noWrap w:val="0"/>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组织策划了对绩效的监视和测量，对绩效的分析和评价，对事项进行汇报的程序等。保留了必要的记录文件。</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公司通过管理评审和内部审核，以及定期的目标考核，对发现的问题采取纠正和必要的纠正措施，确保管理体系绩效和有效性。</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noWrap w:val="0"/>
            <w:vAlign w:val="top"/>
          </w:tcPr>
          <w:p>
            <w:pPr>
              <w:adjustRightInd w:val="0"/>
              <w:snapToGrid w:val="0"/>
              <w:spacing w:line="360" w:lineRule="auto"/>
              <w:jc w:val="left"/>
              <w:rPr>
                <w:rFonts w:hint="eastAsia" w:ascii="华文楷体" w:hAnsi="华文楷体" w:eastAsia="华文楷体" w:cs="华文楷体"/>
                <w:color w:val="auto"/>
                <w:sz w:val="21"/>
                <w:szCs w:val="21"/>
              </w:rPr>
            </w:pPr>
          </w:p>
          <w:p>
            <w:pPr>
              <w:adjustRightInd w:val="0"/>
              <w:snapToGrid w:val="0"/>
              <w:spacing w:line="360" w:lineRule="auto"/>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管理评审</w:t>
            </w:r>
          </w:p>
        </w:tc>
        <w:tc>
          <w:tcPr>
            <w:tcW w:w="278" w:type="pct"/>
            <w:noWrap w:val="0"/>
            <w:vAlign w:val="top"/>
          </w:tcPr>
          <w:p>
            <w:pPr>
              <w:spacing w:line="360" w:lineRule="auto"/>
              <w:rPr>
                <w:rFonts w:hint="eastAsia" w:ascii="华文楷体" w:hAnsi="华文楷体" w:eastAsia="华文楷体" w:cs="华文楷体"/>
                <w:color w:val="auto"/>
                <w:sz w:val="21"/>
                <w:szCs w:val="21"/>
              </w:rPr>
            </w:pP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w:t>
            </w:r>
            <w:r>
              <w:rPr>
                <w:rFonts w:hint="eastAsia" w:ascii="华文楷体" w:hAnsi="华文楷体" w:eastAsia="华文楷体" w:cs="华文楷体"/>
                <w:color w:val="auto"/>
                <w:sz w:val="21"/>
                <w:szCs w:val="21"/>
                <w:lang w:val="en-US" w:eastAsia="zh-CN"/>
              </w:rPr>
              <w:t>EO</w:t>
            </w:r>
            <w:r>
              <w:rPr>
                <w:rFonts w:hint="eastAsia" w:ascii="华文楷体" w:hAnsi="华文楷体" w:eastAsia="华文楷体" w:cs="华文楷体"/>
                <w:color w:val="auto"/>
                <w:sz w:val="21"/>
                <w:szCs w:val="21"/>
              </w:rPr>
              <w:t xml:space="preserve">9.3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J12.3/</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12.4</w:t>
            </w:r>
          </w:p>
        </w:tc>
        <w:tc>
          <w:tcPr>
            <w:tcW w:w="4006" w:type="pct"/>
            <w:noWrap w:val="0"/>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制定并执行《管理评审控制程序》：一年至少要进行一次管理评审，由总经理主持。特殊情况下，可增加管理评审频次。</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查管理评审的计划：管理评审的时间：202</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年9月</w:t>
            </w:r>
            <w:r>
              <w:rPr>
                <w:rFonts w:hint="eastAsia" w:ascii="华文楷体" w:hAnsi="华文楷体" w:eastAsia="华文楷体" w:cs="华文楷体"/>
                <w:color w:val="auto"/>
                <w:sz w:val="21"/>
                <w:szCs w:val="21"/>
                <w:lang w:val="en-US" w:eastAsia="zh-CN"/>
              </w:rPr>
              <w:t>13</w:t>
            </w:r>
            <w:r>
              <w:rPr>
                <w:rFonts w:hint="eastAsia" w:ascii="华文楷体" w:hAnsi="华文楷体" w:eastAsia="华文楷体" w:cs="华文楷体"/>
                <w:color w:val="auto"/>
                <w:sz w:val="21"/>
                <w:szCs w:val="21"/>
              </w:rPr>
              <w:t>日</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 xml:space="preserve"> 上一年</w:t>
            </w:r>
            <w:r>
              <w:rPr>
                <w:rFonts w:hint="eastAsia" w:ascii="华文楷体" w:hAnsi="华文楷体" w:eastAsia="华文楷体" w:cs="华文楷体"/>
                <w:color w:val="auto"/>
                <w:sz w:val="21"/>
                <w:szCs w:val="21"/>
              </w:rPr>
              <w:t>管理评审的时间：202</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年9月</w:t>
            </w:r>
            <w:r>
              <w:rPr>
                <w:rFonts w:hint="eastAsia" w:ascii="华文楷体" w:hAnsi="华文楷体" w:eastAsia="华文楷体" w:cs="华文楷体"/>
                <w:color w:val="auto"/>
                <w:sz w:val="21"/>
                <w:szCs w:val="21"/>
                <w:lang w:val="en-US" w:eastAsia="zh-CN"/>
              </w:rPr>
              <w:t>16</w:t>
            </w:r>
            <w:r>
              <w:rPr>
                <w:rFonts w:hint="eastAsia" w:ascii="华文楷体" w:hAnsi="华文楷体" w:eastAsia="华文楷体" w:cs="华文楷体"/>
                <w:color w:val="auto"/>
                <w:sz w:val="21"/>
                <w:szCs w:val="21"/>
              </w:rPr>
              <w:t>日</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主持人：总经理    参加人：领导层、各部门负责人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要求每个部门需提交的管理评审输入内容包含了标准条款的要求。时间安排符合程序文件的要求。</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查看管理评审输入的资料：</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a.管理体系审核结果以及合规性评价的结果；</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b.顾客投诉的处理，顾客的满意度测量结果及反馈的重要信息，以及来自外部其他相关方的信息，包括相关方的抱怨。</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c.重大质量、环境、安全事故的处理，过程及产品质量趋势；</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d.管理体系运行状况，包括管理方针和目标以及实现程度。</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e.环境管理体系运行绩效。</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f.纠正预防和改进措施的实施</w:t>
            </w:r>
            <w:r>
              <w:rPr>
                <w:rFonts w:hint="eastAsia" w:ascii="华文楷体" w:hAnsi="华文楷体" w:eastAsia="华文楷体" w:cs="华文楷体"/>
                <w:color w:val="auto"/>
                <w:sz w:val="21"/>
                <w:szCs w:val="21"/>
                <w:lang w:val="en-US" w:eastAsia="zh-CN"/>
              </w:rPr>
              <w:t>和上次审核不符合项的整改</w:t>
            </w:r>
            <w:r>
              <w:rPr>
                <w:rFonts w:hint="eastAsia" w:ascii="华文楷体" w:hAnsi="华文楷体" w:eastAsia="华文楷体" w:cs="华文楷体"/>
                <w:color w:val="auto"/>
                <w:sz w:val="21"/>
                <w:szCs w:val="21"/>
              </w:rPr>
              <w:t>情况。</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g.可能影响管理体系的变更（如公司组织结构、产品结构、资源发生的重大改变和调整；相关法律法规、标准及其他要求发生变更。）</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h.员工的合理化改进建议。</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输入内容基本符合标准要求。</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line="360" w:lineRule="auto"/>
              <w:rPr>
                <w:rFonts w:hint="default"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查看管理评审报告，批准：王霞202</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.9.</w:t>
            </w:r>
            <w:r>
              <w:rPr>
                <w:rFonts w:hint="eastAsia" w:ascii="华文楷体" w:hAnsi="华文楷体" w:eastAsia="华文楷体" w:cs="华文楷体"/>
                <w:color w:val="auto"/>
                <w:sz w:val="21"/>
                <w:szCs w:val="21"/>
                <w:lang w:val="en-US" w:eastAsia="zh-CN"/>
              </w:rPr>
              <w:t>13</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评审结论：公司按照GB/T19001-2016、GB/T50430-2017、GB/T24001-2016、ISO45001:2018标准建立的管理体系管理体系，是持续适宜、充分的和有效的。达到了顾客满意和持续改进的目的。</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改进的建议：进一步组织对ISO9001:2015、</w:t>
            </w:r>
            <w:r>
              <w:rPr>
                <w:rFonts w:hint="eastAsia" w:ascii="华文楷体" w:hAnsi="华文楷体" w:eastAsia="华文楷体" w:cs="华文楷体"/>
                <w:color w:val="auto"/>
                <w:sz w:val="21"/>
                <w:szCs w:val="21"/>
                <w:lang w:eastAsia="zh-CN"/>
              </w:rPr>
              <w:t>GB/T45001-20</w:t>
            </w:r>
            <w:r>
              <w:rPr>
                <w:rFonts w:hint="eastAsia" w:ascii="华文楷体" w:hAnsi="华文楷体" w:eastAsia="华文楷体" w:cs="华文楷体"/>
                <w:color w:val="auto"/>
                <w:sz w:val="21"/>
                <w:szCs w:val="21"/>
                <w:lang w:val="en-US" w:eastAsia="zh-CN"/>
              </w:rPr>
              <w:t>20</w:t>
            </w:r>
            <w:r>
              <w:rPr>
                <w:rFonts w:hint="eastAsia" w:ascii="华文楷体" w:hAnsi="华文楷体" w:eastAsia="华文楷体" w:cs="华文楷体"/>
                <w:color w:val="auto"/>
                <w:sz w:val="21"/>
                <w:szCs w:val="21"/>
              </w:rPr>
              <w:t>、ISO14001：2015、</w:t>
            </w:r>
            <w:r>
              <w:rPr>
                <w:rFonts w:hint="eastAsia" w:ascii="华文楷体" w:hAnsi="华文楷体" w:eastAsia="华文楷体" w:cs="华文楷体"/>
                <w:color w:val="auto"/>
                <w:sz w:val="21"/>
                <w:szCs w:val="21"/>
                <w:lang w:eastAsia="zh-CN"/>
              </w:rPr>
              <w:t>GB/T 50430-2017</w:t>
            </w:r>
            <w:r>
              <w:rPr>
                <w:rFonts w:hint="eastAsia" w:ascii="华文楷体" w:hAnsi="华文楷体" w:eastAsia="华文楷体" w:cs="华文楷体"/>
                <w:color w:val="auto"/>
                <w:sz w:val="21"/>
                <w:szCs w:val="21"/>
              </w:rPr>
              <w:t>标准、《管理手册》、《管理程序文件》的学习和培训，使与管理体系有关的人员了解和掌握标准和本公司管理体系文件的内容，特别是应该提高内审员的水平和技巧。</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经查，已实施完成。</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noWrap w:val="0"/>
            <w:vAlign w:val="top"/>
          </w:tcPr>
          <w:p>
            <w:pPr>
              <w:tabs>
                <w:tab w:val="center" w:pos="3169"/>
              </w:tabs>
              <w:spacing w:line="360" w:lineRule="auto"/>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改进 总则</w:t>
            </w:r>
          </w:p>
          <w:p>
            <w:pPr>
              <w:tabs>
                <w:tab w:val="center" w:pos="3169"/>
              </w:tabs>
              <w:spacing w:line="360" w:lineRule="auto"/>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不符合和纠正措施</w:t>
            </w:r>
          </w:p>
          <w:p>
            <w:pPr>
              <w:adjustRightInd w:val="0"/>
              <w:snapToGrid w:val="0"/>
              <w:spacing w:line="360" w:lineRule="auto"/>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持续改进</w:t>
            </w:r>
          </w:p>
        </w:tc>
        <w:tc>
          <w:tcPr>
            <w:tcW w:w="278" w:type="pct"/>
            <w:noWrap w:val="0"/>
            <w:vAlign w:val="top"/>
          </w:tcPr>
          <w:p>
            <w:pPr>
              <w:tabs>
                <w:tab w:val="center" w:pos="3169"/>
              </w:tabs>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w:t>
            </w:r>
            <w:r>
              <w:rPr>
                <w:rFonts w:hint="eastAsia" w:ascii="华文楷体" w:hAnsi="华文楷体" w:eastAsia="华文楷体" w:cs="华文楷体"/>
                <w:color w:val="auto"/>
                <w:sz w:val="21"/>
                <w:szCs w:val="21"/>
                <w:lang w:val="en-US" w:eastAsia="zh-CN"/>
              </w:rPr>
              <w:t>EO</w:t>
            </w:r>
            <w:r>
              <w:rPr>
                <w:rFonts w:hint="eastAsia" w:ascii="华文楷体" w:hAnsi="华文楷体" w:eastAsia="华文楷体" w:cs="华文楷体"/>
                <w:color w:val="auto"/>
                <w:sz w:val="21"/>
                <w:szCs w:val="21"/>
              </w:rPr>
              <w:t>10.1</w:t>
            </w:r>
          </w:p>
          <w:p>
            <w:pPr>
              <w:tabs>
                <w:tab w:val="center" w:pos="3169"/>
              </w:tabs>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10.3；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J12.5</w:t>
            </w:r>
          </w:p>
        </w:tc>
        <w:tc>
          <w:tcPr>
            <w:tcW w:w="4006" w:type="pct"/>
            <w:noWrap w:val="0"/>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查公司在建立、实施管理体系中：</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a.制订各种控制程序文件；</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b.通过内审、管理评审评价管理体系的符合性；</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c.通过对绩效的监视测量评价软件开发过程涉及质量、环境、职业健康安全管理的符合性；通过日常数据分析，采取纠正、预防措施，达到持续改进目的。</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查持续改进：</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a. 通过管理体系运行，管理方针、目标的实施，内审、管理评审进行持续改进；</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b. 通过数据分析、纠正、预防措施实施达到持续改进；</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c. 通过顾客满意度调查，改进、提高产品质量，满足顾客需求，达到持续改进的目的。</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管理评审提出改进措施：增加GB/T19001-2016、GB/T50430-2017、GB/T24001-2016、ISO45001:2018标准要求、公司管理体系文件的培训，提高全体员工的质量、环境、安全意识，确保管理体系在公司经营、施工过程中的有效应用。</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针对改进建议公司已经制定相应的改进措施，目前正在持续实施中。</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456"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国家/地方抽查、顾客满意、相关方投诉处理</w:t>
            </w:r>
          </w:p>
        </w:tc>
        <w:tc>
          <w:tcPr>
            <w:tcW w:w="278" w:type="pct"/>
            <w:noWrap w:val="0"/>
            <w:vAlign w:val="top"/>
          </w:tcPr>
          <w:p>
            <w:pPr>
              <w:spacing w:line="360" w:lineRule="auto"/>
              <w:ind w:firstLine="420" w:firstLineChars="200"/>
              <w:rPr>
                <w:rFonts w:hint="eastAsia" w:ascii="华文楷体" w:hAnsi="华文楷体" w:eastAsia="华文楷体" w:cs="华文楷体"/>
                <w:color w:val="auto"/>
                <w:sz w:val="21"/>
                <w:szCs w:val="21"/>
              </w:rPr>
            </w:pPr>
          </w:p>
        </w:tc>
        <w:tc>
          <w:tcPr>
            <w:tcW w:w="4006" w:type="pct"/>
            <w:noWrap w:val="0"/>
            <w:vAlign w:val="top"/>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自公司成立以来，未受到上级主管部门有关环境问题的行政处罚。未发生相关方的投诉。</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暂没有国家/地方抽查情况。</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目前没有相关行政主管部门的检查处罚，在审核时也未发现抽查、相关方投诉等情况。</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56" w:type="pct"/>
            <w:noWrap w:val="0"/>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验证资质</w:t>
            </w:r>
            <w:r>
              <w:rPr>
                <w:rFonts w:hint="eastAsia" w:ascii="华文楷体" w:hAnsi="华文楷体" w:eastAsia="华文楷体" w:cs="华文楷体"/>
                <w:b w:val="0"/>
                <w:bCs w:val="0"/>
                <w:color w:val="auto"/>
                <w:sz w:val="21"/>
                <w:szCs w:val="21"/>
                <w:lang w:val="en-US" w:eastAsia="zh-CN"/>
              </w:rPr>
              <w:t>上一年度</w:t>
            </w:r>
            <w:r>
              <w:rPr>
                <w:rFonts w:hint="eastAsia" w:ascii="华文楷体" w:hAnsi="华文楷体" w:eastAsia="华文楷体" w:cs="华文楷体"/>
                <w:b w:val="0"/>
                <w:bCs w:val="0"/>
                <w:color w:val="auto"/>
                <w:sz w:val="21"/>
                <w:szCs w:val="21"/>
              </w:rPr>
              <w:t>不符合项整改</w:t>
            </w:r>
          </w:p>
        </w:tc>
        <w:tc>
          <w:tcPr>
            <w:tcW w:w="278" w:type="pct"/>
            <w:noWrap w:val="0"/>
            <w:vAlign w:val="top"/>
          </w:tcPr>
          <w:p>
            <w:pPr>
              <w:spacing w:line="360" w:lineRule="auto"/>
              <w:ind w:firstLine="420" w:firstLineChars="200"/>
              <w:rPr>
                <w:rFonts w:hint="eastAsia" w:ascii="华文楷体" w:hAnsi="华文楷体" w:eastAsia="华文楷体" w:cs="华文楷体"/>
                <w:color w:val="auto"/>
                <w:sz w:val="21"/>
                <w:szCs w:val="21"/>
              </w:rPr>
            </w:pPr>
          </w:p>
        </w:tc>
        <w:tc>
          <w:tcPr>
            <w:tcW w:w="4006" w:type="pct"/>
            <w:noWrap w:val="0"/>
            <w:vAlign w:val="top"/>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证书名称</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证书编号</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有效期</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营业执照</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91360100787254134Y</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长期</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安全生产许可证</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(赣)JZ安许证字[2019]000017</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ab/>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电子与智能化工程专业承包贰级</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D236150800</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ab/>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提供</w:t>
            </w:r>
            <w:r>
              <w:rPr>
                <w:rFonts w:hint="eastAsia" w:ascii="华文楷体" w:hAnsi="华文楷体" w:eastAsia="华文楷体" w:cs="华文楷体"/>
                <w:color w:val="auto"/>
                <w:sz w:val="21"/>
                <w:szCs w:val="21"/>
                <w:lang w:val="en-US" w:eastAsia="zh-CN"/>
              </w:rPr>
              <w:t>的以上证书</w:t>
            </w:r>
            <w:r>
              <w:rPr>
                <w:rFonts w:hint="eastAsia" w:ascii="华文楷体" w:hAnsi="华文楷体" w:eastAsia="华文楷体" w:cs="华文楷体"/>
                <w:color w:val="auto"/>
                <w:sz w:val="21"/>
                <w:szCs w:val="21"/>
              </w:rPr>
              <w:t>均为有效。</w:t>
            </w:r>
            <w:r>
              <w:rPr>
                <w:rFonts w:hint="eastAsia" w:ascii="华文楷体" w:hAnsi="华文楷体" w:eastAsia="华文楷体" w:cs="华文楷体"/>
                <w:b w:val="0"/>
                <w:bCs w:val="0"/>
                <w:color w:val="auto"/>
                <w:sz w:val="21"/>
                <w:szCs w:val="21"/>
                <w:lang w:val="en-US" w:eastAsia="zh-CN"/>
              </w:rPr>
              <w:t>上一年度</w:t>
            </w:r>
            <w:r>
              <w:rPr>
                <w:rFonts w:hint="eastAsia" w:ascii="华文楷体" w:hAnsi="华文楷体" w:eastAsia="华文楷体" w:cs="华文楷体"/>
                <w:b w:val="0"/>
                <w:bCs w:val="0"/>
                <w:color w:val="auto"/>
                <w:sz w:val="21"/>
                <w:szCs w:val="21"/>
              </w:rPr>
              <w:t>不符合项</w:t>
            </w:r>
            <w:r>
              <w:rPr>
                <w:rFonts w:hint="eastAsia" w:ascii="华文楷体" w:hAnsi="华文楷体" w:eastAsia="华文楷体" w:cs="华文楷体"/>
                <w:b w:val="0"/>
                <w:bCs w:val="0"/>
                <w:color w:val="auto"/>
                <w:sz w:val="21"/>
                <w:szCs w:val="21"/>
                <w:lang w:val="en-US" w:eastAsia="zh-CN"/>
              </w:rPr>
              <w:t>经现场验证整改有效。</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456" w:type="pct"/>
            <w:noWrap w:val="0"/>
            <w:vAlign w:val="center"/>
          </w:tcPr>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Q8.3 J10.3设计删减确认</w:t>
            </w:r>
          </w:p>
        </w:tc>
        <w:tc>
          <w:tcPr>
            <w:tcW w:w="278" w:type="pct"/>
            <w:noWrap w:val="0"/>
            <w:vAlign w:val="center"/>
          </w:tcPr>
          <w:p>
            <w:pPr>
              <w:spacing w:line="360" w:lineRule="auto"/>
              <w:rPr>
                <w:rFonts w:hint="eastAsia" w:ascii="华文楷体" w:hAnsi="华文楷体" w:eastAsia="华文楷体" w:cs="华文楷体"/>
                <w:color w:val="auto"/>
                <w:sz w:val="21"/>
                <w:szCs w:val="21"/>
              </w:rPr>
            </w:pPr>
          </w:p>
        </w:tc>
        <w:tc>
          <w:tcPr>
            <w:tcW w:w="4006" w:type="pct"/>
            <w:noWrap w:val="0"/>
            <w:vAlign w:val="center"/>
          </w:tcPr>
          <w:p>
            <w:pPr>
              <w:numPr>
                <w:ilvl w:val="0"/>
                <w:numId w:val="0"/>
              </w:numPr>
              <w:adjustRightInd w:val="0"/>
              <w:spacing w:line="360" w:lineRule="auto"/>
              <w:ind w:leftChars="0" w:firstLine="420" w:firstLineChars="200"/>
              <w:textAlignment w:val="baseline"/>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质量手册有阐明范围，不适用条款识别，不适用条款为8.3，</w:t>
            </w:r>
            <w:r>
              <w:rPr>
                <w:rFonts w:hint="eastAsia" w:ascii="华文楷体" w:hAnsi="华文楷体" w:eastAsia="华文楷体" w:cs="华文楷体"/>
                <w:bCs/>
                <w:color w:val="auto"/>
                <w:sz w:val="21"/>
                <w:szCs w:val="21"/>
              </w:rPr>
              <w:t>说明:</w:t>
            </w:r>
            <w:r>
              <w:rPr>
                <w:rFonts w:hint="eastAsia" w:ascii="华文楷体" w:hAnsi="华文楷体" w:eastAsia="华文楷体" w:cs="华文楷体"/>
                <w:color w:val="auto"/>
                <w:sz w:val="21"/>
                <w:szCs w:val="21"/>
              </w:rPr>
              <w:t>公司所承建的工程项目，工程设计阶段均是由建设单位委托设计单位承担，所以本手册对GB/T19001-2016标准8.3条款和GB/T50430-2017规范10.3条款的要求予以删减。该删减既不影响公司提供满足行业标准和客户要求的工程项目，也不减少公司满足法律和法规要求的责任（在建筑施工前有对图纸进行会审及建筑施工过程中提出设计更改的权利与义务）</w:t>
            </w:r>
            <w:r>
              <w:rPr>
                <w:rFonts w:hint="eastAsia" w:ascii="华文楷体" w:hAnsi="华文楷体" w:eastAsia="华文楷体" w:cs="华文楷体"/>
                <w:color w:val="auto"/>
                <w:sz w:val="21"/>
                <w:szCs w:val="21"/>
                <w:lang w:eastAsia="zh-CN"/>
              </w:rPr>
              <w:t>。</w:t>
            </w:r>
          </w:p>
        </w:tc>
        <w:tc>
          <w:tcPr>
            <w:tcW w:w="258" w:type="pct"/>
            <w:noWrap w:val="0"/>
            <w:vAlign w:val="top"/>
          </w:tcPr>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OK</w:t>
            </w:r>
          </w:p>
          <w:p>
            <w:pPr>
              <w:spacing w:line="360" w:lineRule="auto"/>
              <w:rPr>
                <w:rFonts w:hint="eastAsia" w:ascii="华文楷体" w:hAnsi="华文楷体" w:eastAsia="华文楷体" w:cs="华文楷体"/>
                <w:color w:val="auto"/>
                <w:sz w:val="21"/>
                <w:szCs w:val="21"/>
              </w:rPr>
            </w:pPr>
          </w:p>
        </w:tc>
      </w:tr>
    </w:tbl>
    <w:p>
      <w:pPr>
        <w:spacing w:line="360" w:lineRule="auto"/>
        <w:ind w:firstLine="5760" w:firstLineChars="1600"/>
        <w:jc w:val="both"/>
        <w:rPr>
          <w:rFonts w:hint="eastAsia" w:asciiTheme="minorEastAsia" w:hAnsiTheme="minorEastAsia" w:eastAsiaTheme="minorEastAsia" w:cstheme="minorEastAsia"/>
          <w:bCs/>
          <w:color w:val="000000"/>
          <w:sz w:val="36"/>
          <w:szCs w:val="36"/>
        </w:rPr>
      </w:pPr>
    </w:p>
    <w:p>
      <w:pPr>
        <w:spacing w:line="360" w:lineRule="auto"/>
        <w:ind w:firstLine="5760" w:firstLineChars="1600"/>
        <w:jc w:val="both"/>
        <w:rPr>
          <w:rFonts w:hint="eastAsia" w:asciiTheme="minorEastAsia" w:hAnsiTheme="minorEastAsia" w:eastAsiaTheme="minorEastAsia" w:cstheme="minorEastAsia"/>
          <w:bCs/>
          <w:color w:val="000000"/>
          <w:sz w:val="36"/>
          <w:szCs w:val="36"/>
        </w:rPr>
      </w:pPr>
    </w:p>
    <w:p>
      <w:pPr>
        <w:spacing w:line="360" w:lineRule="auto"/>
        <w:ind w:firstLine="5760" w:firstLineChars="1600"/>
        <w:jc w:val="both"/>
        <w:rPr>
          <w:rFonts w:hint="eastAsia" w:asciiTheme="minorEastAsia" w:hAnsiTheme="minorEastAsia" w:eastAsiaTheme="minorEastAsia" w:cstheme="minorEastAsia"/>
          <w:bCs/>
          <w:color w:val="000000"/>
          <w:sz w:val="36"/>
          <w:szCs w:val="36"/>
        </w:rPr>
      </w:pPr>
    </w:p>
    <w:p>
      <w:pPr>
        <w:spacing w:line="360" w:lineRule="auto"/>
        <w:ind w:firstLine="5760" w:firstLineChars="1600"/>
        <w:jc w:val="both"/>
        <w:rPr>
          <w:rFonts w:hint="eastAsia" w:asciiTheme="minorEastAsia" w:hAnsiTheme="minorEastAsia" w:eastAsiaTheme="minorEastAsia" w:cstheme="minorEastAsia"/>
          <w:bCs/>
          <w:color w:val="000000"/>
          <w:sz w:val="36"/>
          <w:szCs w:val="36"/>
        </w:rPr>
      </w:pPr>
    </w:p>
    <w:p>
      <w:pPr>
        <w:spacing w:line="360" w:lineRule="auto"/>
        <w:ind w:firstLine="5760" w:firstLineChars="1600"/>
        <w:jc w:val="both"/>
        <w:rPr>
          <w:rFonts w:hint="eastAsia" w:asciiTheme="minorEastAsia" w:hAnsiTheme="minorEastAsia" w:eastAsiaTheme="minorEastAsia" w:cstheme="minorEastAsia"/>
          <w:bCs/>
          <w:color w:val="000000"/>
          <w:sz w:val="36"/>
          <w:szCs w:val="36"/>
        </w:rPr>
      </w:pPr>
    </w:p>
    <w:p>
      <w:pPr>
        <w:spacing w:line="360" w:lineRule="auto"/>
        <w:ind w:firstLine="5760" w:firstLineChars="1600"/>
        <w:jc w:val="both"/>
        <w:rPr>
          <w:rFonts w:hint="eastAsia" w:asciiTheme="minorEastAsia" w:hAnsiTheme="minorEastAsia" w:eastAsiaTheme="minorEastAsia" w:cstheme="minorEastAsia"/>
          <w:bCs/>
          <w:color w:val="000000"/>
          <w:sz w:val="36"/>
          <w:szCs w:val="36"/>
        </w:rPr>
      </w:pPr>
    </w:p>
    <w:p>
      <w:pPr>
        <w:spacing w:line="360" w:lineRule="auto"/>
        <w:ind w:firstLine="5760" w:firstLineChars="1600"/>
        <w:jc w:val="both"/>
        <w:rPr>
          <w:rFonts w:hint="eastAsia" w:asciiTheme="minorEastAsia" w:hAnsiTheme="minorEastAsia" w:eastAsiaTheme="minorEastAsia" w:cstheme="minorEastAsia"/>
          <w:bCs/>
          <w:color w:val="000000"/>
          <w:sz w:val="36"/>
          <w:szCs w:val="36"/>
        </w:rPr>
      </w:pPr>
    </w:p>
    <w:p>
      <w:pPr>
        <w:spacing w:line="360" w:lineRule="auto"/>
        <w:ind w:firstLine="5760" w:firstLineChars="1600"/>
        <w:jc w:val="both"/>
        <w:rPr>
          <w:rFonts w:hint="eastAsia" w:asciiTheme="minorEastAsia" w:hAnsiTheme="minorEastAsia" w:eastAsiaTheme="minorEastAsia" w:cstheme="minorEastAsia"/>
          <w:bCs/>
          <w:color w:val="000000"/>
          <w:sz w:val="36"/>
          <w:szCs w:val="36"/>
        </w:rPr>
      </w:pPr>
    </w:p>
    <w:p>
      <w:pPr>
        <w:spacing w:line="360" w:lineRule="auto"/>
        <w:ind w:firstLine="5760" w:firstLineChars="1600"/>
        <w:jc w:val="both"/>
        <w:rPr>
          <w:rFonts w:hint="eastAsia" w:asciiTheme="minorEastAsia" w:hAnsiTheme="minorEastAsia" w:eastAsiaTheme="minorEastAsia" w:cstheme="minorEastAsia"/>
          <w:bCs/>
          <w:color w:val="000000"/>
          <w:sz w:val="36"/>
          <w:szCs w:val="36"/>
        </w:rPr>
      </w:pPr>
    </w:p>
    <w:p>
      <w:pPr>
        <w:spacing w:line="360" w:lineRule="auto"/>
        <w:ind w:firstLine="5760" w:firstLineChars="1600"/>
        <w:jc w:val="both"/>
        <w:rPr>
          <w:rFonts w:hint="eastAsia" w:asciiTheme="minorEastAsia" w:hAnsiTheme="minorEastAsia" w:eastAsiaTheme="minorEastAsia" w:cstheme="minorEastAsia"/>
          <w:bCs/>
          <w:color w:val="000000"/>
          <w:sz w:val="36"/>
          <w:szCs w:val="36"/>
        </w:rPr>
      </w:pPr>
    </w:p>
    <w:p>
      <w:pPr>
        <w:pStyle w:val="2"/>
        <w:rPr>
          <w:rFonts w:hint="eastAsia" w:asciiTheme="minorEastAsia" w:hAnsiTheme="minorEastAsia" w:eastAsiaTheme="minorEastAsia" w:cstheme="minorEastAsia"/>
          <w:bCs/>
          <w:color w:val="000000"/>
          <w:sz w:val="36"/>
          <w:szCs w:val="36"/>
        </w:rPr>
      </w:pPr>
    </w:p>
    <w:p>
      <w:pPr>
        <w:pStyle w:val="2"/>
        <w:rPr>
          <w:rFonts w:hint="eastAsia" w:asciiTheme="minorEastAsia" w:hAnsiTheme="minorEastAsia" w:eastAsiaTheme="minorEastAsia" w:cstheme="minorEastAsia"/>
          <w:bCs/>
          <w:color w:val="000000"/>
          <w:sz w:val="36"/>
          <w:szCs w:val="36"/>
        </w:rPr>
      </w:pPr>
    </w:p>
    <w:p>
      <w:pPr>
        <w:pStyle w:val="2"/>
        <w:rPr>
          <w:rFonts w:hint="eastAsia" w:asciiTheme="minorEastAsia" w:hAnsiTheme="minorEastAsia" w:eastAsiaTheme="minorEastAsia" w:cstheme="minorEastAsia"/>
          <w:bCs/>
          <w:color w:val="000000"/>
          <w:sz w:val="36"/>
          <w:szCs w:val="36"/>
        </w:rPr>
      </w:pPr>
    </w:p>
    <w:p>
      <w:pPr>
        <w:spacing w:line="360" w:lineRule="auto"/>
        <w:ind w:firstLine="5760" w:firstLineChars="160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41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过程与活动、</w:t>
            </w:r>
          </w:p>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抽样计划</w:t>
            </w:r>
          </w:p>
        </w:tc>
        <w:tc>
          <w:tcPr>
            <w:tcW w:w="845" w:type="dxa"/>
            <w:vMerge w:val="restart"/>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涉及</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条款</w:t>
            </w:r>
          </w:p>
        </w:tc>
        <w:tc>
          <w:tcPr>
            <w:tcW w:w="11410" w:type="dxa"/>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受审核部门：</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 xml:space="preserve">     主管领导：</w:t>
            </w:r>
            <w:r>
              <w:rPr>
                <w:rFonts w:hint="eastAsia" w:ascii="华文楷体" w:hAnsi="华文楷体" w:eastAsia="华文楷体" w:cs="华文楷体"/>
                <w:color w:val="auto"/>
                <w:kern w:val="0"/>
                <w:sz w:val="21"/>
                <w:szCs w:val="21"/>
                <w:lang w:val="en-US" w:eastAsia="zh-CN" w:bidi="ar"/>
              </w:rPr>
              <w:t>廉  玥</w:t>
            </w:r>
            <w:r>
              <w:rPr>
                <w:rFonts w:hint="eastAsia" w:ascii="华文楷体" w:hAnsi="华文楷体" w:eastAsia="华文楷体" w:cs="华文楷体"/>
                <w:color w:val="auto"/>
                <w:sz w:val="21"/>
                <w:szCs w:val="21"/>
              </w:rPr>
              <w:t xml:space="preserve">     陪同人员：</w:t>
            </w:r>
            <w:r>
              <w:rPr>
                <w:rFonts w:hint="eastAsia" w:ascii="华文楷体" w:hAnsi="华文楷体" w:eastAsia="华文楷体" w:cs="华文楷体"/>
                <w:color w:val="auto"/>
                <w:kern w:val="0"/>
                <w:sz w:val="21"/>
                <w:szCs w:val="21"/>
                <w:lang w:val="en-US" w:eastAsia="zh-CN" w:bidi="ar"/>
              </w:rPr>
              <w:t>许丽娜</w:t>
            </w:r>
          </w:p>
        </w:tc>
        <w:tc>
          <w:tcPr>
            <w:tcW w:w="655" w:type="dxa"/>
            <w:vMerge w:val="restart"/>
            <w:vAlign w:val="center"/>
          </w:tcPr>
          <w:p>
            <w:pPr>
              <w:spacing w:line="360" w:lineRule="auto"/>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spacing w:line="360" w:lineRule="auto"/>
              <w:rPr>
                <w:rFonts w:hint="eastAsia" w:ascii="华文楷体" w:hAnsi="华文楷体" w:eastAsia="华文楷体" w:cs="华文楷体"/>
                <w:color w:val="auto"/>
                <w:sz w:val="21"/>
                <w:szCs w:val="21"/>
              </w:rPr>
            </w:pPr>
          </w:p>
        </w:tc>
        <w:tc>
          <w:tcPr>
            <w:tcW w:w="845" w:type="dxa"/>
            <w:vMerge w:val="continue"/>
            <w:vAlign w:val="center"/>
          </w:tcPr>
          <w:p>
            <w:pPr>
              <w:spacing w:line="360" w:lineRule="auto"/>
              <w:rPr>
                <w:rFonts w:hint="eastAsia" w:ascii="华文楷体" w:hAnsi="华文楷体" w:eastAsia="华文楷体" w:cs="华文楷体"/>
                <w:color w:val="auto"/>
                <w:sz w:val="21"/>
                <w:szCs w:val="21"/>
              </w:rPr>
            </w:pPr>
          </w:p>
        </w:tc>
        <w:tc>
          <w:tcPr>
            <w:tcW w:w="11410" w:type="dxa"/>
            <w:vAlign w:val="center"/>
          </w:tcPr>
          <w:p>
            <w:pPr>
              <w:spacing w:before="120"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审核员：</w:t>
            </w:r>
            <w:r>
              <w:rPr>
                <w:rFonts w:hint="eastAsia" w:ascii="华文楷体" w:hAnsi="华文楷体" w:eastAsia="华文楷体" w:cs="华文楷体"/>
                <w:color w:val="auto"/>
                <w:sz w:val="21"/>
                <w:szCs w:val="21"/>
                <w:lang w:val="en-US" w:eastAsia="zh-CN"/>
              </w:rPr>
              <w:t>李凤仪</w:t>
            </w:r>
            <w:r>
              <w:rPr>
                <w:rFonts w:hint="eastAsia" w:ascii="华文楷体" w:hAnsi="华文楷体" w:eastAsia="华文楷体" w:cs="华文楷体"/>
                <w:color w:val="auto"/>
                <w:sz w:val="21"/>
                <w:szCs w:val="21"/>
              </w:rPr>
              <w:t xml:space="preserve">                审核时间：202</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年1</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日</w:t>
            </w:r>
            <w:r>
              <w:rPr>
                <w:rFonts w:hint="eastAsia" w:ascii="华文楷体" w:hAnsi="华文楷体" w:eastAsia="华文楷体" w:cs="华文楷体"/>
                <w:color w:val="auto"/>
                <w:sz w:val="21"/>
                <w:szCs w:val="21"/>
                <w:lang w:val="en-US" w:eastAsia="zh-CN"/>
              </w:rPr>
              <w:t xml:space="preserve">    审核方式;微信/视频</w:t>
            </w:r>
          </w:p>
        </w:tc>
        <w:tc>
          <w:tcPr>
            <w:tcW w:w="655" w:type="dxa"/>
            <w:vMerge w:val="continue"/>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spacing w:line="360" w:lineRule="auto"/>
              <w:rPr>
                <w:rFonts w:hint="eastAsia" w:ascii="华文楷体" w:hAnsi="华文楷体" w:eastAsia="华文楷体" w:cs="华文楷体"/>
                <w:color w:val="auto"/>
                <w:sz w:val="21"/>
                <w:szCs w:val="21"/>
              </w:rPr>
            </w:pPr>
          </w:p>
        </w:tc>
        <w:tc>
          <w:tcPr>
            <w:tcW w:w="845" w:type="dxa"/>
            <w:vMerge w:val="continue"/>
            <w:vAlign w:val="center"/>
          </w:tcPr>
          <w:p>
            <w:pPr>
              <w:spacing w:line="360" w:lineRule="auto"/>
              <w:rPr>
                <w:rFonts w:hint="eastAsia" w:ascii="华文楷体" w:hAnsi="华文楷体" w:eastAsia="华文楷体" w:cs="华文楷体"/>
                <w:color w:val="auto"/>
                <w:sz w:val="21"/>
                <w:szCs w:val="21"/>
              </w:rPr>
            </w:pPr>
          </w:p>
        </w:tc>
        <w:tc>
          <w:tcPr>
            <w:tcW w:w="11410" w:type="dxa"/>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审核条款：</w:t>
            </w:r>
          </w:p>
          <w:p>
            <w:pPr>
              <w:spacing w:line="300" w:lineRule="exac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Q(J):5.3(4.3)/6.1（12.3-5）、6.2(3.4)/7.4(10.5.4)/9.1.3(12.1/12.2)/9.2(12.2)/10.2(12.3)；</w:t>
            </w:r>
          </w:p>
          <w:p>
            <w:pPr>
              <w:spacing w:line="360" w:lineRule="auto"/>
              <w:rPr>
                <w:rFonts w:hint="eastAsia" w:ascii="华文楷体" w:hAnsi="华文楷体" w:eastAsia="华文楷体" w:cs="华文楷体"/>
                <w:color w:val="auto"/>
                <w:sz w:val="21"/>
                <w:szCs w:val="21"/>
              </w:rPr>
            </w:pPr>
            <w:r>
              <w:rPr>
                <w:rFonts w:hint="eastAsia" w:ascii="宋体" w:hAnsi="宋体" w:eastAsia="宋体" w:cs="宋体"/>
                <w:b w:val="0"/>
                <w:bCs w:val="0"/>
                <w:sz w:val="18"/>
                <w:szCs w:val="18"/>
              </w:rPr>
              <w:t>E</w:t>
            </w:r>
            <w:r>
              <w:rPr>
                <w:rFonts w:hint="eastAsia" w:ascii="宋体" w:hAnsi="宋体" w:eastAsia="宋体" w:cs="宋体"/>
                <w:b w:val="0"/>
                <w:bCs w:val="0"/>
                <w:sz w:val="18"/>
                <w:szCs w:val="18"/>
                <w:lang w:val="en-US" w:eastAsia="zh-CN"/>
              </w:rPr>
              <w:t>O</w:t>
            </w:r>
            <w:r>
              <w:rPr>
                <w:rFonts w:hint="eastAsia" w:ascii="宋体" w:hAnsi="宋体" w:eastAsia="宋体" w:cs="宋体"/>
                <w:b w:val="0"/>
                <w:bCs w:val="0"/>
                <w:sz w:val="18"/>
                <w:szCs w:val="18"/>
              </w:rPr>
              <w:t>: 5.3、6.2</w:t>
            </w:r>
            <w:r>
              <w:rPr>
                <w:rFonts w:hint="eastAsia" w:ascii="宋体" w:hAnsi="宋体" w:eastAsia="宋体" w:cs="宋体"/>
                <w:b w:val="0"/>
                <w:bCs w:val="0"/>
                <w:sz w:val="18"/>
                <w:szCs w:val="18"/>
                <w:lang w:eastAsia="zh-CN"/>
              </w:rPr>
              <w:t>、</w:t>
            </w:r>
            <w:r>
              <w:rPr>
                <w:rFonts w:hint="eastAsia" w:ascii="宋体" w:hAnsi="宋体" w:cs="宋体"/>
                <w:b w:val="0"/>
                <w:bCs w:val="0"/>
                <w:sz w:val="18"/>
                <w:szCs w:val="18"/>
                <w:lang w:val="en-US" w:eastAsia="zh-CN"/>
              </w:rPr>
              <w:t>7,4</w:t>
            </w:r>
            <w:r>
              <w:rPr>
                <w:rFonts w:hint="eastAsia" w:ascii="宋体" w:hAnsi="宋体" w:eastAsia="宋体" w:cs="宋体"/>
                <w:b w:val="0"/>
                <w:bCs w:val="0"/>
                <w:sz w:val="18"/>
                <w:szCs w:val="18"/>
              </w:rPr>
              <w:t>、9.2、10.2，6.1.2、6.1.3、6.1.</w:t>
            </w: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rPr>
              <w:t>、8.1、8.2</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9.1.1、9.1.2、</w:t>
            </w:r>
            <w:r>
              <w:rPr>
                <w:rFonts w:hint="eastAsia" w:ascii="宋体" w:hAnsi="宋体" w:eastAsia="宋体" w:cs="宋体"/>
                <w:b w:val="0"/>
                <w:bCs w:val="0"/>
                <w:sz w:val="18"/>
                <w:szCs w:val="18"/>
                <w:lang w:val="en-US" w:eastAsia="zh-CN"/>
              </w:rPr>
              <w:t>9.2、</w:t>
            </w:r>
            <w:r>
              <w:rPr>
                <w:rFonts w:hint="eastAsia" w:ascii="宋体" w:hAnsi="宋体" w:eastAsia="宋体" w:cs="宋体"/>
                <w:b w:val="0"/>
                <w:bCs w:val="0"/>
                <w:color w:val="auto"/>
                <w:sz w:val="18"/>
                <w:szCs w:val="18"/>
              </w:rPr>
              <w:t>10.2</w:t>
            </w:r>
          </w:p>
        </w:tc>
        <w:tc>
          <w:tcPr>
            <w:tcW w:w="655" w:type="dxa"/>
            <w:vMerge w:val="continue"/>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spacing w:line="360" w:lineRule="auto"/>
              <w:rPr>
                <w:rFonts w:hint="eastAsia" w:ascii="华文楷体" w:hAnsi="华文楷体" w:eastAsia="华文楷体" w:cs="华文楷体"/>
                <w:bCs/>
                <w:color w:val="auto"/>
                <w:sz w:val="21"/>
                <w:szCs w:val="21"/>
              </w:rPr>
            </w:pPr>
            <w:r>
              <w:rPr>
                <w:rFonts w:hint="eastAsia" w:ascii="华文楷体" w:hAnsi="华文楷体" w:eastAsia="华文楷体" w:cs="华文楷体"/>
                <w:color w:val="auto"/>
                <w:sz w:val="21"/>
                <w:szCs w:val="21"/>
              </w:rPr>
              <w:t>组织的岗位、职责权限</w:t>
            </w:r>
          </w:p>
        </w:tc>
        <w:tc>
          <w:tcPr>
            <w:tcW w:w="845" w:type="dxa"/>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QEO</w:t>
            </w:r>
          </w:p>
          <w:p>
            <w:pPr>
              <w:spacing w:line="360" w:lineRule="auto"/>
              <w:rPr>
                <w:rFonts w:hint="eastAsia" w:ascii="华文楷体" w:hAnsi="华文楷体" w:eastAsia="华文楷体" w:cs="华文楷体"/>
                <w:bCs/>
                <w:color w:val="auto"/>
                <w:sz w:val="21"/>
                <w:szCs w:val="21"/>
              </w:rPr>
            </w:pPr>
            <w:r>
              <w:rPr>
                <w:rFonts w:hint="eastAsia" w:ascii="华文楷体" w:hAnsi="华文楷体" w:eastAsia="华文楷体" w:cs="华文楷体"/>
                <w:color w:val="auto"/>
                <w:sz w:val="21"/>
                <w:szCs w:val="21"/>
              </w:rPr>
              <w:t>5.3</w:t>
            </w:r>
          </w:p>
        </w:tc>
        <w:tc>
          <w:tcPr>
            <w:tcW w:w="11410" w:type="dxa"/>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部门负责人：</w:t>
            </w:r>
            <w:r>
              <w:rPr>
                <w:rFonts w:hint="eastAsia" w:ascii="华文楷体" w:hAnsi="华文楷体" w:eastAsia="华文楷体" w:cs="华文楷体"/>
                <w:color w:val="auto"/>
                <w:kern w:val="0"/>
                <w:sz w:val="21"/>
                <w:szCs w:val="21"/>
                <w:lang w:val="en-US" w:eastAsia="zh-CN" w:bidi="ar"/>
              </w:rPr>
              <w:t>廉  玥</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询问其职责权限：主要负责公司文件的控制，即文件的编制、收发、归档、产品质量、安全环保等管理工作。负责公司人力资源及教育培训工作。负责组织内审和管理评审工作，对不合格采取纠正和预防措施；负责组织辨识和评价公司的环境因素、危险源，对办公区的环境因素、危险源进行控制管理方面的工作等。职责明确，回答基本完整。</w:t>
            </w:r>
          </w:p>
        </w:tc>
        <w:tc>
          <w:tcPr>
            <w:tcW w:w="655" w:type="dxa"/>
          </w:tcPr>
          <w:p>
            <w:pPr>
              <w:spacing w:line="360" w:lineRule="auto"/>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tcPr>
          <w:p>
            <w:pPr>
              <w:tabs>
                <w:tab w:val="left" w:pos="7380"/>
              </w:tabs>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目标、指标及完成情况</w:t>
            </w:r>
          </w:p>
        </w:tc>
        <w:tc>
          <w:tcPr>
            <w:tcW w:w="845" w:type="dxa"/>
          </w:tcPr>
          <w:p>
            <w:pPr>
              <w:tabs>
                <w:tab w:val="left" w:pos="7380"/>
              </w:tabs>
              <w:spacing w:line="360" w:lineRule="auto"/>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Q</w:t>
            </w:r>
            <w:r>
              <w:rPr>
                <w:rFonts w:hint="eastAsia" w:ascii="华文楷体" w:hAnsi="华文楷体" w:eastAsia="华文楷体" w:cs="华文楷体"/>
                <w:bCs/>
                <w:color w:val="auto"/>
                <w:sz w:val="21"/>
                <w:szCs w:val="21"/>
                <w:lang w:val="en-US" w:eastAsia="zh-CN"/>
              </w:rPr>
              <w:t>EO</w:t>
            </w:r>
            <w:r>
              <w:rPr>
                <w:rFonts w:hint="eastAsia" w:ascii="华文楷体" w:hAnsi="华文楷体" w:eastAsia="华文楷体" w:cs="华文楷体"/>
                <w:bCs/>
                <w:color w:val="auto"/>
                <w:sz w:val="21"/>
                <w:szCs w:val="21"/>
              </w:rPr>
              <w:t>6.2</w:t>
            </w:r>
          </w:p>
          <w:p>
            <w:pPr>
              <w:tabs>
                <w:tab w:val="left" w:pos="7380"/>
              </w:tabs>
              <w:spacing w:line="360" w:lineRule="auto"/>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J3.2</w:t>
            </w:r>
          </w:p>
          <w:p>
            <w:pPr>
              <w:tabs>
                <w:tab w:val="left" w:pos="7380"/>
              </w:tabs>
              <w:spacing w:line="360" w:lineRule="auto"/>
              <w:rPr>
                <w:rFonts w:hint="eastAsia" w:ascii="华文楷体" w:hAnsi="华文楷体" w:eastAsia="华文楷体" w:cs="华文楷体"/>
                <w:bCs/>
                <w:color w:val="auto"/>
                <w:sz w:val="21"/>
                <w:szCs w:val="21"/>
              </w:rPr>
            </w:pPr>
          </w:p>
        </w:tc>
        <w:tc>
          <w:tcPr>
            <w:tcW w:w="11410" w:type="dxa"/>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目标、指标：培训计划完成率100%。火灾事故为零；固体废弃物分类处置率为100%；确保员工持证上岗，上岗率达到100%；</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完成情况：编写的《QHSE管理手册》、43个《QHSE程序文件》、48个管理文件、应急手册均为有效版本，并发至管理部门和基层单位。识别了115部适用的法律法规及其他要求，均为有效版本；各专业内外培训共进行了1</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次培训，其中</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次，内部培训，</w:t>
            </w:r>
            <w:r>
              <w:rPr>
                <w:rFonts w:hint="eastAsia" w:ascii="华文楷体" w:hAnsi="华文楷体" w:eastAsia="华文楷体" w:cs="华文楷体"/>
                <w:color w:val="auto"/>
                <w:sz w:val="21"/>
                <w:szCs w:val="21"/>
                <w:lang w:val="en-US" w:eastAsia="zh-CN"/>
              </w:rPr>
              <w:t>5</w:t>
            </w:r>
            <w:r>
              <w:rPr>
                <w:rFonts w:hint="eastAsia" w:ascii="华文楷体" w:hAnsi="华文楷体" w:eastAsia="华文楷体" w:cs="华文楷体"/>
                <w:color w:val="auto"/>
                <w:sz w:val="21"/>
                <w:szCs w:val="21"/>
              </w:rPr>
              <w:t>次外部培训。培训及格率为100%。</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火灾事故0次；固体废弃物分类处置率100%；员工持证上岗率100%</w:t>
            </w:r>
          </w:p>
        </w:tc>
        <w:tc>
          <w:tcPr>
            <w:tcW w:w="655" w:type="dxa"/>
          </w:tcPr>
          <w:p>
            <w:pPr>
              <w:spacing w:line="360" w:lineRule="auto"/>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000000" w:themeColor="text1"/>
                <w:lang w:val="en-US" w:eastAsia="zh-CN"/>
              </w:rPr>
              <w:t>环境因素、</w:t>
            </w:r>
            <w:r>
              <w:rPr>
                <w:rFonts w:hint="eastAsia" w:ascii="华文楷体" w:hAnsi="华文楷体" w:eastAsia="华文楷体" w:cs="华文楷体"/>
                <w:color w:val="000000" w:themeColor="text1"/>
              </w:rPr>
              <w:t>危险源识别</w:t>
            </w:r>
          </w:p>
        </w:tc>
        <w:tc>
          <w:tcPr>
            <w:tcW w:w="84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color w:val="000000" w:themeColor="text1"/>
              </w:rPr>
            </w:pPr>
            <w:r>
              <w:rPr>
                <w:rFonts w:hint="eastAsia" w:ascii="华文楷体" w:hAnsi="华文楷体" w:eastAsia="华文楷体" w:cs="华文楷体"/>
                <w:color w:val="000000" w:themeColor="text1"/>
                <w:lang w:val="en-US" w:eastAsia="zh-CN"/>
              </w:rPr>
              <w:t>E</w:t>
            </w:r>
            <w:r>
              <w:rPr>
                <w:rFonts w:hint="eastAsia" w:ascii="华文楷体" w:hAnsi="华文楷体" w:eastAsia="华文楷体" w:cs="华文楷体"/>
                <w:color w:val="000000" w:themeColor="text1"/>
              </w:rPr>
              <w:t>O</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Cs/>
                <w:color w:val="auto"/>
                <w:sz w:val="21"/>
                <w:szCs w:val="21"/>
              </w:rPr>
            </w:pPr>
            <w:r>
              <w:rPr>
                <w:rFonts w:hint="eastAsia" w:ascii="华文楷体" w:hAnsi="华文楷体" w:eastAsia="华文楷体" w:cs="华文楷体"/>
                <w:color w:val="000000" w:themeColor="text1"/>
              </w:rPr>
              <w:t>6.1.2</w:t>
            </w:r>
          </w:p>
        </w:tc>
        <w:tc>
          <w:tcPr>
            <w:tcW w:w="11410" w:type="dxa"/>
            <w:vAlign w:val="top"/>
          </w:tcPr>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华文楷体" w:hAnsi="华文楷体" w:eastAsia="华文楷体" w:cs="华文楷体"/>
                <w:color w:val="000000" w:themeColor="text1"/>
              </w:rPr>
            </w:pPr>
            <w:r>
              <w:rPr>
                <w:rFonts w:hint="eastAsia" w:ascii="华文楷体" w:hAnsi="华文楷体" w:eastAsia="华文楷体" w:cs="华文楷体"/>
                <w:color w:val="000000" w:themeColor="text1"/>
              </w:rPr>
              <w:t>策划、编制了《危险源辨识及风险分析控制程序》，经文审符合标准要求</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color w:val="000000" w:themeColor="text1"/>
              </w:rPr>
            </w:pPr>
            <w:r>
              <w:rPr>
                <w:rFonts w:hint="eastAsia" w:ascii="华文楷体" w:hAnsi="华文楷体" w:eastAsia="华文楷体" w:cs="华文楷体"/>
                <w:color w:val="000000" w:themeColor="text1"/>
              </w:rPr>
              <w:t>素清单》，其中重要环境因素：固体废弃物排放、噪声排放、火灾的发生、资源能源消耗，评价准确</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color w:val="000000" w:themeColor="text1"/>
              </w:rPr>
            </w:pPr>
            <w:r>
              <w:rPr>
                <w:rFonts w:hint="eastAsia" w:ascii="华文楷体" w:hAnsi="华文楷体" w:eastAsia="华文楷体" w:cs="华文楷体"/>
                <w:color w:val="000000" w:themeColor="text1"/>
              </w:rPr>
              <w:t>公司的《</w:t>
            </w:r>
            <w:r>
              <w:rPr>
                <w:rFonts w:hint="eastAsia" w:ascii="华文楷体" w:hAnsi="华文楷体" w:eastAsia="华文楷体" w:cs="华文楷体"/>
                <w:color w:val="000000" w:themeColor="text1"/>
                <w:lang w:val="en-US" w:eastAsia="zh-CN"/>
              </w:rPr>
              <w:t>环境因素</w:t>
            </w:r>
            <w:r>
              <w:rPr>
                <w:rFonts w:hint="eastAsia" w:ascii="华文楷体" w:hAnsi="华文楷体" w:eastAsia="华文楷体" w:cs="华文楷体"/>
                <w:color w:val="000000" w:themeColor="text1"/>
              </w:rPr>
              <w:t>与评价管理程序》，规定了</w:t>
            </w:r>
            <w:r>
              <w:rPr>
                <w:rFonts w:hint="eastAsia" w:ascii="华文楷体" w:hAnsi="华文楷体" w:eastAsia="华文楷体" w:cs="华文楷体"/>
                <w:color w:val="000000" w:themeColor="text1"/>
                <w:lang w:val="en-US" w:eastAsia="zh-CN"/>
              </w:rPr>
              <w:t>环境因素</w:t>
            </w:r>
            <w:r>
              <w:rPr>
                <w:rFonts w:hint="eastAsia" w:ascii="华文楷体" w:hAnsi="华文楷体" w:eastAsia="华文楷体" w:cs="华文楷体"/>
                <w:color w:val="000000" w:themeColor="text1"/>
              </w:rPr>
              <w:t>识别方法、评价准则和控制方法。</w:t>
            </w:r>
          </w:p>
          <w:p>
            <w:pPr>
              <w:pStyle w:val="2"/>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color w:val="000000" w:themeColor="text1"/>
              </w:rPr>
            </w:pPr>
            <w:r>
              <w:rPr>
                <w:rFonts w:hint="eastAsia" w:ascii="华文楷体" w:hAnsi="华文楷体" w:eastAsia="华文楷体" w:cs="华文楷体"/>
                <w:color w:val="000000" w:themeColor="text1"/>
              </w:rPr>
              <w:t>由</w:t>
            </w:r>
            <w:r>
              <w:rPr>
                <w:rFonts w:hint="eastAsia" w:ascii="华文楷体" w:hAnsi="华文楷体" w:eastAsia="华文楷体" w:cs="华文楷体"/>
                <w:color w:val="000000" w:themeColor="text1"/>
                <w:lang w:eastAsia="zh-CN"/>
              </w:rPr>
              <w:t>综合部</w:t>
            </w:r>
            <w:r>
              <w:rPr>
                <w:rFonts w:hint="eastAsia" w:ascii="华文楷体" w:hAnsi="华文楷体" w:eastAsia="华文楷体" w:cs="华文楷体"/>
                <w:color w:val="000000" w:themeColor="text1"/>
              </w:rPr>
              <w:t>组织进行了危险源识别评价，</w:t>
            </w:r>
            <w:r>
              <w:rPr>
                <w:rFonts w:hint="eastAsia" w:ascii="华文楷体" w:hAnsi="华文楷体" w:eastAsia="华文楷体" w:cs="华文楷体"/>
                <w:color w:val="000000" w:themeColor="text1"/>
                <w:lang w:val="en-US" w:eastAsia="zh-CN"/>
              </w:rPr>
              <w:t>重要环境因素</w:t>
            </w:r>
            <w:r>
              <w:rPr>
                <w:rFonts w:hint="eastAsia" w:ascii="华文楷体" w:hAnsi="华文楷体" w:eastAsia="华文楷体" w:cs="华文楷体"/>
                <w:color w:val="000000" w:themeColor="text1"/>
              </w:rPr>
              <w:t>：</w:t>
            </w:r>
            <w:r>
              <w:rPr>
                <w:rFonts w:hint="eastAsia" w:ascii="华文楷体" w:hAnsi="华文楷体" w:eastAsia="华文楷体" w:cs="华文楷体"/>
                <w:color w:val="000000" w:themeColor="text1"/>
                <w:sz w:val="20"/>
                <w:szCs w:val="20"/>
              </w:rPr>
              <w:t>火灾事故的发生、</w:t>
            </w:r>
            <w:r>
              <w:rPr>
                <w:rFonts w:hint="eastAsia" w:ascii="华文楷体" w:hAnsi="华文楷体" w:eastAsia="华文楷体" w:cs="华文楷体"/>
                <w:color w:val="000000" w:themeColor="text1"/>
                <w:sz w:val="20"/>
                <w:szCs w:val="20"/>
                <w:lang w:val="en-US" w:eastAsia="zh-CN"/>
              </w:rPr>
              <w:t>能源消耗和固废的排放</w:t>
            </w:r>
            <w:r>
              <w:rPr>
                <w:rFonts w:hint="eastAsia" w:ascii="华文楷体" w:hAnsi="华文楷体" w:eastAsia="华文楷体" w:cs="华文楷体"/>
                <w:color w:val="000000" w:themeColor="text1"/>
                <w:sz w:val="20"/>
                <w:szCs w:val="20"/>
              </w:rPr>
              <w:t>等</w:t>
            </w:r>
            <w:r>
              <w:rPr>
                <w:rFonts w:hint="eastAsia" w:ascii="华文楷体" w:hAnsi="华文楷体" w:eastAsia="华文楷体" w:cs="华文楷体"/>
                <w:color w:val="000000" w:themeColor="text1"/>
              </w:rPr>
              <w:t>，评价准确。</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color w:val="000000" w:themeColor="text1"/>
              </w:rPr>
            </w:pPr>
            <w:r>
              <w:rPr>
                <w:rFonts w:hint="eastAsia" w:ascii="华文楷体" w:hAnsi="华文楷体" w:eastAsia="华文楷体" w:cs="华文楷体"/>
                <w:color w:val="000000" w:themeColor="text1"/>
              </w:rPr>
              <w:t>提供《危险源识别一览表》，按照活动、区域进行了识别，其中包括：线路老化、违规吸烟、消防设施失效、人走未断电、电线乱拉乱扯、未配置触电保护装置、各种电器漏电、各种电器防护装置失灵、人员未佩戴防护用具、物体打击、车辆伤害、高空坠落、设备无防护装置、设备故障、设备操作噪声排放影响听力等，评价基本全面</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rPr>
              <w:t>提供《重大危险源清单》，其中重大危险源：</w:t>
            </w:r>
            <w:r>
              <w:rPr>
                <w:rFonts w:hint="eastAsia" w:ascii="华文楷体" w:hAnsi="华文楷体" w:eastAsia="华文楷体" w:cs="华文楷体"/>
                <w:color w:val="000000" w:themeColor="text1"/>
                <w:sz w:val="21"/>
                <w:szCs w:val="21"/>
              </w:rPr>
              <w:t>火灾事故的发生、触电、噪声伤害、中暑、意外伤害、物体打击、高空坠落、机械/车辆伤害等。</w:t>
            </w:r>
            <w:r>
              <w:rPr>
                <w:rFonts w:hint="eastAsia" w:ascii="华文楷体" w:hAnsi="华文楷体" w:eastAsia="华文楷体" w:cs="华文楷体"/>
                <w:color w:val="000000" w:themeColor="text1"/>
              </w:rPr>
              <w:t>重要环境因素：固体废弃物排放、噪声排放、火灾的发生、资源能源消耗，评价准确</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000000" w:themeColor="text1"/>
                <w:lang w:val="en-US" w:eastAsia="zh-CN"/>
              </w:rPr>
              <w:t>评价人：</w:t>
            </w:r>
            <w:r>
              <w:rPr>
                <w:rFonts w:hint="eastAsia" w:ascii="华文楷体" w:hAnsi="华文楷体" w:eastAsia="华文楷体" w:cs="华文楷体"/>
                <w:color w:val="000000" w:themeColor="text1"/>
              </w:rPr>
              <w:t>许丽娜、 吕  伟、万琦伟、廉  玥、胡  龙   时间：2022年7月15日</w:t>
            </w:r>
          </w:p>
        </w:tc>
        <w:tc>
          <w:tcPr>
            <w:tcW w:w="655" w:type="dxa"/>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合规性义务、法律法规要求</w:t>
            </w:r>
          </w:p>
        </w:tc>
        <w:tc>
          <w:tcPr>
            <w:tcW w:w="845" w:type="dxa"/>
            <w:vAlign w:val="center"/>
          </w:tcPr>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lang w:val="en-US" w:eastAsia="zh-CN"/>
              </w:rPr>
              <w:t>E</w:t>
            </w:r>
            <w:r>
              <w:rPr>
                <w:rFonts w:hint="eastAsia" w:ascii="华文楷体" w:hAnsi="华文楷体" w:eastAsia="华文楷体" w:cs="华文楷体"/>
                <w:color w:val="auto"/>
              </w:rPr>
              <w:t>O</w:t>
            </w:r>
          </w:p>
          <w:p>
            <w:pPr>
              <w:spacing w:line="360" w:lineRule="auto"/>
              <w:rPr>
                <w:rFonts w:hint="eastAsia" w:ascii="华文楷体" w:hAnsi="华文楷体" w:eastAsia="华文楷体" w:cs="华文楷体"/>
                <w:bCs/>
                <w:color w:val="auto"/>
                <w:sz w:val="21"/>
                <w:szCs w:val="21"/>
              </w:rPr>
            </w:pPr>
            <w:r>
              <w:rPr>
                <w:rFonts w:hint="eastAsia" w:ascii="华文楷体" w:hAnsi="华文楷体" w:eastAsia="华文楷体" w:cs="华文楷体"/>
                <w:color w:val="auto"/>
              </w:rPr>
              <w:t>6.1.3</w:t>
            </w:r>
          </w:p>
        </w:tc>
        <w:tc>
          <w:tcPr>
            <w:tcW w:w="11410" w:type="dxa"/>
            <w:vAlign w:val="center"/>
          </w:tcPr>
          <w:p>
            <w:pPr>
              <w:spacing w:line="360" w:lineRule="auto"/>
              <w:ind w:firstLine="420" w:firstLineChars="200"/>
              <w:rPr>
                <w:rFonts w:hint="eastAsia" w:ascii="华文楷体" w:hAnsi="华文楷体" w:eastAsia="华文楷体" w:cs="华文楷体"/>
                <w:color w:val="auto"/>
              </w:rPr>
            </w:pPr>
            <w:r>
              <w:rPr>
                <w:rFonts w:hint="eastAsia" w:ascii="华文楷体" w:hAnsi="华文楷体" w:eastAsia="华文楷体" w:cs="华文楷体"/>
                <w:color w:val="auto"/>
              </w:rPr>
              <w:t>策划编制了《合规义务管理控制程序》，规定法律、法规及其他要求的范围、获取方法、确认及分发。</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lang w:eastAsia="zh-CN"/>
              </w:rPr>
              <w:t>综合部</w:t>
            </w:r>
            <w:r>
              <w:rPr>
                <w:rFonts w:hint="eastAsia" w:ascii="华文楷体" w:hAnsi="华文楷体" w:eastAsia="华文楷体" w:cs="华文楷体"/>
                <w:color w:val="auto"/>
              </w:rPr>
              <w:t>负责适用的产品和质量/环境/安全方面的法律法规的识别、获取和更新，并评价其适用性；提供公司适用的法律法规及要求清单：中华人民共和国劳动法、中华人民共和国劳动合同法、中华人民共和国合同法、环境保护法、消防法、固体废弃物环境防治法、工伤保险条例、劳动保护用品管理规定等。法律法规及其他要求在办公室存档一份，并已电子版的形式发到各部门电脑上。定期在网上查看法规的更新情况，目前均为最新版本。</w:t>
            </w:r>
          </w:p>
        </w:tc>
        <w:tc>
          <w:tcPr>
            <w:tcW w:w="655" w:type="dxa"/>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vAlign w:val="center"/>
          </w:tcPr>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策划措施</w:t>
            </w:r>
          </w:p>
        </w:tc>
        <w:tc>
          <w:tcPr>
            <w:tcW w:w="845" w:type="dxa"/>
            <w:vAlign w:val="center"/>
          </w:tcPr>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lang w:val="en-US" w:eastAsia="zh-CN"/>
              </w:rPr>
              <w:t>E</w:t>
            </w:r>
            <w:r>
              <w:rPr>
                <w:rFonts w:hint="eastAsia" w:ascii="华文楷体" w:hAnsi="华文楷体" w:eastAsia="华文楷体" w:cs="华文楷体"/>
                <w:color w:val="auto"/>
              </w:rPr>
              <w:t>O</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6.1.4</w:t>
            </w:r>
          </w:p>
        </w:tc>
        <w:tc>
          <w:tcPr>
            <w:tcW w:w="11410" w:type="dxa"/>
            <w:vAlign w:val="center"/>
          </w:tcPr>
          <w:p>
            <w:pPr>
              <w:spacing w:line="360" w:lineRule="auto"/>
              <w:ind w:firstLine="420" w:firstLineChars="200"/>
              <w:rPr>
                <w:rFonts w:hint="eastAsia" w:ascii="华文楷体" w:hAnsi="华文楷体" w:eastAsia="华文楷体" w:cs="华文楷体"/>
                <w:color w:val="auto"/>
                <w:lang w:eastAsia="zh-CN"/>
              </w:rPr>
            </w:pPr>
            <w:r>
              <w:rPr>
                <w:rFonts w:hint="eastAsia" w:ascii="华文楷体" w:hAnsi="华文楷体" w:eastAsia="华文楷体" w:cs="华文楷体"/>
                <w:color w:val="auto"/>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655" w:type="dxa"/>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tcPr>
          <w:p>
            <w:pPr>
              <w:tabs>
                <w:tab w:val="left" w:pos="7380"/>
              </w:tabs>
              <w:spacing w:line="360" w:lineRule="auto"/>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信息交流</w:t>
            </w:r>
          </w:p>
          <w:p>
            <w:pPr>
              <w:tabs>
                <w:tab w:val="left" w:pos="7380"/>
              </w:tabs>
              <w:spacing w:line="360" w:lineRule="auto"/>
              <w:rPr>
                <w:rFonts w:hint="eastAsia" w:ascii="华文楷体" w:hAnsi="华文楷体" w:eastAsia="华文楷体" w:cs="华文楷体"/>
                <w:bCs/>
                <w:color w:val="auto"/>
                <w:sz w:val="21"/>
                <w:szCs w:val="21"/>
              </w:rPr>
            </w:pPr>
          </w:p>
        </w:tc>
        <w:tc>
          <w:tcPr>
            <w:tcW w:w="845" w:type="dxa"/>
          </w:tcPr>
          <w:p>
            <w:pPr>
              <w:tabs>
                <w:tab w:val="left" w:pos="7380"/>
              </w:tabs>
              <w:spacing w:line="360" w:lineRule="auto"/>
              <w:rPr>
                <w:rFonts w:hint="eastAsia"/>
              </w:rPr>
            </w:pPr>
            <w:r>
              <w:rPr>
                <w:rFonts w:hint="eastAsia"/>
              </w:rPr>
              <w:t>Q</w:t>
            </w:r>
            <w:r>
              <w:rPr>
                <w:rFonts w:hint="eastAsia"/>
                <w:lang w:val="en-US" w:eastAsia="zh-CN"/>
              </w:rPr>
              <w:t>EO</w:t>
            </w:r>
            <w:r>
              <w:rPr>
                <w:rFonts w:hint="eastAsia"/>
              </w:rPr>
              <w:t>7.4</w:t>
            </w:r>
          </w:p>
          <w:p>
            <w:pPr>
              <w:tabs>
                <w:tab w:val="left" w:pos="7380"/>
              </w:tabs>
              <w:spacing w:line="360" w:lineRule="auto"/>
              <w:rPr>
                <w:rFonts w:hint="eastAsia"/>
              </w:rPr>
            </w:pPr>
            <w:r>
              <w:rPr>
                <w:rFonts w:hint="eastAsia"/>
              </w:rPr>
              <w:t>J3.3</w:t>
            </w:r>
          </w:p>
          <w:p>
            <w:pPr>
              <w:pStyle w:val="2"/>
              <w:rPr>
                <w:rFonts w:hint="eastAsia"/>
              </w:rPr>
            </w:pPr>
            <w:r>
              <w:rPr>
                <w:rFonts w:ascii="Times New Roman" w:hAnsi="Times New Roman"/>
                <w:color w:val="auto"/>
              </w:rPr>
              <w:t>O5.4</w:t>
            </w:r>
          </w:p>
        </w:tc>
        <w:tc>
          <w:tcPr>
            <w:tcW w:w="11410" w:type="dxa"/>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制定了《信息交流、协商与沟通管理程序》，内容符合标准要求:</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跟负责人沟通：</w:t>
            </w:r>
          </w:p>
          <w:p>
            <w:pPr>
              <w:spacing w:line="360" w:lineRule="auto"/>
              <w:ind w:left="315"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1、管理者代表负责与总经理就公司的管理体系的方针、目标、指标及体系运行的有效性进行协商、沟通和交流。</w:t>
            </w:r>
          </w:p>
          <w:p>
            <w:pPr>
              <w:spacing w:line="360" w:lineRule="auto"/>
              <w:ind w:left="315"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负责本程序的编制、修订；负责策划公司对内、对外环境和职业健康安全管理体系运行信息的协商、沟通和交流渠道。</w:t>
            </w:r>
          </w:p>
          <w:p>
            <w:pPr>
              <w:spacing w:line="360" w:lineRule="auto"/>
              <w:ind w:left="315"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3、各职能部门负责本职能部门业务范围内管理体系信息的协商、沟通和交流的实施，负责信息的接收、传递工作，并保存相关记录。</w:t>
            </w:r>
          </w:p>
          <w:p>
            <w:pPr>
              <w:spacing w:line="360" w:lineRule="auto"/>
              <w:ind w:left="315"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负责本公司内部、外部信息的协商、沟通和交流；负责施工期间与顾客及相关方的协商、沟通和信息交流，并保存相关记录。</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5、工程服务部部负责施工保修期内与顾客及相关方的协商、沟通和信息交流，并保存相关记录。</w:t>
            </w:r>
          </w:p>
          <w:p>
            <w:pPr>
              <w:spacing w:line="360" w:lineRule="auto"/>
              <w:ind w:left="315"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6、沟通对象：内部沟通的对象可能是相关区域和层级的管理者和其他员工，外部沟通的对象可能是利益相关方，包括顾客和主要供应商等。</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7、沟通内容：</w:t>
            </w:r>
          </w:p>
          <w:p>
            <w:pPr>
              <w:spacing w:line="360" w:lineRule="auto"/>
              <w:ind w:left="315"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a、工程服务部-项目部通过施工工地的安全标识、标牌及告知如严禁烟火、佩戴安全帽以及其他的安全施工的标识，向进入施工现场的外来人员沟通施工现场的职业健康安全管理的要求。</w:t>
            </w:r>
          </w:p>
          <w:p>
            <w:pPr>
              <w:spacing w:line="360" w:lineRule="auto"/>
              <w:ind w:left="315"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b、针对相关方通过合同、订单、相关方告知书等施加影响由工程服务部、项目部来具体实施。负责人介绍自体系运行以来，未发生过沟通不畅通情况。</w:t>
            </w:r>
          </w:p>
          <w:p>
            <w:pPr>
              <w:spacing w:line="360" w:lineRule="auto"/>
              <w:ind w:left="315"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8、沟通方式：电话、会议、信息联络单、通知、黑板报、宣传栏、培训、文件、记录传递、E-MAIL、QQ、微信等方式进行内外部沟通，各部门定期通过会议方式进行内部沟通，基本上每月一次例会，有相应会议记录。</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9、自体系运行以来，公司内外部沟通良好，未出现因为沟通不畅通而影响体系正常运行的情况。</w:t>
            </w:r>
          </w:p>
          <w:p>
            <w:pPr>
              <w:spacing w:line="360" w:lineRule="auto"/>
              <w:ind w:left="210" w:leftChars="100" w:firstLine="210" w:firstLineChars="1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查见有；培训计划、内审计划、管理评审计划、职业健康安全事务代表任命书、管理者代表任命书、致相关方的信件等信息交流沟通记录。</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沟通的方式和实施情况基本符合要求。</w:t>
            </w:r>
          </w:p>
        </w:tc>
        <w:tc>
          <w:tcPr>
            <w:tcW w:w="655" w:type="dxa"/>
          </w:tcPr>
          <w:p>
            <w:pPr>
              <w:spacing w:line="360" w:lineRule="auto"/>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tcPr>
          <w:p>
            <w:pPr>
              <w:tabs>
                <w:tab w:val="left" w:pos="7380"/>
              </w:tabs>
              <w:spacing w:line="360" w:lineRule="auto"/>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分析和评价</w:t>
            </w:r>
          </w:p>
        </w:tc>
        <w:tc>
          <w:tcPr>
            <w:tcW w:w="845" w:type="dxa"/>
          </w:tcPr>
          <w:p>
            <w:pPr>
              <w:tabs>
                <w:tab w:val="left" w:pos="7380"/>
              </w:tabs>
              <w:spacing w:line="360" w:lineRule="auto"/>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Q</w:t>
            </w:r>
            <w:r>
              <w:rPr>
                <w:rFonts w:hint="eastAsia" w:ascii="华文楷体" w:hAnsi="华文楷体" w:eastAsia="华文楷体" w:cs="华文楷体"/>
                <w:bCs/>
                <w:color w:val="auto"/>
                <w:sz w:val="21"/>
                <w:szCs w:val="21"/>
                <w:lang w:val="en-US" w:eastAsia="zh-CN"/>
              </w:rPr>
              <w:t>EO</w:t>
            </w:r>
            <w:r>
              <w:rPr>
                <w:rFonts w:hint="eastAsia" w:ascii="华文楷体" w:hAnsi="华文楷体" w:eastAsia="华文楷体" w:cs="华文楷体"/>
                <w:bCs/>
                <w:color w:val="auto"/>
                <w:sz w:val="21"/>
                <w:szCs w:val="21"/>
              </w:rPr>
              <w:t>9.1.3</w:t>
            </w:r>
          </w:p>
          <w:p>
            <w:pPr>
              <w:tabs>
                <w:tab w:val="left" w:pos="7380"/>
              </w:tabs>
              <w:spacing w:line="360" w:lineRule="auto"/>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J12.3</w:t>
            </w:r>
          </w:p>
          <w:p>
            <w:pPr>
              <w:tabs>
                <w:tab w:val="left" w:pos="7380"/>
              </w:tabs>
              <w:spacing w:line="360" w:lineRule="auto"/>
              <w:rPr>
                <w:rFonts w:hint="eastAsia" w:ascii="华文楷体" w:hAnsi="华文楷体" w:eastAsia="华文楷体" w:cs="华文楷体"/>
                <w:bCs/>
                <w:color w:val="auto"/>
                <w:sz w:val="21"/>
                <w:szCs w:val="21"/>
              </w:rPr>
            </w:pPr>
          </w:p>
        </w:tc>
        <w:tc>
          <w:tcPr>
            <w:tcW w:w="11410" w:type="dxa"/>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查《管理手册》规定了检查、分析、评价和改进的内容，规定了相应的职责和能力要求，及信息收集方式和分析方法。</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查见有《工绩效考核管理制度》、《质量管理自查与评价制度》、《绩效的监视和测量管理程序》等。</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负责人介绍介绍公司通过平时的检查、项目总结、内审、管理评审、目标/指标和管理方案的实施情况监测来分析管理体系的运行情况；</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本公司管理体系分析和评价内容有：</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1.产品和服务的符合性—通过目标考核，目标完成报告；（定量分析）</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2.顾客满意程度---收集顾客满意度信息，统计评价；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3.外部供方的评价，年度的供方再评价。</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4.针对风险和机遇所采取措施的有效性---提供评价报告；</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5.管理评审中对：策划是否得到有效实施、质量管理体系的绩效和有效性、管理体系改进的需求 均有分析评价（定性）。</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对所需的监视、测量、分析和改进过程进行策划，编制了相应的控制文件，如环境运行控制程序、职业健康安全控制程序、顾客满意管理程序、内审控制程序、管理评审控制程序、关的作业文件等.产品实现过程按施工工艺流程要求加以控制。</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体系各大过程进行不定期的检查及对质量目标进行定期的考核。</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通过内审，管评，外审等方式对体系的绩效和有效性进行评价。</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基本符合要求。</w:t>
            </w:r>
          </w:p>
        </w:tc>
        <w:tc>
          <w:tcPr>
            <w:tcW w:w="655" w:type="dxa"/>
          </w:tcPr>
          <w:p>
            <w:pPr>
              <w:spacing w:line="360" w:lineRule="auto"/>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799" w:type="dxa"/>
          </w:tcPr>
          <w:p>
            <w:pPr>
              <w:tabs>
                <w:tab w:val="left" w:pos="7380"/>
              </w:tabs>
              <w:spacing w:line="360" w:lineRule="auto"/>
              <w:rPr>
                <w:rFonts w:hint="eastAsia" w:ascii="华文楷体" w:hAnsi="华文楷体" w:eastAsia="华文楷体" w:cs="华文楷体"/>
                <w:bCs/>
                <w:color w:val="FF0000"/>
                <w:sz w:val="21"/>
                <w:szCs w:val="21"/>
              </w:rPr>
            </w:pPr>
            <w:r>
              <w:rPr>
                <w:rFonts w:hint="eastAsia" w:ascii="华文楷体" w:hAnsi="华文楷体" w:eastAsia="华文楷体" w:cs="华文楷体"/>
                <w:bCs/>
                <w:color w:val="auto"/>
                <w:sz w:val="21"/>
                <w:szCs w:val="21"/>
              </w:rPr>
              <w:t>内部审核</w:t>
            </w:r>
          </w:p>
        </w:tc>
        <w:tc>
          <w:tcPr>
            <w:tcW w:w="845" w:type="dxa"/>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QEO9.2</w:t>
            </w:r>
          </w:p>
          <w:p>
            <w:pPr>
              <w:pStyle w:val="2"/>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J12.1-12.4</w:t>
            </w:r>
          </w:p>
        </w:tc>
        <w:tc>
          <w:tcPr>
            <w:tcW w:w="11410" w:type="dxa"/>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编制《内审控制程序》，基本符合标准要求。</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经查问：总经理、管代、各部门主管均经培训并参加了内部审核。</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202</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.9.</w:t>
            </w:r>
            <w:r>
              <w:rPr>
                <w:rFonts w:hint="eastAsia" w:ascii="华文楷体" w:hAnsi="华文楷体" w:eastAsia="华文楷体" w:cs="华文楷体"/>
                <w:color w:val="auto"/>
                <w:sz w:val="21"/>
                <w:szCs w:val="21"/>
                <w:lang w:val="en-US" w:eastAsia="zh-CN"/>
              </w:rPr>
              <w:t>13</w:t>
            </w:r>
            <w:r>
              <w:rPr>
                <w:rFonts w:hint="eastAsia" w:ascii="华文楷体" w:hAnsi="华文楷体" w:eastAsia="华文楷体" w:cs="华文楷体"/>
                <w:color w:val="auto"/>
                <w:sz w:val="21"/>
                <w:szCs w:val="21"/>
              </w:rPr>
              <w:t>开展管理体系内部审核活动，并提供有以下内审的资料：</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——《审核实施计划》，编制：</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 xml:space="preserve">  批准：王霞202</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29</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计划中规定审核的目的、依据、范围、时间、审核安排；</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审核组组长：</w:t>
            </w:r>
            <w:r>
              <w:rPr>
                <w:rFonts w:hint="eastAsia" w:ascii="华文楷体" w:hAnsi="华文楷体" w:eastAsia="华文楷体" w:cs="华文楷体"/>
                <w:color w:val="auto"/>
                <w:sz w:val="21"/>
                <w:szCs w:val="21"/>
                <w:lang w:eastAsia="zh-CN"/>
              </w:rPr>
              <w:t>许丽娜</w:t>
            </w:r>
            <w:r>
              <w:rPr>
                <w:rFonts w:hint="eastAsia" w:ascii="华文楷体" w:hAnsi="华文楷体" w:eastAsia="华文楷体" w:cs="华文楷体"/>
                <w:color w:val="auto"/>
                <w:sz w:val="21"/>
                <w:szCs w:val="21"/>
              </w:rPr>
              <w:t>，组员：</w:t>
            </w:r>
            <w:r>
              <w:rPr>
                <w:rFonts w:hint="eastAsia" w:ascii="华文楷体" w:hAnsi="华文楷体" w:eastAsia="华文楷体" w:cs="华文楷体"/>
                <w:color w:val="auto"/>
                <w:sz w:val="21"/>
                <w:szCs w:val="21"/>
                <w:lang w:eastAsia="zh-CN"/>
              </w:rPr>
              <w:t>廉  玥</w:t>
            </w:r>
            <w:r>
              <w:rPr>
                <w:rFonts w:hint="eastAsia" w:ascii="华文楷体" w:hAnsi="华文楷体" w:eastAsia="华文楷体" w:cs="华文楷体"/>
                <w:color w:val="auto"/>
                <w:sz w:val="21"/>
                <w:szCs w:val="21"/>
              </w:rPr>
              <w:t>。</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计划中没有漏标准条款、没有遗漏体系覆盖的部门和场所，内审员没有审核自己的工作。</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——内审首末次会议签到（领导层、各部门负责人）；</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——内部审核检查表，审核按计划进行，没有遗漏标准条款及体系覆盖的部门和场所，内审员没有审核自己的工作。</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——本次内审发现1项不合格，为一般不符合项，查看《不符合报告》（</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部EO7.1），不符合事实描述清晰，不符合原因分析准确，并制定了纠正及纠正预防措施，且措施可行，并对其有效性进行了验证</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——本次内审编制有《内部管理体系审核报告》，结论：公司的质量、环境和职业健康安全管理体系符合ISO9001:2015、ISO14001:2015和ISO45001:2018、GB/T50430-2017标准的要求。编制：</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 xml:space="preserve">  批准：王霞202</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.9.</w:t>
            </w:r>
            <w:r>
              <w:rPr>
                <w:rFonts w:hint="eastAsia" w:ascii="华文楷体" w:hAnsi="华文楷体" w:eastAsia="华文楷体" w:cs="华文楷体"/>
                <w:color w:val="auto"/>
                <w:sz w:val="21"/>
                <w:szCs w:val="21"/>
                <w:lang w:val="en-US" w:eastAsia="zh-CN"/>
              </w:rPr>
              <w:t>2</w:t>
            </w:r>
          </w:p>
        </w:tc>
        <w:tc>
          <w:tcPr>
            <w:tcW w:w="655" w:type="dxa"/>
          </w:tcPr>
          <w:p>
            <w:pPr>
              <w:spacing w:line="360" w:lineRule="auto"/>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799" w:type="dxa"/>
            <w:vAlign w:val="center"/>
          </w:tcPr>
          <w:p>
            <w:pPr>
              <w:spacing w:line="360" w:lineRule="auto"/>
              <w:rPr>
                <w:rFonts w:hint="eastAsia" w:ascii="华文楷体" w:hAnsi="华文楷体" w:eastAsia="华文楷体" w:cs="华文楷体"/>
                <w:bCs/>
                <w:color w:val="auto"/>
                <w:sz w:val="21"/>
                <w:szCs w:val="21"/>
              </w:rPr>
            </w:pPr>
            <w:r>
              <w:rPr>
                <w:rFonts w:hint="eastAsia" w:ascii="华文楷体" w:hAnsi="华文楷体" w:eastAsia="华文楷体" w:cs="华文楷体"/>
                <w:color w:val="auto"/>
              </w:rPr>
              <w:t>监视和测量</w:t>
            </w:r>
          </w:p>
        </w:tc>
        <w:tc>
          <w:tcPr>
            <w:tcW w:w="845" w:type="dxa"/>
            <w:vAlign w:val="center"/>
          </w:tcPr>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lang w:val="en-US" w:eastAsia="zh-CN"/>
              </w:rPr>
              <w:t>E</w:t>
            </w:r>
            <w:r>
              <w:rPr>
                <w:rFonts w:hint="eastAsia" w:ascii="华文楷体" w:hAnsi="华文楷体" w:eastAsia="华文楷体" w:cs="华文楷体"/>
                <w:color w:val="auto"/>
              </w:rPr>
              <w:t>O</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9.1.1</w:t>
            </w:r>
          </w:p>
        </w:tc>
        <w:tc>
          <w:tcPr>
            <w:tcW w:w="11410" w:type="dxa"/>
            <w:vAlign w:val="center"/>
          </w:tcPr>
          <w:p>
            <w:pPr>
              <w:spacing w:line="360" w:lineRule="auto"/>
              <w:ind w:firstLine="420" w:firstLineChars="200"/>
              <w:rPr>
                <w:rFonts w:hint="eastAsia" w:ascii="华文楷体" w:hAnsi="华文楷体" w:eastAsia="华文楷体" w:cs="华文楷体"/>
                <w:color w:val="auto"/>
              </w:rPr>
            </w:pPr>
            <w:r>
              <w:rPr>
                <w:rFonts w:hint="eastAsia" w:ascii="华文楷体" w:hAnsi="华文楷体" w:eastAsia="华文楷体" w:cs="华文楷体"/>
                <w:color w:val="auto"/>
              </w:rPr>
              <w:t>编制了《绩效监视与测量控制程序》，通过以下几种方式对运行过程进行监视和测量：</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●该公司对管理体系过程进行监视和测量的方法包括：内审、管理评审、目标考核、过程的监视和测量检查等。</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内审、管理评审、目标考核详见相关审核记录.</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每月进行一次过程的监视和测量的检查，发现问题立即整改。</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●日常监督检查：管代负责对各部门的环境职业健康安全行为进行不定期的巡检。</w:t>
            </w:r>
          </w:p>
          <w:p>
            <w:pPr>
              <w:spacing w:line="360" w:lineRule="auto"/>
              <w:ind w:firstLine="210" w:firstLineChars="100"/>
              <w:jc w:val="left"/>
              <w:rPr>
                <w:rFonts w:hint="eastAsia" w:ascii="华文楷体" w:hAnsi="华文楷体" w:eastAsia="华文楷体" w:cs="华文楷体"/>
                <w:color w:val="auto"/>
              </w:rPr>
            </w:pPr>
            <w:r>
              <w:rPr>
                <w:rFonts w:hint="eastAsia" w:ascii="华文楷体" w:hAnsi="华文楷体" w:eastAsia="华文楷体" w:cs="华文楷体"/>
                <w:color w:val="auto"/>
              </w:rPr>
              <w:t>提供202</w:t>
            </w:r>
            <w:r>
              <w:rPr>
                <w:rFonts w:hint="eastAsia" w:ascii="华文楷体" w:hAnsi="华文楷体" w:eastAsia="华文楷体" w:cs="华文楷体"/>
                <w:color w:val="auto"/>
                <w:lang w:val="en-US" w:eastAsia="zh-CN"/>
              </w:rPr>
              <w:t>2</w:t>
            </w:r>
            <w:r>
              <w:rPr>
                <w:rFonts w:hint="eastAsia" w:ascii="华文楷体" w:hAnsi="华文楷体" w:eastAsia="华文楷体" w:cs="华文楷体"/>
                <w:color w:val="auto"/>
              </w:rPr>
              <w:t>年</w:t>
            </w:r>
            <w:r>
              <w:rPr>
                <w:rFonts w:hint="eastAsia" w:ascii="华文楷体" w:hAnsi="华文楷体" w:eastAsia="华文楷体" w:cs="华文楷体"/>
                <w:color w:val="auto"/>
                <w:lang w:val="en-US" w:eastAsia="zh-CN"/>
              </w:rPr>
              <w:t>1</w:t>
            </w:r>
            <w:r>
              <w:rPr>
                <w:rFonts w:hint="eastAsia" w:ascii="华文楷体" w:hAnsi="华文楷体" w:eastAsia="华文楷体" w:cs="华文楷体"/>
                <w:color w:val="auto"/>
              </w:rPr>
              <w:t>月——1</w:t>
            </w:r>
            <w:r>
              <w:rPr>
                <w:rFonts w:hint="eastAsia" w:ascii="华文楷体" w:hAnsi="华文楷体" w:eastAsia="华文楷体" w:cs="华文楷体"/>
                <w:color w:val="auto"/>
                <w:lang w:val="en-US" w:eastAsia="zh-CN"/>
              </w:rPr>
              <w:t>1</w:t>
            </w:r>
            <w:r>
              <w:rPr>
                <w:rFonts w:hint="eastAsia" w:ascii="华文楷体" w:hAnsi="华文楷体" w:eastAsia="华文楷体" w:cs="华文楷体"/>
                <w:color w:val="auto"/>
              </w:rPr>
              <w:t>月对办公区的环境和安全检查记录表。</w:t>
            </w:r>
          </w:p>
          <w:p>
            <w:pPr>
              <w:spacing w:line="360" w:lineRule="auto"/>
              <w:ind w:firstLine="420"/>
              <w:jc w:val="left"/>
              <w:rPr>
                <w:rFonts w:hint="eastAsia" w:ascii="华文楷体" w:hAnsi="华文楷体" w:eastAsia="华文楷体" w:cs="华文楷体"/>
                <w:color w:val="auto"/>
              </w:rPr>
            </w:pPr>
            <w:r>
              <w:rPr>
                <w:rFonts w:hint="eastAsia" w:ascii="华文楷体" w:hAnsi="华文楷体" w:eastAsia="华文楷体" w:cs="华文楷体"/>
                <w:color w:val="auto"/>
                <w:lang w:val="en-US" w:eastAsia="zh-CN"/>
              </w:rPr>
              <w:t>查</w:t>
            </w:r>
            <w:r>
              <w:rPr>
                <w:rFonts w:hint="eastAsia" w:ascii="华文楷体" w:hAnsi="华文楷体" w:eastAsia="华文楷体" w:cs="华文楷体"/>
                <w:color w:val="auto"/>
              </w:rPr>
              <w:t>202</w:t>
            </w:r>
            <w:r>
              <w:rPr>
                <w:rFonts w:hint="eastAsia" w:ascii="华文楷体" w:hAnsi="华文楷体" w:eastAsia="华文楷体" w:cs="华文楷体"/>
                <w:color w:val="auto"/>
                <w:lang w:val="en-US" w:eastAsia="zh-CN"/>
              </w:rPr>
              <w:t>2</w:t>
            </w:r>
            <w:r>
              <w:rPr>
                <w:rFonts w:hint="eastAsia" w:ascii="华文楷体" w:hAnsi="华文楷体" w:eastAsia="华文楷体" w:cs="华文楷体"/>
                <w:color w:val="auto"/>
              </w:rPr>
              <w:t>年</w:t>
            </w:r>
            <w:r>
              <w:rPr>
                <w:rFonts w:hint="eastAsia" w:ascii="华文楷体" w:hAnsi="华文楷体" w:eastAsia="华文楷体" w:cs="华文楷体"/>
                <w:color w:val="auto"/>
                <w:lang w:val="en-US" w:eastAsia="zh-CN"/>
              </w:rPr>
              <w:t>9</w:t>
            </w:r>
            <w:r>
              <w:rPr>
                <w:rFonts w:hint="eastAsia" w:ascii="华文楷体" w:hAnsi="华文楷体" w:eastAsia="华文楷体" w:cs="华文楷体"/>
                <w:color w:val="auto"/>
              </w:rPr>
              <w:t>月2</w:t>
            </w:r>
            <w:r>
              <w:rPr>
                <w:rFonts w:hint="eastAsia" w:ascii="华文楷体" w:hAnsi="华文楷体" w:eastAsia="华文楷体" w:cs="华文楷体"/>
                <w:color w:val="auto"/>
                <w:lang w:val="en-US" w:eastAsia="zh-CN"/>
              </w:rPr>
              <w:t>1</w:t>
            </w:r>
            <w:r>
              <w:rPr>
                <w:rFonts w:hint="eastAsia" w:ascii="华文楷体" w:hAnsi="华文楷体" w:eastAsia="华文楷体" w:cs="华文楷体"/>
                <w:color w:val="auto"/>
              </w:rPr>
              <w:t>日公司对办公楼内的办公环境进行了检查，检查项目有用电安全、消防安全、车辆行驶安全、财产安全等，检查未见隐患，检查人</w:t>
            </w:r>
            <w:r>
              <w:rPr>
                <w:rFonts w:hint="eastAsia" w:ascii="华文楷体" w:hAnsi="华文楷体" w:eastAsia="华文楷体" w:cs="华文楷体"/>
                <w:color w:val="auto"/>
                <w:lang w:eastAsia="zh-CN"/>
              </w:rPr>
              <w:t>许丽娜</w:t>
            </w:r>
            <w:r>
              <w:rPr>
                <w:rFonts w:hint="eastAsia" w:ascii="华文楷体" w:hAnsi="华文楷体" w:eastAsia="华文楷体" w:cs="华文楷体"/>
                <w:color w:val="auto"/>
              </w:rPr>
              <w:t>。</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●环境绩效监测：办公区卫生间废水排入城市管网。</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一般固废（废纸张等），按规定收集，卖给废品收购站。</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被动监测：自体系建立以来没有发生过环境污染事故</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●职业健康安全监测：</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主动监测：职业健康安全目标指标：已完成</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自体系建立以来没有发生过安全事故。●监测设备：公司暂无环境、职业健康安全监测设备。</w:t>
            </w:r>
          </w:p>
        </w:tc>
        <w:tc>
          <w:tcPr>
            <w:tcW w:w="655" w:type="dxa"/>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799" w:type="dxa"/>
            <w:vAlign w:val="center"/>
          </w:tcPr>
          <w:p>
            <w:pPr>
              <w:spacing w:line="360" w:lineRule="auto"/>
              <w:rPr>
                <w:rFonts w:hint="eastAsia" w:ascii="华文楷体" w:hAnsi="华文楷体" w:eastAsia="华文楷体" w:cs="华文楷体"/>
                <w:bCs/>
                <w:color w:val="auto"/>
                <w:sz w:val="21"/>
                <w:szCs w:val="21"/>
              </w:rPr>
            </w:pPr>
            <w:r>
              <w:rPr>
                <w:rFonts w:hint="eastAsia" w:ascii="华文楷体" w:hAnsi="华文楷体" w:eastAsia="华文楷体" w:cs="华文楷体"/>
                <w:color w:val="auto"/>
              </w:rPr>
              <w:t>合规性评价</w:t>
            </w:r>
          </w:p>
        </w:tc>
        <w:tc>
          <w:tcPr>
            <w:tcW w:w="845" w:type="dxa"/>
            <w:vAlign w:val="center"/>
          </w:tcPr>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lang w:val="en-US" w:eastAsia="zh-CN"/>
              </w:rPr>
              <w:t>E</w:t>
            </w:r>
            <w:r>
              <w:rPr>
                <w:rFonts w:hint="eastAsia" w:ascii="华文楷体" w:hAnsi="华文楷体" w:eastAsia="华文楷体" w:cs="华文楷体"/>
                <w:color w:val="auto"/>
              </w:rPr>
              <w:t>O</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9.1.2</w:t>
            </w:r>
          </w:p>
        </w:tc>
        <w:tc>
          <w:tcPr>
            <w:tcW w:w="11410" w:type="dxa"/>
            <w:vAlign w:val="center"/>
          </w:tcPr>
          <w:p>
            <w:pPr>
              <w:spacing w:line="360" w:lineRule="auto"/>
              <w:ind w:firstLine="420" w:firstLineChars="200"/>
              <w:rPr>
                <w:rFonts w:hint="eastAsia" w:ascii="华文楷体" w:hAnsi="华文楷体" w:eastAsia="华文楷体" w:cs="华文楷体"/>
                <w:color w:val="auto"/>
              </w:rPr>
            </w:pPr>
            <w:r>
              <w:rPr>
                <w:rFonts w:hint="eastAsia" w:ascii="华文楷体" w:hAnsi="华文楷体" w:eastAsia="华文楷体" w:cs="华文楷体"/>
                <w:color w:val="auto"/>
              </w:rPr>
              <w:t>策划编制了《法律法规和其他要求符合性评价程序》，经查符合要求</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查合规性评价：</w:t>
            </w:r>
            <w:r>
              <w:rPr>
                <w:rFonts w:hint="eastAsia" w:ascii="华文楷体" w:hAnsi="华文楷体" w:eastAsia="华文楷体" w:cs="华文楷体"/>
                <w:color w:val="auto"/>
                <w:lang w:eastAsia="zh-CN"/>
              </w:rPr>
              <w:t>2022年7月5日</w:t>
            </w:r>
            <w:r>
              <w:rPr>
                <w:rFonts w:hint="eastAsia" w:ascii="华文楷体" w:hAnsi="华文楷体" w:eastAsia="华文楷体" w:cs="华文楷体"/>
                <w:color w:val="auto"/>
              </w:rPr>
              <w:t>进行合规性评价，提供了《合规性评价记录表》，包括：活动场所/产品/服务、重要环境因素、不可接受风险、现有控制措施、适用的法律法规及其对应条款、符合性评价等。</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评价内容：潜在火灾、废气、烟尘排放(汽车尾气)、降耗节能、（节电、节水、节油、节纸、节约原材料）、劳动管理、劳动防护、安全事故、物体打击、驾驶车辆、用电、污水排放、固废物等涉及相对的法律法规要求。</w:t>
            </w:r>
          </w:p>
        </w:tc>
        <w:tc>
          <w:tcPr>
            <w:tcW w:w="655" w:type="dxa"/>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tcPr>
          <w:p>
            <w:pPr>
              <w:tabs>
                <w:tab w:val="left" w:pos="7380"/>
              </w:tabs>
              <w:spacing w:line="360" w:lineRule="auto"/>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不合格和纠正措施</w:t>
            </w:r>
          </w:p>
        </w:tc>
        <w:tc>
          <w:tcPr>
            <w:tcW w:w="845" w:type="dxa"/>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Q10.2</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J12.5</w:t>
            </w:r>
          </w:p>
          <w:p>
            <w:pPr>
              <w:spacing w:line="360" w:lineRule="auto"/>
              <w:rPr>
                <w:rFonts w:hint="eastAsia" w:ascii="华文楷体" w:hAnsi="华文楷体" w:eastAsia="华文楷体" w:cs="华文楷体"/>
                <w:color w:val="auto"/>
                <w:sz w:val="21"/>
                <w:szCs w:val="21"/>
              </w:rPr>
            </w:pPr>
          </w:p>
        </w:tc>
        <w:tc>
          <w:tcPr>
            <w:tcW w:w="11410" w:type="dxa"/>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公司编制有《不合格品管理程序》规定了不符合的控制流程、不合格分级、不合格评审及处置以及纠正和纠正措施等要求等，基本符合要求。</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体系自运行以来，公司未发生施工质量的严重不符合以及体系运行的系统性问题，故无纠正措施实施的记录，另外由于未发生潜在的不符合，故也无预防措施实施的记录。</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内审中发现的不符合，采取纠正措施，并采取相应的预防措施。</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基本符合要求。</w:t>
            </w:r>
          </w:p>
        </w:tc>
        <w:tc>
          <w:tcPr>
            <w:tcW w:w="655" w:type="dxa"/>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99" w:type="dxa"/>
            <w:vAlign w:val="center"/>
          </w:tcPr>
          <w:p>
            <w:pPr>
              <w:spacing w:line="360" w:lineRule="auto"/>
              <w:rPr>
                <w:rFonts w:hint="eastAsia" w:ascii="华文楷体" w:hAnsi="华文楷体" w:eastAsia="华文楷体" w:cs="华文楷体"/>
                <w:bCs/>
                <w:color w:val="auto"/>
                <w:sz w:val="21"/>
                <w:szCs w:val="21"/>
              </w:rPr>
            </w:pPr>
            <w:r>
              <w:rPr>
                <w:rFonts w:ascii="Times New Roman" w:hAnsi="Times New Roman"/>
                <w:color w:val="auto"/>
              </w:rPr>
              <w:t>运行控制</w:t>
            </w:r>
          </w:p>
        </w:tc>
        <w:tc>
          <w:tcPr>
            <w:tcW w:w="845" w:type="dxa"/>
            <w:vAlign w:val="center"/>
          </w:tcPr>
          <w:p>
            <w:pPr>
              <w:spacing w:line="360" w:lineRule="auto"/>
              <w:rPr>
                <w:rFonts w:ascii="Times New Roman" w:hAnsi="Times New Roman"/>
                <w:color w:val="auto"/>
              </w:rPr>
            </w:pPr>
            <w:r>
              <w:rPr>
                <w:rFonts w:hint="eastAsia" w:ascii="Times New Roman" w:hAnsi="Times New Roman"/>
                <w:color w:val="auto"/>
                <w:lang w:val="en-US" w:eastAsia="zh-CN"/>
              </w:rPr>
              <w:t>E</w:t>
            </w:r>
            <w:r>
              <w:rPr>
                <w:rFonts w:ascii="Times New Roman" w:hAnsi="Times New Roman"/>
                <w:color w:val="auto"/>
              </w:rPr>
              <w:t>O</w:t>
            </w:r>
          </w:p>
          <w:p>
            <w:pPr>
              <w:spacing w:line="360" w:lineRule="auto"/>
              <w:rPr>
                <w:rFonts w:hint="eastAsia" w:ascii="华文楷体" w:hAnsi="华文楷体" w:eastAsia="华文楷体" w:cs="华文楷体"/>
                <w:color w:val="auto"/>
                <w:sz w:val="21"/>
                <w:szCs w:val="21"/>
              </w:rPr>
            </w:pPr>
            <w:r>
              <w:rPr>
                <w:rFonts w:ascii="Times New Roman" w:hAnsi="Times New Roman"/>
                <w:color w:val="auto"/>
              </w:rPr>
              <w:t>8.1</w:t>
            </w:r>
          </w:p>
        </w:tc>
        <w:tc>
          <w:tcPr>
            <w:tcW w:w="11410" w:type="dxa"/>
            <w:vAlign w:val="top"/>
          </w:tcPr>
          <w:p>
            <w:pPr>
              <w:spacing w:line="360" w:lineRule="auto"/>
              <w:ind w:firstLine="420" w:firstLineChars="200"/>
              <w:rPr>
                <w:rFonts w:hint="eastAsia" w:ascii="华文楷体" w:hAnsi="华文楷体" w:eastAsia="华文楷体" w:cs="华文楷体"/>
                <w:color w:val="auto"/>
              </w:rPr>
            </w:pPr>
            <w:r>
              <w:rPr>
                <w:rFonts w:hint="eastAsia" w:ascii="华文楷体" w:hAnsi="华文楷体" w:eastAsia="华文楷体" w:cs="华文楷体"/>
                <w:color w:val="auto"/>
              </w:rPr>
              <w:t>同部门负责人交谈</w:t>
            </w:r>
            <w:r>
              <w:rPr>
                <w:rFonts w:hint="eastAsia" w:ascii="华文楷体" w:hAnsi="华文楷体" w:eastAsia="华文楷体" w:cs="华文楷体"/>
                <w:color w:val="auto"/>
                <w:lang w:eastAsia="zh-CN"/>
              </w:rPr>
              <w:t>综合部</w:t>
            </w:r>
            <w:r>
              <w:rPr>
                <w:rFonts w:hint="eastAsia" w:ascii="华文楷体" w:hAnsi="华文楷体" w:eastAsia="华文楷体" w:cs="华文楷体"/>
                <w:color w:val="auto"/>
              </w:rPr>
              <w:t>执行公司《危险源辨识与风险评价管理程序》、《大气污染控制程序》、《污水控制程序》《易燃易爆品防火控制程序》《噪声控制程序》《节能降耗控制程序》《应急准备和响应管理程序》等程序和准则，开展环境、安全运行控制。</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查部门环境运行控制（水/ 气/ 声/ 渣/ 节能）</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公司办公区域，公司配备饮水机，饮用桶装纯净水，公司办公区内有多种绿植，保持环境卫生清洁，保持职工心情愉悦，保证员工健康；</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日常办公不产生污水，办公室配有卫生间；生活污水排入市政管网，无土壤污染现象；</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日常注重水电的节约，有节约用电和水的意识，没有发现常明灯常流水，以及跑、冒、滴、漏现象，提倡无纸化办公；夏日开窗通风，减少使用空调；</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办公用纸双面使用；废纸、笔芯等工作垃圾，置于可回收垃圾筒，倾倒于物业设置的垃圾箱，由其清运、回收处理；</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对于硒鼓、墨盒等固体废物，置于不可回收垃圾筒，由销售公司统一回收处理。</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新员工入职与公司签订劳动合同，并对新员工进行三级安全教育培训，查见有：黄芳、颜强、廉玥等人的劳动合同。</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企业为员工缴纳了社保，社保种类：养老、失业、医保（普通参保、医疗救助）、工伤、生育等；</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企业定期组织员工进行体检。</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公司复工以来注重新冠肺炎疫情的防控，配有测温枪，公司配有防护口罩。</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查安全用电控制：</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公司用电线路定期由专人进行检修；定期组织触电应急预案知识培训和紧急事件的演练；查见办公区域的电气设备、照明器具、电源插座、配电箱等配备齐全，保护良好，接电可靠，漏电开关等正常，无潜在触电现象。</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查交通安全控制：</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公司的车辆均有上路年检的通行证、行驶证，司机有驾驶证；定期对外出人员进行交通安全教育培训，禁止酒驾、无证驾驶、疲劳驾驶。</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办公室配置有固废分类处置装置，楼道配有灭火器消防栓等消防设施，由大楼统一管理。</w:t>
            </w:r>
          </w:p>
        </w:tc>
        <w:tc>
          <w:tcPr>
            <w:tcW w:w="655" w:type="dxa"/>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9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Cs/>
                <w:color w:val="auto"/>
                <w:sz w:val="21"/>
                <w:szCs w:val="21"/>
              </w:rPr>
            </w:pPr>
            <w:r>
              <w:rPr>
                <w:rFonts w:ascii="Times New Roman" w:hAnsi="Times New Roman"/>
                <w:color w:val="auto"/>
                <w:sz w:val="21"/>
                <w:szCs w:val="21"/>
              </w:rPr>
              <w:t>应急准备和响应</w:t>
            </w:r>
          </w:p>
        </w:tc>
        <w:tc>
          <w:tcPr>
            <w:tcW w:w="84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olor w:val="auto"/>
                <w:sz w:val="21"/>
                <w:szCs w:val="21"/>
              </w:rPr>
            </w:pPr>
            <w:r>
              <w:rPr>
                <w:rFonts w:hint="eastAsia" w:ascii="Times New Roman" w:hAnsi="Times New Roman"/>
                <w:color w:val="auto"/>
                <w:sz w:val="21"/>
                <w:szCs w:val="21"/>
                <w:lang w:val="en-US" w:eastAsia="zh-CN"/>
              </w:rPr>
              <w:t>E</w:t>
            </w:r>
            <w:r>
              <w:rPr>
                <w:rFonts w:ascii="Times New Roman" w:hAnsi="Times New Roman"/>
                <w:color w:val="auto"/>
                <w:sz w:val="21"/>
                <w:szCs w:val="21"/>
              </w:rPr>
              <w:t>O</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ascii="Times New Roman" w:hAnsi="Times New Roman"/>
                <w:color w:val="auto"/>
                <w:sz w:val="21"/>
                <w:szCs w:val="21"/>
              </w:rPr>
              <w:t>8.2</w:t>
            </w:r>
          </w:p>
        </w:tc>
        <w:tc>
          <w:tcPr>
            <w:tcW w:w="1141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1、查策划有《应急准备与响应控制程序》，编制有火灾事故、触电事故、中毒、高处坠落、物体打击应急预案等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2、应急准备工作开展以下活动：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——建立有应急组织，提供应急组织机构图、消防队人员名单、职责权限规定等。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——配备相应的消防器材。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——进行消防常识和能力的培训、物体打击</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潜在的火灾爆炸的常识和能力的培训</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地点：</w:t>
            </w:r>
            <w:r>
              <w:rPr>
                <w:rFonts w:hint="eastAsia" w:ascii="华文楷体" w:hAnsi="华文楷体" w:eastAsia="华文楷体" w:cs="华文楷体"/>
                <w:color w:val="auto"/>
                <w:sz w:val="21"/>
                <w:szCs w:val="21"/>
                <w:lang w:eastAsia="zh-CN"/>
              </w:rPr>
              <w:t>江西盛通网络有限公司</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事故类别：物体打击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演练时间：</w:t>
            </w:r>
            <w:r>
              <w:rPr>
                <w:rFonts w:hint="eastAsia" w:ascii="华文楷体" w:hAnsi="华文楷体" w:eastAsia="华文楷体" w:cs="华文楷体"/>
                <w:color w:val="auto"/>
                <w:sz w:val="21"/>
                <w:szCs w:val="21"/>
                <w:lang w:eastAsia="zh-CN"/>
              </w:rPr>
              <w:t>2022年</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日9∶00——12∶00（三小时）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负责人：</w:t>
            </w:r>
            <w:r>
              <w:rPr>
                <w:rFonts w:hint="eastAsia" w:ascii="华文楷体" w:hAnsi="华文楷体" w:eastAsia="华文楷体" w:cs="华文楷体"/>
                <w:color w:val="auto"/>
                <w:sz w:val="21"/>
                <w:szCs w:val="21"/>
                <w:lang w:eastAsia="zh-CN"/>
              </w:rPr>
              <w:t>胡  龙</w:t>
            </w:r>
            <w:r>
              <w:rPr>
                <w:rFonts w:hint="eastAsia" w:ascii="华文楷体" w:hAnsi="华文楷体" w:eastAsia="华文楷体" w:cs="华文楷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查看有“</w:t>
            </w:r>
            <w:r>
              <w:rPr>
                <w:rFonts w:hint="eastAsia" w:ascii="华文楷体" w:hAnsi="华文楷体" w:eastAsia="华文楷体" w:cs="华文楷体"/>
                <w:color w:val="auto"/>
                <w:sz w:val="21"/>
                <w:szCs w:val="21"/>
                <w:lang w:val="en-US" w:eastAsia="zh-CN"/>
              </w:rPr>
              <w:t>物</w:t>
            </w:r>
            <w:r>
              <w:rPr>
                <w:rFonts w:hint="eastAsia" w:ascii="华文楷体" w:hAnsi="华文楷体" w:eastAsia="华文楷体" w:cs="华文楷体"/>
                <w:color w:val="auto"/>
                <w:sz w:val="21"/>
                <w:szCs w:val="21"/>
              </w:rPr>
              <w:t>体打击演习记录”。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——演练时间：202</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——演练组织部门：技术支持部/工程服务部；参加人员：</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、财务部、工程服务部、市场营销部</w:t>
            </w:r>
            <w:r>
              <w:rPr>
                <w:rFonts w:hint="eastAsia" w:ascii="华文楷体" w:hAnsi="华文楷体" w:eastAsia="华文楷体" w:cs="华文楷体"/>
                <w:color w:val="auto"/>
                <w:sz w:val="21"/>
                <w:szCs w:val="21"/>
                <w:lang w:val="en-US" w:eastAsia="zh-CN"/>
              </w:rPr>
              <w:t>共</w:t>
            </w:r>
            <w:r>
              <w:rPr>
                <w:rFonts w:hint="eastAsia" w:ascii="华文楷体" w:hAnsi="华文楷体" w:eastAsia="华文楷体" w:cs="华文楷体"/>
                <w:color w:val="auto"/>
                <w:sz w:val="21"/>
                <w:szCs w:val="21"/>
              </w:rPr>
              <w:t xml:space="preserve">28人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——演练效果评价记录：通过演练，证明预案基本适宜，全体人员对预案的要求有了比较适宜的操作方法，可以有效履行预案的要求。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楼道配有灭火器消防栓等消防设施，由</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统一管理，每月进行了灭火器、消防栓进行了点检。</w:t>
            </w:r>
          </w:p>
        </w:tc>
        <w:tc>
          <w:tcPr>
            <w:tcW w:w="655" w:type="dxa"/>
            <w:tcBorders>
              <w:bottom w:val="single" w:color="auto" w:sz="4" w:space="0"/>
            </w:tcBorders>
          </w:tcPr>
          <w:p>
            <w:pPr>
              <w:spacing w:line="360" w:lineRule="auto"/>
              <w:rPr>
                <w:rFonts w:hint="eastAsia" w:ascii="华文楷体" w:hAnsi="华文楷体" w:eastAsia="华文楷体" w:cs="华文楷体"/>
                <w:color w:val="FF0000"/>
                <w:sz w:val="21"/>
                <w:szCs w:val="21"/>
              </w:rPr>
            </w:pPr>
          </w:p>
        </w:tc>
      </w:tr>
    </w:tbl>
    <w:p>
      <w:pPr>
        <w:pStyle w:val="9"/>
        <w:spacing w:line="360" w:lineRule="auto"/>
        <w:rPr>
          <w:rFonts w:hint="eastAsia"/>
        </w:rPr>
      </w:pPr>
    </w:p>
    <w:p>
      <w:pPr>
        <w:spacing w:line="360" w:lineRule="auto"/>
        <w:ind w:firstLine="5040" w:firstLineChars="1400"/>
        <w:jc w:val="both"/>
        <w:rPr>
          <w:rFonts w:hint="eastAsia" w:asciiTheme="minorEastAsia" w:hAnsiTheme="minorEastAsia" w:eastAsiaTheme="minorEastAsia" w:cstheme="minorEastAsia"/>
          <w:bCs/>
          <w:color w:val="000000"/>
          <w:sz w:val="36"/>
          <w:szCs w:val="36"/>
        </w:rPr>
      </w:pPr>
    </w:p>
    <w:p>
      <w:pPr>
        <w:spacing w:line="360" w:lineRule="auto"/>
        <w:ind w:firstLine="5040" w:firstLineChars="1400"/>
        <w:jc w:val="both"/>
      </w:pPr>
      <w:r>
        <w:rPr>
          <w:rFonts w:hint="eastAsia" w:asciiTheme="minorEastAsia" w:hAnsiTheme="minorEastAsia" w:eastAsiaTheme="minorEastAsia" w:cstheme="minorEastAsia"/>
          <w:bCs/>
          <w:color w:val="000000"/>
          <w:sz w:val="36"/>
          <w:szCs w:val="36"/>
        </w:rPr>
        <w:t>管理体系审核记录表</w:t>
      </w:r>
    </w:p>
    <w:tbl>
      <w:tblPr>
        <w:tblStyle w:val="13"/>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过程与活动、</w:t>
            </w:r>
          </w:p>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抽样计划</w:t>
            </w:r>
          </w:p>
        </w:tc>
        <w:tc>
          <w:tcPr>
            <w:tcW w:w="965" w:type="dxa"/>
            <w:vMerge w:val="restart"/>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涉及</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条款</w:t>
            </w:r>
          </w:p>
        </w:tc>
        <w:tc>
          <w:tcPr>
            <w:tcW w:w="10927" w:type="dxa"/>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受审核部门：</w:t>
            </w:r>
            <w:r>
              <w:rPr>
                <w:rFonts w:hint="eastAsia" w:ascii="华文楷体" w:hAnsi="华文楷体" w:eastAsia="华文楷体" w:cs="华文楷体"/>
                <w:color w:val="auto"/>
                <w:lang w:eastAsia="zh-CN"/>
              </w:rPr>
              <w:t>经营部</w:t>
            </w:r>
            <w:r>
              <w:rPr>
                <w:rFonts w:hint="eastAsia" w:ascii="华文楷体" w:hAnsi="华文楷体" w:eastAsia="华文楷体" w:cs="华文楷体"/>
                <w:color w:val="auto"/>
              </w:rPr>
              <w:t xml:space="preserve">      主管领导：</w:t>
            </w:r>
            <w:r>
              <w:rPr>
                <w:rFonts w:hint="eastAsia" w:ascii="华文楷体" w:hAnsi="华文楷体" w:eastAsia="华文楷体" w:cs="华文楷体"/>
                <w:color w:val="auto"/>
                <w:kern w:val="0"/>
                <w:sz w:val="21"/>
                <w:szCs w:val="21"/>
                <w:lang w:val="en-US" w:eastAsia="zh-CN" w:bidi="ar"/>
              </w:rPr>
              <w:t>吕伟</w:t>
            </w:r>
            <w:r>
              <w:rPr>
                <w:rFonts w:hint="eastAsia" w:ascii="华文楷体" w:hAnsi="华文楷体" w:eastAsia="华文楷体" w:cs="华文楷体"/>
                <w:color w:val="auto"/>
                <w:sz w:val="21"/>
                <w:szCs w:val="21"/>
              </w:rPr>
              <w:t xml:space="preserve">    陪同人员：</w:t>
            </w:r>
            <w:r>
              <w:rPr>
                <w:rFonts w:hint="eastAsia" w:ascii="华文楷体" w:hAnsi="华文楷体" w:eastAsia="华文楷体" w:cs="华文楷体"/>
                <w:color w:val="auto"/>
                <w:kern w:val="0"/>
                <w:sz w:val="21"/>
                <w:szCs w:val="21"/>
                <w:lang w:val="en-US" w:eastAsia="zh-CN" w:bidi="ar"/>
              </w:rPr>
              <w:t>许丽娜</w:t>
            </w:r>
            <w:r>
              <w:rPr>
                <w:rFonts w:hint="eastAsia" w:ascii="华文楷体" w:hAnsi="华文楷体" w:eastAsia="华文楷体" w:cs="华文楷体"/>
                <w:color w:val="auto"/>
              </w:rPr>
              <w:t xml:space="preserve"> </w:t>
            </w:r>
          </w:p>
        </w:tc>
        <w:tc>
          <w:tcPr>
            <w:tcW w:w="732" w:type="dxa"/>
            <w:vMerge w:val="restart"/>
            <w:vAlign w:val="center"/>
          </w:tcPr>
          <w:p>
            <w:pPr>
              <w:spacing w:line="360" w:lineRule="auto"/>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spacing w:line="360" w:lineRule="auto"/>
              <w:rPr>
                <w:rFonts w:hint="eastAsia" w:ascii="华文楷体" w:hAnsi="华文楷体" w:eastAsia="华文楷体" w:cs="华文楷体"/>
                <w:color w:val="auto"/>
                <w:sz w:val="21"/>
                <w:szCs w:val="21"/>
              </w:rPr>
            </w:pPr>
          </w:p>
        </w:tc>
        <w:tc>
          <w:tcPr>
            <w:tcW w:w="965" w:type="dxa"/>
            <w:vMerge w:val="continue"/>
            <w:vAlign w:val="center"/>
          </w:tcPr>
          <w:p>
            <w:pPr>
              <w:spacing w:line="360" w:lineRule="auto"/>
              <w:rPr>
                <w:rFonts w:hint="eastAsia" w:ascii="华文楷体" w:hAnsi="华文楷体" w:eastAsia="华文楷体" w:cs="华文楷体"/>
                <w:color w:val="auto"/>
                <w:sz w:val="21"/>
                <w:szCs w:val="21"/>
              </w:rPr>
            </w:pPr>
          </w:p>
        </w:tc>
        <w:tc>
          <w:tcPr>
            <w:tcW w:w="10927" w:type="dxa"/>
            <w:vAlign w:val="center"/>
          </w:tcPr>
          <w:p>
            <w:pPr>
              <w:spacing w:before="120" w:line="360" w:lineRule="auto"/>
              <w:rPr>
                <w:rFonts w:hint="default" w:ascii="华文楷体" w:hAnsi="华文楷体" w:eastAsia="华文楷体" w:cs="华文楷体"/>
                <w:color w:val="auto"/>
                <w:sz w:val="21"/>
                <w:szCs w:val="21"/>
                <w:lang w:val="en-US"/>
              </w:rPr>
            </w:pPr>
            <w:r>
              <w:rPr>
                <w:rFonts w:hint="eastAsia" w:ascii="华文楷体" w:hAnsi="华文楷体" w:eastAsia="华文楷体" w:cs="华文楷体"/>
                <w:color w:val="auto"/>
                <w:sz w:val="21"/>
                <w:szCs w:val="21"/>
              </w:rPr>
              <w:t>审核员：</w:t>
            </w:r>
            <w:r>
              <w:rPr>
                <w:rFonts w:hint="eastAsia" w:ascii="华文楷体" w:hAnsi="华文楷体" w:eastAsia="华文楷体" w:cs="华文楷体"/>
                <w:color w:val="auto"/>
                <w:sz w:val="21"/>
                <w:szCs w:val="21"/>
                <w:lang w:val="en-US" w:eastAsia="zh-CN"/>
              </w:rPr>
              <w:t xml:space="preserve">李凤仪                  </w:t>
            </w:r>
            <w:r>
              <w:rPr>
                <w:rFonts w:hint="eastAsia" w:ascii="华文楷体" w:hAnsi="华文楷体" w:eastAsia="华文楷体" w:cs="华文楷体"/>
                <w:color w:val="auto"/>
                <w:sz w:val="21"/>
                <w:szCs w:val="21"/>
              </w:rPr>
              <w:t>审核时间：</w:t>
            </w:r>
            <w:r>
              <w:rPr>
                <w:rFonts w:hint="eastAsia" w:ascii="华文楷体" w:hAnsi="华文楷体" w:eastAsia="华文楷体" w:cs="华文楷体"/>
                <w:color w:val="auto"/>
                <w:sz w:val="21"/>
                <w:szCs w:val="21"/>
                <w:lang w:val="en-US" w:eastAsia="zh-CN"/>
              </w:rPr>
              <w:t>2022年12月9日   审核方式;微信/视频</w:t>
            </w:r>
          </w:p>
        </w:tc>
        <w:tc>
          <w:tcPr>
            <w:tcW w:w="732" w:type="dxa"/>
            <w:vMerge w:val="continue"/>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spacing w:line="360" w:lineRule="auto"/>
              <w:rPr>
                <w:rFonts w:hint="eastAsia" w:ascii="华文楷体" w:hAnsi="华文楷体" w:eastAsia="华文楷体" w:cs="华文楷体"/>
                <w:color w:val="auto"/>
                <w:sz w:val="21"/>
                <w:szCs w:val="21"/>
              </w:rPr>
            </w:pPr>
          </w:p>
        </w:tc>
        <w:tc>
          <w:tcPr>
            <w:tcW w:w="965" w:type="dxa"/>
            <w:vMerge w:val="continue"/>
            <w:vAlign w:val="center"/>
          </w:tcPr>
          <w:p>
            <w:pPr>
              <w:spacing w:line="360" w:lineRule="auto"/>
              <w:rPr>
                <w:rFonts w:hint="eastAsia" w:ascii="华文楷体" w:hAnsi="华文楷体" w:eastAsia="华文楷体" w:cs="华文楷体"/>
                <w:color w:val="auto"/>
                <w:sz w:val="21"/>
                <w:szCs w:val="21"/>
              </w:rPr>
            </w:pPr>
          </w:p>
        </w:tc>
        <w:tc>
          <w:tcPr>
            <w:tcW w:w="10927" w:type="dxa"/>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审核条款：</w:t>
            </w:r>
            <w:r>
              <w:rPr>
                <w:rFonts w:hint="eastAsia" w:ascii="华文楷体" w:hAnsi="华文楷体" w:eastAsia="华文楷体" w:cs="华文楷体"/>
                <w:color w:val="auto"/>
                <w:sz w:val="21"/>
                <w:szCs w:val="21"/>
              </w:rPr>
              <w:t>组织的岗位、职责权限；目标、方案；环境因素/危险源识别评价；产品和服务要求；顾客满意；采购；运行控制；应急准备和响应；</w:t>
            </w:r>
          </w:p>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Q: 5.3(4.3)/6.2（3.2）/8.2（6.2-6.3）8.4（9.1-9.3、8.1-8.4）/9.1.2(10.7);</w:t>
            </w:r>
          </w:p>
          <w:p>
            <w:pPr>
              <w:pStyle w:val="2"/>
              <w:spacing w:line="360" w:lineRule="auto"/>
              <w:rPr>
                <w:rFonts w:hint="eastAsia" w:ascii="华文楷体" w:hAnsi="华文楷体" w:eastAsia="华文楷体" w:cs="华文楷体"/>
                <w:color w:val="auto"/>
              </w:rPr>
            </w:pPr>
            <w:r>
              <w:rPr>
                <w:rFonts w:hint="eastAsia" w:ascii="宋体" w:hAnsi="宋体" w:eastAsia="宋体" w:cs="宋体"/>
                <w:b w:val="0"/>
                <w:bCs w:val="0"/>
                <w:sz w:val="18"/>
                <w:szCs w:val="18"/>
              </w:rPr>
              <w:t>E</w:t>
            </w:r>
            <w:r>
              <w:rPr>
                <w:rFonts w:hint="eastAsia" w:ascii="宋体" w:hAnsi="宋体" w:eastAsia="宋体" w:cs="宋体"/>
                <w:b w:val="0"/>
                <w:bCs w:val="0"/>
                <w:sz w:val="18"/>
                <w:szCs w:val="18"/>
                <w:lang w:val="en-US" w:eastAsia="zh-CN"/>
              </w:rPr>
              <w:t>O</w:t>
            </w:r>
            <w:r>
              <w:rPr>
                <w:rFonts w:hint="eastAsia" w:ascii="宋体" w:hAnsi="宋体" w:eastAsia="宋体" w:cs="宋体"/>
                <w:b w:val="0"/>
                <w:bCs w:val="0"/>
                <w:sz w:val="18"/>
                <w:szCs w:val="18"/>
              </w:rPr>
              <w:t>:5.3/6.2/6.1.2/8.1/8.2</w:t>
            </w:r>
          </w:p>
        </w:tc>
        <w:tc>
          <w:tcPr>
            <w:tcW w:w="732" w:type="dxa"/>
            <w:vMerge w:val="continue"/>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73" w:type="dxa"/>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岗位、职责、权限、责任</w:t>
            </w:r>
          </w:p>
          <w:p>
            <w:pPr>
              <w:spacing w:line="360" w:lineRule="auto"/>
              <w:rPr>
                <w:rFonts w:hint="eastAsia" w:ascii="华文楷体" w:hAnsi="华文楷体" w:eastAsia="华文楷体" w:cs="华文楷体"/>
                <w:color w:val="auto"/>
                <w:sz w:val="21"/>
                <w:szCs w:val="21"/>
              </w:rPr>
            </w:pPr>
          </w:p>
        </w:tc>
        <w:tc>
          <w:tcPr>
            <w:tcW w:w="965" w:type="dxa"/>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QES:5.3</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JQ：4.3.4</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JQ：4.3.5</w:t>
            </w:r>
          </w:p>
        </w:tc>
        <w:tc>
          <w:tcPr>
            <w:tcW w:w="10927" w:type="dxa"/>
            <w:vAlign w:val="top"/>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 xml:space="preserve">经营部  </w:t>
            </w:r>
            <w:r>
              <w:rPr>
                <w:rFonts w:hint="eastAsia" w:ascii="华文楷体" w:hAnsi="华文楷体" w:eastAsia="华文楷体" w:cs="华文楷体"/>
                <w:color w:val="auto"/>
                <w:sz w:val="21"/>
                <w:szCs w:val="21"/>
              </w:rPr>
              <w:t>负责人：</w:t>
            </w:r>
            <w:r>
              <w:rPr>
                <w:rFonts w:hint="eastAsia" w:ascii="华文楷体" w:hAnsi="华文楷体" w:eastAsia="华文楷体" w:cs="华文楷体"/>
                <w:color w:val="auto"/>
                <w:kern w:val="0"/>
                <w:sz w:val="21"/>
                <w:szCs w:val="21"/>
                <w:lang w:val="en-US" w:eastAsia="zh-CN" w:bidi="ar"/>
              </w:rPr>
              <w:t>吕伟</w:t>
            </w: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eastAsia="zh-CN"/>
              </w:rPr>
              <w:t xml:space="preserve">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sym w:font="Wingdings 2" w:char="F098"/>
            </w:r>
            <w:r>
              <w:rPr>
                <w:rFonts w:hint="eastAsia" w:ascii="华文楷体" w:hAnsi="华文楷体" w:eastAsia="华文楷体" w:cs="华文楷体"/>
                <w:color w:val="auto"/>
                <w:sz w:val="21"/>
                <w:szCs w:val="21"/>
              </w:rPr>
              <w:t>查《管理手册》5.3条款规定了本部门的职责和权限，与张经理沟通了解到，</w:t>
            </w:r>
            <w:r>
              <w:rPr>
                <w:rFonts w:hint="eastAsia" w:ascii="华文楷体" w:hAnsi="华文楷体" w:eastAsia="华文楷体" w:cs="华文楷体"/>
                <w:color w:val="auto"/>
                <w:sz w:val="21"/>
                <w:szCs w:val="21"/>
                <w:lang w:eastAsia="zh-CN"/>
              </w:rPr>
              <w:t xml:space="preserve">经营部  </w:t>
            </w:r>
            <w:r>
              <w:rPr>
                <w:rFonts w:hint="eastAsia" w:ascii="华文楷体" w:hAnsi="华文楷体" w:eastAsia="华文楷体" w:cs="华文楷体"/>
                <w:color w:val="auto"/>
                <w:sz w:val="21"/>
                <w:szCs w:val="21"/>
              </w:rPr>
              <w:t>主要负责：</w:t>
            </w:r>
          </w:p>
          <w:p>
            <w:pPr>
              <w:pStyle w:val="19"/>
              <w:numPr>
                <w:ilvl w:val="0"/>
                <w:numId w:val="4"/>
              </w:numPr>
              <w:spacing w:line="360" w:lineRule="auto"/>
              <w:ind w:firstLineChars="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参加投标和议标，了解顾客要求和期望，编制标书，并对标书组织有关部门进行评审，发出投标书；</w:t>
            </w:r>
          </w:p>
          <w:p>
            <w:pPr>
              <w:pStyle w:val="19"/>
              <w:numPr>
                <w:ilvl w:val="0"/>
                <w:numId w:val="4"/>
              </w:numPr>
              <w:spacing w:line="360" w:lineRule="auto"/>
              <w:ind w:firstLineChars="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在合同签订前，对合同进行评审，确认本公司有能力满足顾客的期望和要求；</w:t>
            </w:r>
          </w:p>
          <w:p>
            <w:pPr>
              <w:pStyle w:val="19"/>
              <w:numPr>
                <w:ilvl w:val="0"/>
                <w:numId w:val="4"/>
              </w:numPr>
              <w:spacing w:line="360" w:lineRule="auto"/>
              <w:ind w:firstLineChars="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顾客产品要求的更改（合同）更改，经确认后，通知相关部门和人员明白更改的要求内容；</w:t>
            </w:r>
          </w:p>
          <w:p>
            <w:pPr>
              <w:pStyle w:val="19"/>
              <w:numPr>
                <w:ilvl w:val="0"/>
                <w:numId w:val="4"/>
              </w:numPr>
              <w:spacing w:line="360" w:lineRule="auto"/>
              <w:ind w:firstLineChars="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收集分析顾客有关信息，对产品质量进行顾客满意度调查，并将收集调查结果报告总经理及有关部门；</w:t>
            </w:r>
          </w:p>
          <w:p>
            <w:pPr>
              <w:pStyle w:val="19"/>
              <w:numPr>
                <w:ilvl w:val="0"/>
                <w:numId w:val="4"/>
              </w:numPr>
              <w:spacing w:line="360" w:lineRule="auto"/>
              <w:ind w:firstLineChars="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负责本部门环境因素/危险源的识别及其控制等。</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部门职责和权限已在公司及部门内部进行了沟通和交流。</w:t>
            </w:r>
          </w:p>
        </w:tc>
        <w:tc>
          <w:tcPr>
            <w:tcW w:w="732" w:type="dxa"/>
          </w:tcPr>
          <w:p>
            <w:pPr>
              <w:spacing w:line="360" w:lineRule="auto"/>
              <w:rPr>
                <w:rFonts w:hint="eastAsia" w:ascii="华文楷体" w:hAnsi="华文楷体" w:eastAsia="华文楷体" w:cs="华文楷体"/>
                <w:color w:val="FF0000"/>
                <w:lang w:val="en-US" w:eastAsia="zh-CN"/>
              </w:rPr>
            </w:pPr>
            <w:r>
              <w:rPr>
                <w:rFonts w:hint="eastAsia" w:ascii="华文楷体" w:hAnsi="华文楷体" w:eastAsia="华文楷体" w:cs="华文楷体"/>
                <w:color w:val="FF0000"/>
                <w:lang w:val="en-US" w:eastAsia="zh-CN"/>
              </w:rPr>
              <w:t>OK</w:t>
            </w:r>
          </w:p>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73" w:type="dxa"/>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目标、指标及完成情况</w:t>
            </w:r>
          </w:p>
        </w:tc>
        <w:tc>
          <w:tcPr>
            <w:tcW w:w="965" w:type="dxa"/>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w:t>
            </w:r>
            <w:r>
              <w:rPr>
                <w:rFonts w:hint="eastAsia" w:ascii="华文楷体" w:hAnsi="华文楷体" w:eastAsia="华文楷体" w:cs="华文楷体"/>
                <w:color w:val="auto"/>
                <w:sz w:val="21"/>
                <w:szCs w:val="21"/>
                <w:lang w:val="en-US" w:eastAsia="zh-CN"/>
              </w:rPr>
              <w:t>EO</w:t>
            </w:r>
            <w:r>
              <w:rPr>
                <w:rFonts w:hint="eastAsia" w:ascii="华文楷体" w:hAnsi="华文楷体" w:eastAsia="华文楷体" w:cs="华文楷体"/>
                <w:color w:val="auto"/>
                <w:sz w:val="21"/>
                <w:szCs w:val="21"/>
              </w:rPr>
              <w:t>:6.2</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JQ：3.2.3</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JQ：3.2.4</w:t>
            </w:r>
          </w:p>
        </w:tc>
        <w:tc>
          <w:tcPr>
            <w:tcW w:w="10927" w:type="dxa"/>
            <w:vAlign w:val="top"/>
          </w:tcPr>
          <w:p>
            <w:pPr>
              <w:spacing w:line="360" w:lineRule="auto"/>
              <w:ind w:firstLine="420" w:firstLineChars="200"/>
              <w:rPr>
                <w:rFonts w:hint="eastAsia" w:ascii="华文楷体" w:hAnsi="华文楷体" w:eastAsia="华文楷体" w:cs="华文楷体"/>
                <w:color w:val="auto"/>
              </w:rPr>
            </w:pPr>
            <w:r>
              <w:rPr>
                <w:rFonts w:hint="eastAsia" w:ascii="华文楷体" w:hAnsi="华文楷体" w:eastAsia="华文楷体" w:cs="华文楷体"/>
                <w:color w:val="auto"/>
              </w:rPr>
              <w:sym w:font="Wingdings 2" w:char="F098"/>
            </w:r>
            <w:r>
              <w:rPr>
                <w:rFonts w:hint="eastAsia" w:ascii="华文楷体" w:hAnsi="华文楷体" w:eastAsia="华文楷体" w:cs="华文楷体"/>
                <w:color w:val="auto"/>
              </w:rPr>
              <w:t>部门质量目标：                             考核情况（202</w:t>
            </w:r>
            <w:r>
              <w:rPr>
                <w:rFonts w:hint="eastAsia" w:ascii="华文楷体" w:hAnsi="华文楷体" w:eastAsia="华文楷体" w:cs="华文楷体"/>
                <w:color w:val="auto"/>
                <w:lang w:val="en-US" w:eastAsia="zh-CN"/>
              </w:rPr>
              <w:t>2</w:t>
            </w:r>
            <w:r>
              <w:rPr>
                <w:rFonts w:hint="eastAsia" w:ascii="华文楷体" w:hAnsi="华文楷体" w:eastAsia="华文楷体" w:cs="华文楷体"/>
                <w:color w:val="auto"/>
              </w:rPr>
              <w:t>.</w:t>
            </w:r>
            <w:r>
              <w:rPr>
                <w:rFonts w:hint="eastAsia" w:ascii="华文楷体" w:hAnsi="华文楷体" w:eastAsia="华文楷体" w:cs="华文楷体"/>
                <w:color w:val="auto"/>
                <w:lang w:val="en-US" w:eastAsia="zh-CN"/>
              </w:rPr>
              <w:t>7.8</w:t>
            </w:r>
            <w:r>
              <w:rPr>
                <w:rFonts w:hint="eastAsia" w:ascii="华文楷体" w:hAnsi="华文楷体" w:eastAsia="华文楷体" w:cs="华文楷体"/>
                <w:color w:val="auto"/>
              </w:rPr>
              <w:t>）</w:t>
            </w:r>
          </w:p>
          <w:p>
            <w:pPr>
              <w:spacing w:line="360" w:lineRule="auto"/>
              <w:rPr>
                <w:rFonts w:hint="eastAsia" w:ascii="华文楷体" w:hAnsi="华文楷体" w:eastAsia="华文楷体" w:cs="华文楷体"/>
                <w:color w:val="auto"/>
                <w:szCs w:val="22"/>
              </w:rPr>
            </w:pPr>
            <w:r>
              <w:rPr>
                <w:rFonts w:hint="eastAsia" w:ascii="华文楷体" w:hAnsi="华文楷体" w:eastAsia="华文楷体" w:cs="华文楷体"/>
                <w:color w:val="auto"/>
                <w:szCs w:val="22"/>
              </w:rPr>
              <w:t>1、</w:t>
            </w:r>
            <w:r>
              <w:rPr>
                <w:rFonts w:hint="eastAsia" w:ascii="华文楷体" w:hAnsi="华文楷体" w:eastAsia="华文楷体" w:cs="华文楷体"/>
                <w:color w:val="auto"/>
                <w:szCs w:val="22"/>
                <w:lang w:val="en-US" w:eastAsia="zh-CN"/>
              </w:rPr>
              <w:t>合同评审率100%</w:t>
            </w:r>
            <w:r>
              <w:rPr>
                <w:rFonts w:hint="eastAsia" w:ascii="华文楷体" w:hAnsi="华文楷体" w:eastAsia="华文楷体" w:cs="华文楷体"/>
                <w:color w:val="auto"/>
                <w:szCs w:val="22"/>
              </w:rPr>
              <w:t xml:space="preserve">                        </w:t>
            </w:r>
            <w:r>
              <w:rPr>
                <w:rFonts w:hint="eastAsia" w:ascii="华文楷体" w:hAnsi="华文楷体" w:eastAsia="华文楷体" w:cs="华文楷体"/>
                <w:color w:val="auto"/>
                <w:szCs w:val="22"/>
                <w:lang w:val="en-US" w:eastAsia="zh-CN"/>
              </w:rPr>
              <w:t xml:space="preserve">    </w:t>
            </w:r>
            <w:r>
              <w:rPr>
                <w:rFonts w:hint="eastAsia" w:ascii="华文楷体" w:hAnsi="华文楷体" w:eastAsia="华文楷体" w:cs="华文楷体"/>
                <w:color w:val="auto"/>
                <w:szCs w:val="22"/>
              </w:rPr>
              <w:t xml:space="preserve"> 100%</w:t>
            </w:r>
          </w:p>
          <w:p>
            <w:pPr>
              <w:spacing w:line="360" w:lineRule="auto"/>
              <w:rPr>
                <w:rFonts w:hint="eastAsia" w:ascii="华文楷体" w:hAnsi="华文楷体" w:eastAsia="华文楷体" w:cs="华文楷体"/>
                <w:color w:val="auto"/>
                <w:szCs w:val="22"/>
                <w:lang w:val="en-US" w:eastAsia="zh-CN"/>
              </w:rPr>
            </w:pPr>
            <w:r>
              <w:rPr>
                <w:rFonts w:hint="eastAsia" w:ascii="华文楷体" w:hAnsi="华文楷体" w:eastAsia="华文楷体" w:cs="华文楷体"/>
                <w:color w:val="auto"/>
                <w:szCs w:val="22"/>
              </w:rPr>
              <w:t xml:space="preserve">2、顾客满意度≥95%                   </w:t>
            </w:r>
            <w:r>
              <w:rPr>
                <w:rFonts w:hint="eastAsia" w:ascii="华文楷体" w:hAnsi="华文楷体" w:eastAsia="华文楷体" w:cs="华文楷体"/>
                <w:color w:val="auto"/>
                <w:szCs w:val="22"/>
                <w:lang w:val="en-US" w:eastAsia="zh-CN"/>
              </w:rPr>
              <w:t xml:space="preserve">          97%</w:t>
            </w:r>
          </w:p>
          <w:p>
            <w:pPr>
              <w:spacing w:line="360" w:lineRule="auto"/>
              <w:rPr>
                <w:rFonts w:hint="eastAsia" w:ascii="华文楷体" w:hAnsi="华文楷体" w:eastAsia="华文楷体" w:cs="华文楷体"/>
                <w:color w:val="auto"/>
                <w:szCs w:val="22"/>
              </w:rPr>
            </w:pPr>
            <w:r>
              <w:rPr>
                <w:rFonts w:hint="eastAsia" w:ascii="华文楷体" w:hAnsi="华文楷体" w:eastAsia="华文楷体" w:cs="华文楷体"/>
                <w:color w:val="auto"/>
                <w:szCs w:val="22"/>
              </w:rPr>
              <w:t xml:space="preserve">3、确保采购产品合格率100%             </w:t>
            </w:r>
            <w:r>
              <w:rPr>
                <w:rFonts w:hint="eastAsia" w:ascii="华文楷体" w:hAnsi="华文楷体" w:eastAsia="华文楷体" w:cs="华文楷体"/>
                <w:color w:val="auto"/>
                <w:szCs w:val="22"/>
                <w:lang w:val="en-US" w:eastAsia="zh-CN"/>
              </w:rPr>
              <w:t xml:space="preserve">   </w:t>
            </w:r>
            <w:r>
              <w:rPr>
                <w:rFonts w:hint="eastAsia" w:ascii="华文楷体" w:hAnsi="华文楷体" w:eastAsia="华文楷体" w:cs="华文楷体"/>
                <w:color w:val="auto"/>
                <w:szCs w:val="22"/>
              </w:rPr>
              <w:t xml:space="preserve">   </w:t>
            </w:r>
            <w:r>
              <w:rPr>
                <w:rFonts w:hint="eastAsia" w:ascii="华文楷体" w:hAnsi="华文楷体" w:eastAsia="华文楷体" w:cs="华文楷体"/>
                <w:color w:val="auto"/>
                <w:szCs w:val="22"/>
                <w:lang w:val="en-US" w:eastAsia="zh-CN"/>
              </w:rPr>
              <w:t xml:space="preserve"> </w:t>
            </w:r>
            <w:r>
              <w:rPr>
                <w:rFonts w:hint="eastAsia" w:ascii="华文楷体" w:hAnsi="华文楷体" w:eastAsia="华文楷体" w:cs="华文楷体"/>
                <w:color w:val="auto"/>
                <w:szCs w:val="22"/>
              </w:rPr>
              <w:t xml:space="preserve"> </w:t>
            </w:r>
            <w:r>
              <w:rPr>
                <w:rFonts w:hint="eastAsia" w:ascii="华文楷体" w:hAnsi="华文楷体" w:eastAsia="华文楷体" w:cs="华文楷体"/>
                <w:color w:val="auto"/>
                <w:szCs w:val="22"/>
                <w:lang w:val="en-US" w:eastAsia="zh-CN"/>
              </w:rPr>
              <w:t>100</w:t>
            </w:r>
            <w:r>
              <w:rPr>
                <w:rFonts w:hint="eastAsia" w:ascii="华文楷体" w:hAnsi="华文楷体" w:eastAsia="华文楷体" w:cs="华文楷体"/>
                <w:color w:val="auto"/>
                <w:szCs w:val="22"/>
              </w:rPr>
              <w:t>%</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sym w:font="Wingdings 2" w:char="F098"/>
            </w:r>
            <w:r>
              <w:rPr>
                <w:rFonts w:hint="eastAsia" w:ascii="华文楷体" w:hAnsi="华文楷体" w:eastAsia="华文楷体" w:cs="华文楷体"/>
                <w:color w:val="auto"/>
              </w:rPr>
              <w:t>每季度进行一次考核，目标基本实现。考核人：</w:t>
            </w:r>
            <w:r>
              <w:rPr>
                <w:rFonts w:hint="eastAsia" w:ascii="华文楷体" w:hAnsi="华文楷体" w:eastAsia="华文楷体" w:cs="华文楷体"/>
                <w:color w:val="auto"/>
                <w:kern w:val="0"/>
                <w:sz w:val="21"/>
                <w:szCs w:val="21"/>
                <w:lang w:val="en-US" w:eastAsia="zh-CN" w:bidi="ar"/>
              </w:rPr>
              <w:t>许丽娜</w:t>
            </w:r>
            <w:r>
              <w:rPr>
                <w:rFonts w:hint="eastAsia" w:ascii="华文楷体" w:hAnsi="华文楷体" w:eastAsia="华文楷体" w:cs="华文楷体"/>
                <w:color w:val="auto"/>
              </w:rPr>
              <w:t xml:space="preserve"> 202</w:t>
            </w:r>
            <w:r>
              <w:rPr>
                <w:rFonts w:hint="eastAsia" w:ascii="华文楷体" w:hAnsi="华文楷体" w:eastAsia="华文楷体" w:cs="华文楷体"/>
                <w:color w:val="auto"/>
                <w:lang w:val="en-US" w:eastAsia="zh-CN"/>
              </w:rPr>
              <w:t>2</w:t>
            </w:r>
            <w:r>
              <w:rPr>
                <w:rFonts w:hint="eastAsia" w:ascii="华文楷体" w:hAnsi="华文楷体" w:eastAsia="华文楷体" w:cs="华文楷体"/>
                <w:color w:val="auto"/>
              </w:rPr>
              <w:t>.</w:t>
            </w:r>
            <w:r>
              <w:rPr>
                <w:rFonts w:hint="eastAsia" w:ascii="华文楷体" w:hAnsi="华文楷体" w:eastAsia="华文楷体" w:cs="华文楷体"/>
                <w:color w:val="auto"/>
                <w:lang w:val="en-US" w:eastAsia="zh-CN"/>
              </w:rPr>
              <w:t>7.8</w:t>
            </w:r>
          </w:p>
        </w:tc>
        <w:tc>
          <w:tcPr>
            <w:tcW w:w="732" w:type="dxa"/>
          </w:tcPr>
          <w:p>
            <w:pPr>
              <w:spacing w:line="360" w:lineRule="auto"/>
              <w:rPr>
                <w:rFonts w:hint="eastAsia" w:ascii="华文楷体" w:hAnsi="华文楷体" w:eastAsia="华文楷体" w:cs="华文楷体"/>
                <w:color w:val="FF0000"/>
                <w:lang w:val="en-US" w:eastAsia="zh-CN"/>
              </w:rPr>
            </w:pPr>
            <w:r>
              <w:rPr>
                <w:rFonts w:hint="eastAsia" w:ascii="华文楷体" w:hAnsi="华文楷体" w:eastAsia="华文楷体" w:cs="华文楷体"/>
                <w:color w:val="FF0000"/>
                <w:lang w:val="en-US" w:eastAsia="zh-CN"/>
              </w:rPr>
              <w:t>OK</w:t>
            </w:r>
          </w:p>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73" w:type="dxa"/>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环境因素、危险源辨识评价和控制措施的确定</w:t>
            </w:r>
          </w:p>
        </w:tc>
        <w:tc>
          <w:tcPr>
            <w:tcW w:w="965" w:type="dxa"/>
            <w:vAlign w:val="center"/>
          </w:tcPr>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lang w:val="en-US" w:eastAsia="zh-CN"/>
              </w:rPr>
              <w:t>E</w:t>
            </w:r>
            <w:r>
              <w:rPr>
                <w:rFonts w:hint="eastAsia" w:ascii="华文楷体" w:hAnsi="华文楷体" w:eastAsia="华文楷体" w:cs="华文楷体"/>
                <w:color w:val="auto"/>
              </w:rPr>
              <w:t>O</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6.1.2</w:t>
            </w:r>
          </w:p>
        </w:tc>
        <w:tc>
          <w:tcPr>
            <w:tcW w:w="10927" w:type="dxa"/>
            <w:vAlign w:val="center"/>
          </w:tcPr>
          <w:p>
            <w:pPr>
              <w:spacing w:line="360" w:lineRule="auto"/>
              <w:ind w:firstLine="420" w:firstLineChars="200"/>
              <w:rPr>
                <w:rFonts w:hint="eastAsia" w:ascii="华文楷体" w:hAnsi="华文楷体" w:eastAsia="华文楷体" w:cs="华文楷体"/>
                <w:color w:val="auto"/>
              </w:rPr>
            </w:pPr>
            <w:r>
              <w:rPr>
                <w:rFonts w:hint="eastAsia" w:ascii="华文楷体" w:hAnsi="华文楷体" w:eastAsia="华文楷体" w:cs="华文楷体"/>
                <w:color w:val="auto"/>
              </w:rPr>
              <w:t>提供《危险源识别一览表》，按照活动、区域进行了识别，其中包括：线路老化、违规吸烟、消防设施失效、人走未断电、电线乱拉乱扯、未配置触电保护装置、各种电器漏电、各种电器防护装置失灵、人员未佩戴防护用具等，评价基本全面</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提供《重大危险源清单》，其中涉及</w:t>
            </w:r>
            <w:r>
              <w:rPr>
                <w:rFonts w:hint="eastAsia" w:ascii="华文楷体" w:hAnsi="华文楷体" w:eastAsia="华文楷体" w:cs="华文楷体"/>
                <w:color w:val="auto"/>
                <w:lang w:eastAsia="zh-CN"/>
              </w:rPr>
              <w:t>经营部</w:t>
            </w:r>
            <w:r>
              <w:rPr>
                <w:rFonts w:hint="eastAsia" w:ascii="华文楷体" w:hAnsi="华文楷体" w:eastAsia="华文楷体" w:cs="华文楷体"/>
                <w:color w:val="auto"/>
              </w:rPr>
              <w:t>的重大危险源：</w:t>
            </w:r>
            <w:r>
              <w:rPr>
                <w:rFonts w:hint="eastAsia" w:ascii="华文楷体" w:hAnsi="华文楷体" w:eastAsia="华文楷体" w:cs="华文楷体"/>
                <w:color w:val="auto"/>
                <w:sz w:val="21"/>
                <w:szCs w:val="21"/>
              </w:rPr>
              <w:t>火灾事故的发生、触电、意外伤害，评价准确</w:t>
            </w:r>
            <w:r>
              <w:rPr>
                <w:rFonts w:hint="eastAsia" w:ascii="华文楷体" w:hAnsi="华文楷体" w:eastAsia="华文楷体" w:cs="华文楷体"/>
                <w:color w:val="auto"/>
                <w:sz w:val="21"/>
                <w:szCs w:val="21"/>
                <w:lang w:val="en-US" w:eastAsia="zh-CN"/>
              </w:rPr>
              <w:t>；重要环境因素</w:t>
            </w:r>
            <w:r>
              <w:rPr>
                <w:rFonts w:hint="eastAsia" w:ascii="华文楷体" w:hAnsi="华文楷体" w:eastAsia="华文楷体" w:cs="华文楷体"/>
                <w:color w:val="auto"/>
                <w:sz w:val="21"/>
                <w:szCs w:val="21"/>
              </w:rPr>
              <w:t>：火灾事故的发生、</w:t>
            </w:r>
            <w:r>
              <w:rPr>
                <w:rFonts w:hint="eastAsia" w:ascii="华文楷体" w:hAnsi="华文楷体" w:eastAsia="华文楷体" w:cs="华文楷体"/>
                <w:color w:val="auto"/>
                <w:sz w:val="21"/>
                <w:szCs w:val="21"/>
                <w:lang w:val="en-US" w:eastAsia="zh-CN"/>
              </w:rPr>
              <w:t>能源消耗</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固废排放</w:t>
            </w:r>
            <w:r>
              <w:rPr>
                <w:rFonts w:hint="eastAsia" w:ascii="华文楷体" w:hAnsi="华文楷体" w:eastAsia="华文楷体" w:cs="华文楷体"/>
                <w:color w:val="auto"/>
                <w:sz w:val="21"/>
                <w:szCs w:val="21"/>
              </w:rPr>
              <w:t>，评价准</w:t>
            </w:r>
            <w:r>
              <w:rPr>
                <w:rFonts w:hint="eastAsia" w:ascii="华文楷体" w:hAnsi="华文楷体" w:eastAsia="华文楷体" w:cs="华文楷体"/>
                <w:color w:val="auto"/>
                <w:sz w:val="21"/>
                <w:szCs w:val="21"/>
                <w:lang w:val="en-US" w:eastAsia="zh-CN"/>
              </w:rPr>
              <w:t>确</w:t>
            </w:r>
          </w:p>
        </w:tc>
        <w:tc>
          <w:tcPr>
            <w:tcW w:w="732" w:type="dxa"/>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73" w:type="dxa"/>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运行控制</w:t>
            </w:r>
          </w:p>
        </w:tc>
        <w:tc>
          <w:tcPr>
            <w:tcW w:w="965" w:type="dxa"/>
            <w:vAlign w:val="center"/>
          </w:tcPr>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lang w:val="en-US" w:eastAsia="zh-CN"/>
              </w:rPr>
              <w:t>E</w:t>
            </w:r>
            <w:r>
              <w:rPr>
                <w:rFonts w:hint="eastAsia" w:ascii="华文楷体" w:hAnsi="华文楷体" w:eastAsia="华文楷体" w:cs="华文楷体"/>
                <w:color w:val="auto"/>
              </w:rPr>
              <w:t>O</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8.1</w:t>
            </w:r>
          </w:p>
        </w:tc>
        <w:tc>
          <w:tcPr>
            <w:tcW w:w="10927" w:type="dxa"/>
            <w:vAlign w:val="center"/>
          </w:tcPr>
          <w:p>
            <w:pPr>
              <w:spacing w:line="360" w:lineRule="auto"/>
              <w:ind w:firstLine="420" w:firstLineChars="200"/>
              <w:rPr>
                <w:rFonts w:hint="eastAsia" w:ascii="华文楷体" w:hAnsi="华文楷体" w:eastAsia="华文楷体" w:cs="华文楷体"/>
                <w:color w:val="auto"/>
              </w:rPr>
            </w:pPr>
            <w:r>
              <w:rPr>
                <w:rFonts w:hint="eastAsia" w:ascii="华文楷体" w:hAnsi="华文楷体" w:eastAsia="华文楷体" w:cs="华文楷体"/>
                <w:color w:val="auto"/>
              </w:rPr>
              <w:t>本部门应执行的运行控制文件包括：运行控制程序，固体废弃物管理规定、对相关方施加影响管理规定、节能降耗管理规定、消防安全管理制度、办公室安全管理制度、</w:t>
            </w:r>
            <w:r>
              <w:rPr>
                <w:rFonts w:hint="eastAsia" w:ascii="华文楷体" w:hAnsi="华文楷体" w:eastAsia="华文楷体" w:cs="华文楷体"/>
                <w:color w:val="auto"/>
                <w:lang w:val="en-GB"/>
              </w:rPr>
              <w:t>车辆管理规定、电脑使用管理办法</w:t>
            </w:r>
            <w:r>
              <w:rPr>
                <w:rFonts w:hint="eastAsia" w:ascii="华文楷体" w:hAnsi="华文楷体" w:eastAsia="华文楷体" w:cs="华文楷体"/>
                <w:color w:val="auto"/>
              </w:rPr>
              <w:t>等</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运行控制情况：</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1、办公区域：污水：不涉及污水，没有污水排放。</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噪声：办公现场不产生明显噪声。</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固废：固体废物主要是办公产生废纸张等，配置了纸篓；</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办公用纸由</w:t>
            </w:r>
            <w:r>
              <w:rPr>
                <w:rFonts w:hint="eastAsia" w:ascii="华文楷体" w:hAnsi="华文楷体" w:eastAsia="华文楷体" w:cs="华文楷体"/>
                <w:color w:val="auto"/>
                <w:lang w:eastAsia="zh-CN"/>
              </w:rPr>
              <w:t>综合部</w:t>
            </w:r>
            <w:r>
              <w:rPr>
                <w:rFonts w:hint="eastAsia" w:ascii="华文楷体" w:hAnsi="华文楷体" w:eastAsia="华文楷体" w:cs="华文楷体"/>
                <w:color w:val="auto"/>
              </w:rPr>
              <w:t>负责，复印、打印耗材都由综合服务统一负责，集中处置。</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2、办公过程注意节约用电，做到人走灯灭，电脑长时间不用时关机，下班前要关闭电源，防止触电。</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3、办公区域禁止吸烟，现场查看办公区域环境整洁、宽敞、办公设备状态良好、无安全隐患。</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4、工作时间平均每天不超过8小时。</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5、办公区域、库房，整洁、光线充足，办公条件较好，办公设备安全状态良好，教育员工正确使用办公设备，现场用电基本规范，无乱拉线现象，防止火灾发生。</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6、相关方施加影响：公司能够控制或能够施加影响的相关方有顾客等。提供了“相关方告知书”，将公司的环境/安全控制要求发放到了所有客户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7、要求遵守道路交通法规，不违章驾车，驾驶证和车辆定期年审，确保行车安全。</w:t>
            </w:r>
          </w:p>
        </w:tc>
        <w:tc>
          <w:tcPr>
            <w:tcW w:w="732" w:type="dxa"/>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73" w:type="dxa"/>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应急准备和响应</w:t>
            </w:r>
          </w:p>
        </w:tc>
        <w:tc>
          <w:tcPr>
            <w:tcW w:w="965" w:type="dxa"/>
            <w:vAlign w:val="center"/>
          </w:tcPr>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lang w:val="en-US" w:eastAsia="zh-CN"/>
              </w:rPr>
              <w:t>E</w:t>
            </w:r>
            <w:r>
              <w:rPr>
                <w:rFonts w:hint="eastAsia" w:ascii="华文楷体" w:hAnsi="华文楷体" w:eastAsia="华文楷体" w:cs="华文楷体"/>
                <w:color w:val="auto"/>
              </w:rPr>
              <w:t>O</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rPr>
              <w:t>8.2</w:t>
            </w:r>
          </w:p>
        </w:tc>
        <w:tc>
          <w:tcPr>
            <w:tcW w:w="10927" w:type="dxa"/>
            <w:vAlign w:val="center"/>
          </w:tcPr>
          <w:p>
            <w:pPr>
              <w:spacing w:line="360" w:lineRule="auto"/>
              <w:rPr>
                <w:rFonts w:hint="eastAsia" w:ascii="华文楷体" w:hAnsi="华文楷体" w:eastAsia="华文楷体" w:cs="华文楷体"/>
                <w:color w:val="auto"/>
              </w:rPr>
            </w:pPr>
            <w:r>
              <w:rPr>
                <w:rFonts w:hint="eastAsia" w:ascii="华文楷体" w:hAnsi="华文楷体" w:eastAsia="华文楷体" w:cs="华文楷体"/>
                <w:color w:val="auto"/>
              </w:rPr>
              <w:t>执行《</w:t>
            </w:r>
            <w:r>
              <w:rPr>
                <w:rFonts w:hint="eastAsia" w:ascii="华文楷体" w:hAnsi="华文楷体" w:eastAsia="华文楷体" w:cs="华文楷体"/>
                <w:color w:val="auto"/>
                <w:lang w:val="zh-CN"/>
              </w:rPr>
              <w:t>应急准备和响应控制程序</w:t>
            </w:r>
            <w:r>
              <w:rPr>
                <w:rFonts w:hint="eastAsia" w:ascii="华文楷体" w:hAnsi="华文楷体" w:eastAsia="华文楷体" w:cs="华文楷体"/>
                <w:color w:val="auto"/>
              </w:rPr>
              <w:t>》。</w:t>
            </w:r>
            <w:r>
              <w:rPr>
                <w:rFonts w:hint="eastAsia" w:ascii="华文楷体" w:hAnsi="华文楷体" w:eastAsia="华文楷体" w:cs="华文楷体"/>
                <w:color w:val="auto"/>
                <w:sz w:val="21"/>
                <w:szCs w:val="21"/>
                <w:lang w:eastAsia="zh-CN"/>
              </w:rPr>
              <w:t>2022年</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日</w:t>
            </w:r>
            <w:r>
              <w:rPr>
                <w:rFonts w:hint="eastAsia" w:ascii="华文楷体" w:hAnsi="华文楷体" w:eastAsia="华文楷体" w:cs="华文楷体"/>
                <w:color w:val="auto"/>
              </w:rPr>
              <w:t>，市场营销部参加了公司组织消防演练，相关记录详见相关条款</w:t>
            </w:r>
            <w:r>
              <w:rPr>
                <w:rFonts w:hint="eastAsia" w:ascii="华文楷体" w:hAnsi="华文楷体" w:eastAsia="华文楷体" w:cs="华文楷体"/>
                <w:color w:val="auto"/>
                <w:lang w:val="en-US" w:eastAsia="zh-CN"/>
              </w:rPr>
              <w:t>审核记录</w:t>
            </w:r>
            <w:r>
              <w:rPr>
                <w:rFonts w:hint="eastAsia" w:ascii="华文楷体" w:hAnsi="华文楷体" w:eastAsia="华文楷体" w:cs="华文楷体"/>
                <w:color w:val="auto"/>
              </w:rPr>
              <w:t>。</w:t>
            </w:r>
          </w:p>
        </w:tc>
        <w:tc>
          <w:tcPr>
            <w:tcW w:w="732" w:type="dxa"/>
          </w:tcPr>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73" w:type="dxa"/>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招投标、合同管理</w:t>
            </w:r>
          </w:p>
        </w:tc>
        <w:tc>
          <w:tcPr>
            <w:tcW w:w="965" w:type="dxa"/>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Q：8.2</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JQ：6.1</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JQ：6.2</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JQ：6.3</w:t>
            </w:r>
          </w:p>
        </w:tc>
        <w:tc>
          <w:tcPr>
            <w:tcW w:w="10927" w:type="dxa"/>
            <w:vAlign w:val="top"/>
          </w:tcPr>
          <w:p>
            <w:pPr>
              <w:spacing w:line="360" w:lineRule="auto"/>
              <w:ind w:firstLine="420" w:firstLineChars="2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招投标、合同管理</w:t>
            </w:r>
            <w:r>
              <w:rPr>
                <w:rFonts w:hint="eastAsia" w:ascii="华文楷体" w:hAnsi="华文楷体" w:eastAsia="华文楷体" w:cs="华文楷体"/>
                <w:color w:val="auto"/>
                <w:sz w:val="21"/>
                <w:szCs w:val="21"/>
                <w:lang w:eastAsia="zh-CN"/>
              </w:rPr>
              <w:t>，</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查文件：</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制定了《标书及合同管理程序》包涵了规范要求的工程项目投标及工程合同管理制度，明确了投标与工程合同管理的控制流程。</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跟负责人沟通：</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1、公司通过招投标、市场开拓及客户介绍等其他方式获得合同。</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2、通过资格预审、招标答疑、招标书、电话、现场拜访、网络和与业主的交流。</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3、需了解业主明示的要求、未明示但必须满足的、与项目相关的法律法规/行业的技术和规范要求及企业的相关要求。</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4、投标或签订合同前，公司通过会议、网络及文件方式对以上业主要求、公司的技术能力/施工能力/财务能力及需面对的风险和机遇进行评审；评审通过后依法进行投标及签订合同。</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5、合同签订后，</w:t>
            </w:r>
            <w:r>
              <w:rPr>
                <w:rFonts w:hint="eastAsia" w:ascii="华文楷体" w:hAnsi="华文楷体" w:eastAsia="华文楷体" w:cs="华文楷体"/>
                <w:color w:val="auto"/>
                <w:sz w:val="21"/>
                <w:szCs w:val="21"/>
                <w:lang w:eastAsia="zh-CN"/>
              </w:rPr>
              <w:t xml:space="preserve">经营部  </w:t>
            </w:r>
            <w:r>
              <w:rPr>
                <w:rFonts w:hint="eastAsia" w:ascii="华文楷体" w:hAnsi="华文楷体" w:eastAsia="华文楷体" w:cs="华文楷体"/>
                <w:color w:val="auto"/>
                <w:sz w:val="21"/>
                <w:szCs w:val="21"/>
              </w:rPr>
              <w:t>组织，通过会议、培训、书面等各种方式跟工程部、项目部等进行合同交底。</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6、在合同履行过程中，业主、监理、设计等各方提出合同的变更需要书面签认，作为合同的组成部分；按规定进行合同更改信息交流，做相应工程信息的更改。</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7、跟发包方保持沟通，进行合同履约分析，包括工程进行中和完工后；并定期分析、评价合同履行情况；保存合同变更、会议纪要、函件、通知等履约内容，确保工程和服务质量。</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查记录及执行情况：</w:t>
            </w:r>
          </w:p>
          <w:p>
            <w:pPr>
              <w:pStyle w:val="2"/>
              <w:rPr>
                <w:rFonts w:hint="eastAsia" w:ascii="华文楷体" w:hAnsi="华文楷体" w:eastAsia="华文楷体" w:cs="华文楷体"/>
                <w:color w:val="auto"/>
                <w:sz w:val="21"/>
                <w:szCs w:val="21"/>
              </w:rPr>
            </w:pPr>
          </w:p>
          <w:p>
            <w:pPr>
              <w:pStyle w:val="2"/>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序号</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单位名称</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工程名称</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b/>
                <w:bCs/>
                <w:color w:val="auto"/>
                <w:sz w:val="21"/>
                <w:szCs w:val="21"/>
              </w:rPr>
              <w:t>抽1</w:t>
            </w:r>
            <w:r>
              <w:rPr>
                <w:rFonts w:hint="eastAsia" w:ascii="华文楷体" w:hAnsi="华文楷体" w:eastAsia="华文楷体" w:cs="华文楷体"/>
                <w:color w:val="auto"/>
                <w:sz w:val="21"/>
                <w:szCs w:val="21"/>
              </w:rPr>
              <w:t>：客户：</w:t>
            </w:r>
            <w:r>
              <w:rPr>
                <w:rFonts w:hint="eastAsia" w:ascii="华文楷体" w:hAnsi="华文楷体" w:eastAsia="华文楷体" w:cs="华文楷体"/>
                <w:color w:val="auto"/>
                <w:sz w:val="21"/>
                <w:szCs w:val="21"/>
                <w:lang w:val="en-US" w:eastAsia="zh-CN"/>
              </w:rPr>
              <w:t>江西智慧建筑科技集团有限公司</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 xml:space="preserve">项目名称：广东省人民医院赣州医院项目工地会议室多媒体音视频系统。 </w:t>
            </w:r>
            <w:r>
              <w:rPr>
                <w:rFonts w:hint="eastAsia" w:ascii="华文楷体" w:hAnsi="华文楷体" w:eastAsia="华文楷体" w:cs="华文楷体"/>
                <w:color w:val="auto"/>
                <w:sz w:val="21"/>
                <w:szCs w:val="21"/>
              </w:rPr>
              <w:t xml:space="preserve"> </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合同评审时间：</w:t>
            </w:r>
            <w:r>
              <w:rPr>
                <w:rFonts w:hint="eastAsia" w:ascii="华文楷体" w:hAnsi="华文楷体" w:eastAsia="华文楷体" w:cs="华文楷体"/>
                <w:color w:val="auto"/>
                <w:sz w:val="21"/>
                <w:szCs w:val="21"/>
                <w:lang w:val="en-US" w:eastAsia="zh-CN"/>
              </w:rPr>
              <w:t>2022年7月7日</w:t>
            </w:r>
          </w:p>
          <w:p>
            <w:pPr>
              <w:spacing w:line="360" w:lineRule="auto"/>
              <w:rPr>
                <w:rFonts w:hint="eastAsia" w:ascii="华文楷体" w:hAnsi="华文楷体" w:eastAsia="华文楷体" w:cs="华文楷体"/>
                <w:color w:val="auto"/>
                <w:sz w:val="21"/>
                <w:szCs w:val="21"/>
              </w:rPr>
            </w:pPr>
          </w:p>
          <w:p>
            <w:pPr>
              <w:spacing w:line="360" w:lineRule="auto"/>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抽2：客户：江西瑞林电气自动化有限公司</w:t>
            </w:r>
          </w:p>
          <w:p>
            <w:pPr>
              <w:spacing w:line="360" w:lineRule="auto"/>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项目名称：</w:t>
            </w:r>
            <w:r>
              <w:rPr>
                <w:rFonts w:hint="eastAsia" w:ascii="华文楷体" w:hAnsi="华文楷体" w:eastAsia="华文楷体" w:cs="华文楷体"/>
                <w:color w:val="auto"/>
                <w:kern w:val="2"/>
                <w:sz w:val="21"/>
                <w:szCs w:val="21"/>
                <w:lang w:val="en-US" w:eastAsia="zh-CN" w:bidi="ar-SA"/>
              </w:rPr>
              <w:t>阳新弘盛铜业通信系统集成项目</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合同评审时间：</w:t>
            </w:r>
            <w:r>
              <w:rPr>
                <w:rFonts w:hint="eastAsia" w:ascii="华文楷体" w:hAnsi="华文楷体" w:eastAsia="华文楷体" w:cs="华文楷体"/>
                <w:color w:val="auto"/>
                <w:sz w:val="21"/>
                <w:szCs w:val="21"/>
                <w:lang w:val="en-US" w:eastAsia="zh-CN"/>
              </w:rPr>
              <w:t>2022年2月25日</w:t>
            </w:r>
          </w:p>
          <w:p>
            <w:pPr>
              <w:spacing w:line="360" w:lineRule="auto"/>
              <w:rPr>
                <w:rFonts w:hint="eastAsia" w:ascii="华文楷体" w:hAnsi="华文楷体" w:eastAsia="华文楷体" w:cs="华文楷体"/>
                <w:color w:val="auto"/>
                <w:sz w:val="21"/>
                <w:szCs w:val="21"/>
              </w:rPr>
            </w:pPr>
          </w:p>
          <w:p>
            <w:pPr>
              <w:spacing w:line="360" w:lineRule="auto"/>
              <w:rPr>
                <w:rFonts w:hint="eastAsia" w:ascii="华文楷体" w:hAnsi="华文楷体" w:eastAsia="华文楷体" w:cs="华文楷体"/>
                <w:color w:val="auto"/>
                <w:kern w:val="2"/>
                <w:sz w:val="21"/>
                <w:szCs w:val="21"/>
                <w:lang w:val="en-US" w:eastAsia="zh-CN" w:bidi="ar-SA"/>
              </w:rPr>
            </w:pPr>
            <w:r>
              <w:rPr>
                <w:rFonts w:hint="eastAsia" w:ascii="华文楷体" w:hAnsi="华文楷体" w:eastAsia="华文楷体" w:cs="华文楷体"/>
                <w:color w:val="auto"/>
                <w:sz w:val="21"/>
                <w:szCs w:val="21"/>
              </w:rPr>
              <w:t>抽</w:t>
            </w:r>
            <w:r>
              <w:rPr>
                <w:rFonts w:hint="eastAsia" w:ascii="华文楷体" w:hAnsi="华文楷体" w:eastAsia="华文楷体" w:cs="华文楷体"/>
                <w:color w:val="auto"/>
                <w:sz w:val="21"/>
                <w:szCs w:val="21"/>
                <w:lang w:val="en-US" w:eastAsia="zh-CN"/>
              </w:rPr>
              <w:t>3</w:t>
            </w:r>
            <w:r>
              <w:rPr>
                <w:rFonts w:hint="eastAsia" w:ascii="华文楷体" w:hAnsi="华文楷体" w:eastAsia="华文楷体" w:cs="华文楷体"/>
                <w:color w:val="auto"/>
                <w:sz w:val="21"/>
                <w:szCs w:val="21"/>
              </w:rPr>
              <w:t>：客户：</w:t>
            </w:r>
            <w:r>
              <w:rPr>
                <w:rFonts w:hint="eastAsia" w:ascii="华文楷体" w:hAnsi="华文楷体" w:eastAsia="华文楷体" w:cs="华文楷体"/>
                <w:color w:val="auto"/>
                <w:kern w:val="2"/>
                <w:sz w:val="21"/>
                <w:szCs w:val="21"/>
                <w:lang w:val="en-US" w:eastAsia="zh-CN" w:bidi="ar-SA"/>
              </w:rPr>
              <w:t>中国移动通信集团江西有限公司</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项目名称：</w:t>
            </w:r>
            <w:r>
              <w:rPr>
                <w:rFonts w:hint="eastAsia" w:ascii="华文楷体" w:hAnsi="华文楷体" w:eastAsia="华文楷体" w:cs="华文楷体"/>
                <w:color w:val="auto"/>
                <w:kern w:val="2"/>
                <w:sz w:val="21"/>
                <w:szCs w:val="21"/>
                <w:lang w:val="en-US" w:eastAsia="zh-CN" w:bidi="ar-SA"/>
              </w:rPr>
              <w:t>江西交通厅联网收费系统灾备机房建设项目</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合同评审时间：</w:t>
            </w:r>
            <w:r>
              <w:rPr>
                <w:rFonts w:hint="eastAsia" w:ascii="华文楷体" w:hAnsi="华文楷体" w:eastAsia="华文楷体" w:cs="华文楷体"/>
                <w:color w:val="auto"/>
                <w:sz w:val="21"/>
                <w:szCs w:val="21"/>
                <w:lang w:val="en-US" w:eastAsia="zh-CN"/>
              </w:rPr>
              <w:t>2022年3月24日</w:t>
            </w:r>
          </w:p>
          <w:p>
            <w:pPr>
              <w:spacing w:line="360" w:lineRule="auto"/>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抽</w:t>
            </w:r>
            <w:r>
              <w:rPr>
                <w:rFonts w:hint="eastAsia" w:ascii="华文楷体" w:hAnsi="华文楷体" w:eastAsia="华文楷体" w:cs="华文楷体"/>
                <w:color w:val="auto"/>
                <w:sz w:val="21"/>
                <w:szCs w:val="21"/>
                <w:lang w:val="en-US" w:eastAsia="zh-CN"/>
              </w:rPr>
              <w:t>4</w:t>
            </w:r>
            <w:r>
              <w:rPr>
                <w:rFonts w:hint="eastAsia" w:ascii="华文楷体" w:hAnsi="华文楷体" w:eastAsia="华文楷体" w:cs="华文楷体"/>
                <w:color w:val="auto"/>
                <w:sz w:val="21"/>
                <w:szCs w:val="21"/>
              </w:rPr>
              <w:t>：客户：</w:t>
            </w:r>
            <w:r>
              <w:rPr>
                <w:rFonts w:hint="eastAsia" w:ascii="华文楷体" w:hAnsi="华文楷体" w:eastAsia="华文楷体" w:cs="华文楷体"/>
                <w:color w:val="auto"/>
                <w:sz w:val="21"/>
                <w:szCs w:val="21"/>
                <w:lang w:val="en-US" w:eastAsia="zh-CN"/>
              </w:rPr>
              <w:t>中国移动通信集团江西有限公司</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项目名称：江西移动2021年小蓝通信枢纽楼生产调度中心智能化工程；</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合同签订时间：</w:t>
            </w:r>
            <w:r>
              <w:rPr>
                <w:rFonts w:hint="eastAsia" w:ascii="华文楷体" w:hAnsi="华文楷体" w:eastAsia="华文楷体" w:cs="华文楷体"/>
                <w:color w:val="auto"/>
                <w:sz w:val="21"/>
                <w:szCs w:val="21"/>
                <w:lang w:val="en-US" w:eastAsia="zh-CN"/>
              </w:rPr>
              <w:t>2021年7月1日</w:t>
            </w:r>
            <w:r>
              <w:rPr>
                <w:rFonts w:hint="eastAsia" w:ascii="华文楷体" w:hAnsi="华文楷体" w:eastAsia="华文楷体" w:cs="华文楷体"/>
                <w:color w:val="auto"/>
                <w:sz w:val="21"/>
                <w:szCs w:val="21"/>
              </w:rPr>
              <w:t>。合同评审时间：</w:t>
            </w:r>
            <w:r>
              <w:rPr>
                <w:rFonts w:hint="eastAsia" w:ascii="华文楷体" w:hAnsi="华文楷体" w:eastAsia="华文楷体" w:cs="华文楷体"/>
                <w:color w:val="auto"/>
                <w:sz w:val="21"/>
                <w:szCs w:val="21"/>
                <w:lang w:val="en-US" w:eastAsia="zh-CN"/>
              </w:rPr>
              <w:t>2021年6月26日</w:t>
            </w:r>
          </w:p>
          <w:p>
            <w:pPr>
              <w:spacing w:line="360" w:lineRule="auto"/>
              <w:ind w:firstLine="420" w:firstLineChars="2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以上</w:t>
            </w:r>
            <w:r>
              <w:rPr>
                <w:rFonts w:hint="eastAsia" w:ascii="华文楷体" w:hAnsi="华文楷体" w:eastAsia="华文楷体" w:cs="华文楷体"/>
                <w:color w:val="auto"/>
                <w:sz w:val="21"/>
                <w:szCs w:val="21"/>
              </w:rPr>
              <w:t>合同内容有：合同签订依据、工程地点、工程内容、合同工期、质量标准、合同价款、组成合同的文件（合同协议书、中标通知书、投标书记附件、本合同专业条款、工程量清单等）词语解释、质量保证等，内容明确，有双方公司签章确认，作为了评审的依据。</w:t>
            </w:r>
            <w:r>
              <w:rPr>
                <w:rFonts w:hint="eastAsia" w:ascii="华文楷体" w:hAnsi="华文楷体" w:eastAsia="华文楷体" w:cs="华文楷体"/>
                <w:color w:val="auto"/>
                <w:sz w:val="21"/>
                <w:szCs w:val="21"/>
                <w:lang w:val="en-US" w:eastAsia="zh-CN"/>
              </w:rPr>
              <w:t>以上合同均在合同评审后签订、</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2）合同评审：</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签订合同前</w:t>
            </w:r>
            <w:r>
              <w:rPr>
                <w:rFonts w:hint="eastAsia" w:ascii="华文楷体" w:hAnsi="华文楷体" w:eastAsia="华文楷体" w:cs="华文楷体"/>
                <w:color w:val="auto"/>
                <w:sz w:val="21"/>
                <w:szCs w:val="21"/>
                <w:lang w:val="en-US" w:eastAsia="zh-CN"/>
              </w:rPr>
              <w:t>工程部</w:t>
            </w:r>
            <w:r>
              <w:rPr>
                <w:rFonts w:hint="eastAsia" w:ascii="华文楷体" w:hAnsi="华文楷体" w:eastAsia="华文楷体" w:cs="华文楷体"/>
                <w:color w:val="auto"/>
                <w:sz w:val="21"/>
                <w:szCs w:val="21"/>
              </w:rPr>
              <w:t>织各部门，以会签的方式进行评审；评审内容主要有：承包范围及工期、质量要求及相关条款、合同价款及调整方式、预付款及进度款支付、材料设备采购相应条款、结算时限、违约责任、保修责任、法律风险、资金保障等， 最后给出评审结论，</w:t>
            </w:r>
          </w:p>
          <w:p>
            <w:pPr>
              <w:spacing w:line="360" w:lineRule="auto"/>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查见以上合同评审记录，评审时间符合要求，参加评审人员包括：</w:t>
            </w:r>
            <w:r>
              <w:rPr>
                <w:rFonts w:hint="eastAsia" w:ascii="华文楷体" w:hAnsi="华文楷体" w:eastAsia="华文楷体" w:cs="华文楷体"/>
                <w:color w:val="auto"/>
                <w:sz w:val="21"/>
                <w:szCs w:val="21"/>
                <w:lang w:eastAsia="zh-CN"/>
              </w:rPr>
              <w:t>工程管理部</w:t>
            </w:r>
            <w:r>
              <w:rPr>
                <w:rFonts w:hint="eastAsia" w:ascii="华文楷体" w:hAnsi="华文楷体" w:eastAsia="华文楷体" w:cs="华文楷体"/>
                <w:color w:val="auto"/>
                <w:kern w:val="0"/>
                <w:sz w:val="21"/>
                <w:szCs w:val="21"/>
                <w:lang w:eastAsia="zh-CN" w:bidi="ar"/>
              </w:rPr>
              <w:t>万琦伟</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经营部</w:t>
            </w:r>
            <w:r>
              <w:rPr>
                <w:rFonts w:hint="eastAsia" w:ascii="华文楷体" w:hAnsi="华文楷体" w:eastAsia="华文楷体" w:cs="华文楷体"/>
                <w:color w:val="auto"/>
                <w:kern w:val="0"/>
                <w:sz w:val="21"/>
                <w:szCs w:val="21"/>
                <w:lang w:val="en-US" w:eastAsia="zh-CN" w:bidi="ar"/>
              </w:rPr>
              <w:t>吕伟</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总经理王霞</w:t>
            </w:r>
            <w:r>
              <w:rPr>
                <w:rFonts w:hint="eastAsia" w:ascii="华文楷体" w:hAnsi="华文楷体" w:eastAsia="华文楷体" w:cs="华文楷体"/>
                <w:color w:val="auto"/>
                <w:sz w:val="21"/>
                <w:szCs w:val="21"/>
                <w:lang w:eastAsia="zh-CN"/>
              </w:rPr>
              <w:t>。</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3）合同交底：</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合同签订后项目开工前</w:t>
            </w:r>
            <w:r>
              <w:rPr>
                <w:rFonts w:hint="eastAsia" w:ascii="华文楷体" w:hAnsi="华文楷体" w:eastAsia="华文楷体" w:cs="华文楷体"/>
                <w:color w:val="auto"/>
                <w:sz w:val="21"/>
                <w:szCs w:val="21"/>
                <w:lang w:eastAsia="zh-CN"/>
              </w:rPr>
              <w:t xml:space="preserve">经营部  </w:t>
            </w:r>
            <w:r>
              <w:rPr>
                <w:rFonts w:hint="eastAsia" w:ascii="华文楷体" w:hAnsi="华文楷体" w:eastAsia="华文楷体" w:cs="华文楷体"/>
                <w:color w:val="auto"/>
                <w:sz w:val="21"/>
                <w:szCs w:val="21"/>
              </w:rPr>
              <w:t>协同工程部对项目部进行交底，交底内容有：</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对工程起止日期、工程地点、工程概况、工程内容、质量标准、工程量确认方式、保修期限、甲供材料、工程量变更、竣工验收与结算等内容进行交底，</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交底内容符合要求。</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4）合同履约分析：</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合同履约过程中</w:t>
            </w:r>
            <w:r>
              <w:rPr>
                <w:rFonts w:hint="eastAsia" w:ascii="华文楷体" w:hAnsi="华文楷体" w:eastAsia="华文楷体" w:cs="华文楷体"/>
                <w:color w:val="auto"/>
                <w:sz w:val="21"/>
                <w:szCs w:val="21"/>
                <w:lang w:eastAsia="zh-CN"/>
              </w:rPr>
              <w:t xml:space="preserve">经营部  </w:t>
            </w:r>
            <w:r>
              <w:rPr>
                <w:rFonts w:hint="eastAsia" w:ascii="华文楷体" w:hAnsi="华文楷体" w:eastAsia="华文楷体" w:cs="华文楷体"/>
                <w:color w:val="auto"/>
                <w:sz w:val="21"/>
                <w:szCs w:val="21"/>
              </w:rPr>
              <w:t>协同工程部、办公室及机械部定期对工程进度、工程款支付、合同变更、经济签证等内容进行检查并根据检查结果进行分析。</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负责人介绍，以上项目施工过程中履约情况良好，未发现不良情况发生。</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合同变更：负责人介绍说：公司合同签订后几乎没有修改变更，一般都是在评审过程中反复修改，最后定稿。如有变动，以补充协议的形式附加在后面，作为对合同的补充条款。</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以上合同</w:t>
            </w:r>
            <w:r>
              <w:rPr>
                <w:rFonts w:hint="eastAsia" w:ascii="华文楷体" w:hAnsi="华文楷体" w:eastAsia="华文楷体" w:cs="华文楷体"/>
                <w:color w:val="auto"/>
                <w:sz w:val="21"/>
                <w:szCs w:val="21"/>
                <w:lang w:val="en-US" w:eastAsia="zh-CN"/>
              </w:rPr>
              <w:t>未见</w:t>
            </w:r>
            <w:r>
              <w:rPr>
                <w:rFonts w:hint="eastAsia" w:ascii="华文楷体" w:hAnsi="华文楷体" w:eastAsia="华文楷体" w:cs="华文楷体"/>
                <w:color w:val="auto"/>
                <w:sz w:val="21"/>
                <w:szCs w:val="21"/>
              </w:rPr>
              <w:t>变更。</w:t>
            </w:r>
          </w:p>
        </w:tc>
        <w:tc>
          <w:tcPr>
            <w:tcW w:w="732" w:type="dxa"/>
          </w:tcPr>
          <w:p>
            <w:pPr>
              <w:spacing w:line="360" w:lineRule="auto"/>
              <w:rPr>
                <w:rFonts w:hint="eastAsia" w:ascii="华文楷体" w:hAnsi="华文楷体" w:eastAsia="华文楷体" w:cs="华文楷体"/>
                <w:color w:val="FF0000"/>
                <w:sz w:val="21"/>
                <w:szCs w:val="21"/>
                <w:lang w:val="en-US" w:eastAsia="zh-CN"/>
              </w:rPr>
            </w:pPr>
            <w:r>
              <w:rPr>
                <w:rFonts w:hint="eastAsia" w:ascii="华文楷体" w:hAnsi="华文楷体" w:eastAsia="华文楷体" w:cs="华文楷体"/>
                <w:color w:val="FF0000"/>
                <w:sz w:val="21"/>
                <w:szCs w:val="21"/>
                <w:lang w:val="en-US" w:eastAsia="zh-CN"/>
              </w:rPr>
              <w:t>OK</w:t>
            </w:r>
          </w:p>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top"/>
          </w:tcPr>
          <w:p>
            <w:pPr>
              <w:spacing w:line="360" w:lineRule="auto"/>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外部提供过程、产品和服务的控制</w:t>
            </w:r>
          </w:p>
          <w:p>
            <w:pPr>
              <w:pStyle w:val="2"/>
              <w:spacing w:line="360" w:lineRule="auto"/>
              <w:jc w:val="both"/>
              <w:rPr>
                <w:rFonts w:hint="eastAsia" w:ascii="华文楷体" w:hAnsi="华文楷体" w:eastAsia="华文楷体" w:cs="华文楷体"/>
                <w:color w:val="auto"/>
                <w:sz w:val="21"/>
                <w:szCs w:val="21"/>
              </w:rPr>
            </w:pPr>
          </w:p>
          <w:p>
            <w:pPr>
              <w:spacing w:line="360" w:lineRule="auto"/>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分包管理</w:t>
            </w:r>
          </w:p>
          <w:p>
            <w:pPr>
              <w:pStyle w:val="2"/>
              <w:spacing w:line="360" w:lineRule="auto"/>
              <w:jc w:val="both"/>
              <w:rPr>
                <w:rFonts w:hint="eastAsia" w:ascii="华文楷体" w:hAnsi="华文楷体" w:eastAsia="华文楷体" w:cs="华文楷体"/>
                <w:color w:val="auto"/>
                <w:sz w:val="21"/>
                <w:szCs w:val="21"/>
              </w:rPr>
            </w:pPr>
          </w:p>
        </w:tc>
        <w:tc>
          <w:tcPr>
            <w:tcW w:w="965" w:type="dxa"/>
            <w:vAlign w:val="top"/>
          </w:tcPr>
          <w:p>
            <w:pPr>
              <w:spacing w:line="360" w:lineRule="auto"/>
              <w:jc w:val="both"/>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Q8.4</w:t>
            </w:r>
          </w:p>
          <w:p>
            <w:pPr>
              <w:pStyle w:val="2"/>
              <w:spacing w:line="360" w:lineRule="auto"/>
              <w:rPr>
                <w:rFonts w:hint="eastAsia" w:ascii="华文楷体" w:hAnsi="华文楷体" w:eastAsia="华文楷体" w:cs="华文楷体"/>
                <w:color w:val="auto"/>
                <w:sz w:val="21"/>
                <w:szCs w:val="21"/>
                <w:lang w:val="en-US" w:eastAsia="zh-CN"/>
              </w:rPr>
            </w:pPr>
          </w:p>
          <w:p>
            <w:pPr>
              <w:spacing w:line="360" w:lineRule="auto"/>
              <w:jc w:val="both"/>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J8.2-8.4</w:t>
            </w:r>
          </w:p>
          <w:p>
            <w:pPr>
              <w:spacing w:line="360" w:lineRule="auto"/>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J9.1</w:t>
            </w:r>
            <w:r>
              <w:rPr>
                <w:rFonts w:hint="eastAsia" w:ascii="华文楷体" w:hAnsi="华文楷体" w:eastAsia="华文楷体" w:cs="华文楷体"/>
                <w:color w:val="auto"/>
                <w:sz w:val="21"/>
                <w:szCs w:val="21"/>
                <w:lang w:val="en-US" w:eastAsia="zh-CN"/>
              </w:rPr>
              <w:t>-</w:t>
            </w:r>
            <w:r>
              <w:rPr>
                <w:rFonts w:hint="eastAsia" w:ascii="华文楷体" w:hAnsi="华文楷体" w:eastAsia="华文楷体" w:cs="华文楷体"/>
                <w:color w:val="auto"/>
                <w:sz w:val="21"/>
                <w:szCs w:val="21"/>
              </w:rPr>
              <w:t>9.2</w:t>
            </w:r>
          </w:p>
          <w:p>
            <w:pPr>
              <w:spacing w:line="360" w:lineRule="auto"/>
              <w:ind w:firstLine="308" w:firstLineChars="147"/>
              <w:jc w:val="both"/>
              <w:rPr>
                <w:rFonts w:hint="eastAsia" w:ascii="华文楷体" w:hAnsi="华文楷体" w:eastAsia="华文楷体" w:cs="华文楷体"/>
                <w:color w:val="auto"/>
                <w:sz w:val="21"/>
                <w:szCs w:val="21"/>
              </w:rPr>
            </w:pPr>
          </w:p>
        </w:tc>
        <w:tc>
          <w:tcPr>
            <w:tcW w:w="10927" w:type="dxa"/>
            <w:vAlign w:val="center"/>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highlight w:val="none"/>
              </w:rPr>
              <w:sym w:font="Wingdings 2" w:char="F098"/>
            </w:r>
            <w:r>
              <w:rPr>
                <w:rFonts w:hint="eastAsia" w:ascii="华文楷体" w:hAnsi="华文楷体" w:eastAsia="华文楷体" w:cs="华文楷体"/>
                <w:color w:val="auto"/>
                <w:sz w:val="21"/>
                <w:szCs w:val="21"/>
              </w:rPr>
              <w:t>编制了《外部提供过程控制程序》，明确了根据</w:t>
            </w:r>
            <w:r>
              <w:rPr>
                <w:rFonts w:hint="eastAsia" w:ascii="华文楷体" w:hAnsi="华文楷体" w:eastAsia="华文楷体" w:cs="华文楷体"/>
                <w:color w:val="auto"/>
                <w:sz w:val="21"/>
                <w:szCs w:val="21"/>
                <w:lang w:val="en-US" w:eastAsia="zh-CN"/>
              </w:rPr>
              <w:t>派交</w:t>
            </w:r>
            <w:r>
              <w:rPr>
                <w:rFonts w:hint="eastAsia" w:ascii="华文楷体" w:hAnsi="华文楷体" w:eastAsia="华文楷体" w:cs="华文楷体"/>
                <w:color w:val="auto"/>
                <w:sz w:val="21"/>
                <w:szCs w:val="21"/>
              </w:rPr>
              <w:t>单，编制</w:t>
            </w:r>
            <w:r>
              <w:rPr>
                <w:rFonts w:hint="eastAsia" w:ascii="华文楷体" w:hAnsi="华文楷体" w:eastAsia="华文楷体" w:cs="华文楷体"/>
                <w:color w:val="auto"/>
                <w:sz w:val="21"/>
                <w:szCs w:val="21"/>
                <w:lang w:val="en-US" w:eastAsia="zh-CN"/>
              </w:rPr>
              <w:t>采购单</w:t>
            </w:r>
            <w:r>
              <w:rPr>
                <w:rFonts w:hint="eastAsia" w:ascii="华文楷体" w:hAnsi="华文楷体" w:eastAsia="华文楷体" w:cs="华文楷体"/>
                <w:color w:val="auto"/>
                <w:sz w:val="21"/>
                <w:szCs w:val="21"/>
              </w:rPr>
              <w:t>。对</w:t>
            </w:r>
            <w:r>
              <w:rPr>
                <w:rFonts w:hint="eastAsia" w:ascii="华文楷体" w:hAnsi="华文楷体" w:eastAsia="华文楷体" w:cs="华文楷体"/>
                <w:color w:val="auto"/>
                <w:sz w:val="21"/>
                <w:szCs w:val="21"/>
                <w:lang w:val="en-US" w:eastAsia="zh-CN"/>
              </w:rPr>
              <w:t>供方</w:t>
            </w:r>
            <w:r>
              <w:rPr>
                <w:rFonts w:hint="eastAsia" w:ascii="华文楷体" w:hAnsi="华文楷体" w:eastAsia="华文楷体" w:cs="华文楷体"/>
                <w:color w:val="auto"/>
                <w:sz w:val="21"/>
                <w:szCs w:val="21"/>
              </w:rPr>
              <w:t>进行定期评价，内容包括：</w:t>
            </w:r>
            <w:r>
              <w:rPr>
                <w:rFonts w:hint="eastAsia" w:ascii="华文楷体" w:hAnsi="华文楷体" w:eastAsia="华文楷体" w:cs="华文楷体"/>
                <w:color w:val="auto"/>
                <w:sz w:val="21"/>
                <w:szCs w:val="21"/>
                <w:lang w:val="en-US" w:eastAsia="zh-CN"/>
              </w:rPr>
              <w:t>供方规模、市场信誉、供货能力；供方的供货期、付款方式；供方质量保证能力</w:t>
            </w:r>
            <w:r>
              <w:rPr>
                <w:rFonts w:hint="eastAsia" w:ascii="华文楷体" w:hAnsi="华文楷体" w:eastAsia="华文楷体" w:cs="华文楷体"/>
                <w:color w:val="auto"/>
                <w:sz w:val="21"/>
                <w:szCs w:val="21"/>
              </w:rPr>
              <w:t>等内容。经由总经理确认后，纳入公司合格供方。提供有《合格供方名录》</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查阅了《合格供方登记表》</w:t>
            </w:r>
            <w:r>
              <w:rPr>
                <w:rFonts w:hint="eastAsia" w:ascii="华文楷体" w:hAnsi="华文楷体" w:eastAsia="华文楷体" w:cs="华文楷体"/>
                <w:color w:val="auto"/>
                <w:sz w:val="21"/>
                <w:szCs w:val="21"/>
                <w:lang w:eastAsia="zh-CN"/>
              </w:rPr>
              <w:t>，抽查如下：</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序号</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 xml:space="preserve">  供方名称</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 xml:space="preserve">             提供产品名称</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 xml:space="preserve">南昌市小耳朵电子有限公司 </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小耳朵电源</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江苏帝诚线缆有限公司</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线缆、超五类网线</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3</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北京汉维兴业通信技术有限公司</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光缆</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4</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慈溪市帝明通信设备有限公司</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直插式光纤配线柜、分纤箱</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5</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北京凝网科技有限公司</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光缆</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南昌正通五金桥架有限公司</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水平桥架、四通、接地线、顶爆、异径接头等配件</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浙江大华科技有限公司</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网络键盘、智能小区综合管理系统、出入口抓拍一体机、摆闸、全数字室内机、GSFP、信息发布终端等</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江西秉德贸易有限公司</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PVC管、三通、弹簧、水平弯头、膨胀螺丝等</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9</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南昌中龙科技有限公司</w:t>
            </w:r>
            <w:r>
              <w:rPr>
                <w:rFonts w:hint="eastAsia" w:ascii="华文楷体" w:hAnsi="华文楷体" w:eastAsia="华文楷体" w:cs="华文楷体"/>
                <w:color w:val="auto"/>
                <w:sz w:val="21"/>
                <w:szCs w:val="21"/>
                <w:lang w:val="en-US" w:eastAsia="zh-CN"/>
              </w:rPr>
              <w:tab/>
            </w:r>
            <w:r>
              <w:rPr>
                <w:rFonts w:hint="eastAsia" w:ascii="华文楷体" w:hAnsi="华文楷体" w:eastAsia="华文楷体" w:cs="华文楷体"/>
                <w:color w:val="auto"/>
                <w:sz w:val="21"/>
                <w:szCs w:val="21"/>
                <w:lang w:val="en-US" w:eastAsia="zh-CN"/>
              </w:rPr>
              <w:t xml:space="preserve">墙柜                                                                                                                                                      </w:t>
            </w:r>
          </w:p>
          <w:p>
            <w:pPr>
              <w:pStyle w:val="2"/>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w:t>
            </w:r>
          </w:p>
          <w:p>
            <w:pPr>
              <w:pStyle w:val="2"/>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进厂的采购产品，由综合部按合同核对数量、材质单、合格证，验证规格、型号后，在入库单上签字。</w:t>
            </w:r>
          </w:p>
          <w:p>
            <w:pPr>
              <w:pStyle w:val="2"/>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——查采购产品的验证,详见Q8.6</w:t>
            </w:r>
          </w:p>
          <w:p>
            <w:pPr>
              <w:pStyle w:val="2"/>
              <w:spacing w:line="360" w:lineRule="auto"/>
              <w:ind w:firstLine="230" w:firstLineChars="1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部门负责人介绍公司暂无劳务分包。</w:t>
            </w:r>
          </w:p>
        </w:tc>
        <w:tc>
          <w:tcPr>
            <w:tcW w:w="732" w:type="dxa"/>
          </w:tcPr>
          <w:p>
            <w:pPr>
              <w:spacing w:line="360" w:lineRule="auto"/>
              <w:rPr>
                <w:rFonts w:hint="eastAsia" w:ascii="华文楷体" w:hAnsi="华文楷体" w:eastAsia="华文楷体" w:cs="华文楷体"/>
                <w:color w:val="FF0000"/>
                <w:sz w:val="21"/>
                <w:szCs w:val="21"/>
                <w:lang w:val="en-US" w:eastAsia="zh-CN"/>
              </w:rPr>
            </w:pPr>
            <w:r>
              <w:rPr>
                <w:rFonts w:hint="eastAsia" w:ascii="华文楷体" w:hAnsi="华文楷体" w:eastAsia="华文楷体" w:cs="华文楷体"/>
                <w:color w:val="FF0000"/>
                <w:sz w:val="21"/>
                <w:szCs w:val="21"/>
                <w:lang w:val="en-US" w:eastAsia="zh-CN"/>
              </w:rPr>
              <w:t>OK</w:t>
            </w:r>
          </w:p>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spacing w:line="360" w:lineRule="auto"/>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highlight w:val="none"/>
              </w:rPr>
              <w:t>标识和可追溯性</w:t>
            </w:r>
          </w:p>
        </w:tc>
        <w:tc>
          <w:tcPr>
            <w:tcW w:w="965" w:type="dxa"/>
            <w:vAlign w:val="center"/>
          </w:tcPr>
          <w:p>
            <w:pPr>
              <w:spacing w:line="360" w:lineRule="auto"/>
              <w:jc w:val="both"/>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Q</w:t>
            </w:r>
            <w:r>
              <w:rPr>
                <w:rFonts w:hint="eastAsia" w:ascii="华文楷体" w:hAnsi="华文楷体" w:eastAsia="华文楷体" w:cs="华文楷体"/>
                <w:b w:val="0"/>
                <w:bCs w:val="0"/>
                <w:color w:val="auto"/>
                <w:sz w:val="21"/>
                <w:szCs w:val="21"/>
              </w:rPr>
              <w:t>8.5.2</w:t>
            </w:r>
          </w:p>
          <w:p>
            <w:pPr>
              <w:spacing w:line="360" w:lineRule="auto"/>
              <w:ind w:right="-6" w:rightChars="-3"/>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J10.7</w:t>
            </w:r>
          </w:p>
          <w:p>
            <w:pPr>
              <w:pStyle w:val="2"/>
              <w:spacing w:line="360" w:lineRule="auto"/>
              <w:rPr>
                <w:rFonts w:hint="eastAsia" w:ascii="华文楷体" w:hAnsi="华文楷体" w:eastAsia="华文楷体" w:cs="华文楷体"/>
                <w:b w:val="0"/>
                <w:bCs w:val="0"/>
                <w:color w:val="auto"/>
                <w:sz w:val="21"/>
                <w:szCs w:val="21"/>
              </w:rPr>
            </w:pPr>
          </w:p>
        </w:tc>
        <w:tc>
          <w:tcPr>
            <w:tcW w:w="10927" w:type="dxa"/>
            <w:vAlign w:val="top"/>
          </w:tcPr>
          <w:p>
            <w:pPr>
              <w:pStyle w:val="20"/>
              <w:spacing w:line="360" w:lineRule="auto"/>
              <w:ind w:firstLine="420" w:firstLineChars="200"/>
              <w:jc w:val="both"/>
              <w:rPr>
                <w:rFonts w:hint="eastAsia" w:ascii="华文楷体" w:hAnsi="华文楷体" w:eastAsia="华文楷体" w:cs="华文楷体"/>
                <w:color w:val="auto"/>
                <w:sz w:val="21"/>
                <w:szCs w:val="21"/>
                <w:highlight w:val="none"/>
                <w:lang w:val="zh-CN"/>
              </w:rPr>
            </w:pPr>
            <w:r>
              <w:rPr>
                <w:rFonts w:hint="eastAsia" w:ascii="华文楷体" w:hAnsi="华文楷体" w:eastAsia="华文楷体" w:cs="华文楷体"/>
                <w:color w:val="auto"/>
                <w:sz w:val="21"/>
                <w:szCs w:val="21"/>
                <w:highlight w:val="none"/>
              </w:rPr>
              <w:sym w:font="Wingdings 2" w:char="F098"/>
            </w:r>
            <w:r>
              <w:rPr>
                <w:rFonts w:hint="eastAsia" w:ascii="华文楷体" w:hAnsi="华文楷体" w:eastAsia="华文楷体" w:cs="华文楷体"/>
                <w:color w:val="auto"/>
                <w:sz w:val="21"/>
                <w:szCs w:val="21"/>
                <w:highlight w:val="none"/>
                <w:lang w:val="zh-CN"/>
              </w:rPr>
              <w:t>采用的标识方法主要有：质量记录、产品编号、标签、配置标识。</w:t>
            </w:r>
          </w:p>
          <w:p>
            <w:pPr>
              <w:pStyle w:val="20"/>
              <w:spacing w:line="360" w:lineRule="auto"/>
              <w:jc w:val="both"/>
              <w:rPr>
                <w:rFonts w:hint="eastAsia" w:ascii="华文楷体" w:hAnsi="华文楷体" w:eastAsia="华文楷体" w:cs="华文楷体"/>
                <w:color w:val="auto"/>
                <w:sz w:val="21"/>
                <w:szCs w:val="21"/>
                <w:highlight w:val="none"/>
                <w:lang w:val="zh-CN" w:eastAsia="zh-CN"/>
              </w:rPr>
            </w:pPr>
            <w:r>
              <w:rPr>
                <w:rFonts w:hint="eastAsia" w:ascii="华文楷体" w:hAnsi="华文楷体" w:eastAsia="华文楷体" w:cs="华文楷体"/>
                <w:color w:val="auto"/>
                <w:sz w:val="21"/>
                <w:szCs w:val="21"/>
                <w:highlight w:val="none"/>
              </w:rPr>
              <w:sym w:font="Wingdings 2" w:char="F098"/>
            </w:r>
            <w:r>
              <w:rPr>
                <w:rFonts w:hint="eastAsia" w:ascii="华文楷体" w:hAnsi="华文楷体" w:eastAsia="华文楷体" w:cs="华文楷体"/>
                <w:color w:val="auto"/>
                <w:sz w:val="21"/>
                <w:szCs w:val="21"/>
                <w:highlight w:val="none"/>
                <w:lang w:val="zh-CN"/>
              </w:rPr>
              <w:t>通过编号、记录等标识</w:t>
            </w:r>
            <w:r>
              <w:rPr>
                <w:rFonts w:hint="eastAsia" w:ascii="华文楷体" w:hAnsi="华文楷体" w:eastAsia="华文楷体" w:cs="华文楷体"/>
                <w:color w:val="auto"/>
                <w:sz w:val="21"/>
                <w:szCs w:val="21"/>
                <w:highlight w:val="none"/>
                <w:lang w:val="en-US" w:eastAsia="zh-CN"/>
              </w:rPr>
              <w:t>和</w:t>
            </w:r>
            <w:r>
              <w:rPr>
                <w:rFonts w:hint="eastAsia" w:ascii="华文楷体" w:hAnsi="华文楷体" w:eastAsia="华文楷体" w:cs="华文楷体"/>
                <w:color w:val="auto"/>
                <w:sz w:val="21"/>
                <w:szCs w:val="21"/>
                <w:highlight w:val="none"/>
                <w:lang w:val="zh-CN"/>
              </w:rPr>
              <w:t>对交付过程的记录，可追溯到</w:t>
            </w:r>
            <w:r>
              <w:rPr>
                <w:rFonts w:hint="eastAsia" w:ascii="华文楷体" w:hAnsi="华文楷体" w:eastAsia="华文楷体" w:cs="华文楷体"/>
                <w:color w:val="auto"/>
                <w:sz w:val="21"/>
                <w:szCs w:val="21"/>
                <w:highlight w:val="none"/>
                <w:lang w:val="en-US" w:eastAsia="zh-CN"/>
              </w:rPr>
              <w:t>产品的</w:t>
            </w:r>
            <w:r>
              <w:rPr>
                <w:rFonts w:hint="eastAsia" w:ascii="华文楷体" w:hAnsi="华文楷体" w:eastAsia="华文楷体" w:cs="华文楷体"/>
                <w:color w:val="auto"/>
                <w:sz w:val="21"/>
                <w:szCs w:val="21"/>
                <w:highlight w:val="none"/>
                <w:lang w:val="zh-CN"/>
              </w:rPr>
              <w:t>日期</w:t>
            </w:r>
            <w:r>
              <w:rPr>
                <w:rFonts w:hint="eastAsia" w:ascii="华文楷体" w:hAnsi="华文楷体" w:eastAsia="华文楷体" w:cs="华文楷体"/>
                <w:color w:val="auto"/>
                <w:sz w:val="21"/>
                <w:szCs w:val="21"/>
                <w:highlight w:val="none"/>
                <w:lang w:val="en-US" w:eastAsia="zh-CN"/>
              </w:rPr>
              <w:t>和</w:t>
            </w:r>
            <w:r>
              <w:rPr>
                <w:rFonts w:hint="eastAsia" w:ascii="华文楷体" w:hAnsi="华文楷体" w:eastAsia="华文楷体" w:cs="华文楷体"/>
                <w:color w:val="auto"/>
                <w:sz w:val="21"/>
                <w:szCs w:val="21"/>
                <w:highlight w:val="none"/>
                <w:lang w:val="zh-CN"/>
              </w:rPr>
              <w:t>销售人员。</w:t>
            </w:r>
          </w:p>
          <w:p>
            <w:pPr>
              <w:pStyle w:val="20"/>
              <w:spacing w:line="360" w:lineRule="auto"/>
              <w:jc w:val="both"/>
              <w:rPr>
                <w:rFonts w:hint="eastAsia" w:ascii="华文楷体" w:hAnsi="华文楷体" w:eastAsia="华文楷体" w:cs="华文楷体"/>
                <w:color w:val="auto"/>
                <w:sz w:val="21"/>
                <w:szCs w:val="21"/>
                <w:highlight w:val="none"/>
                <w:lang w:val="zh-CN" w:eastAsia="zh-CN"/>
              </w:rPr>
            </w:pPr>
            <w:r>
              <w:rPr>
                <w:rFonts w:hint="eastAsia" w:ascii="华文楷体" w:hAnsi="华文楷体" w:eastAsia="华文楷体" w:cs="华文楷体"/>
                <w:color w:val="auto"/>
                <w:sz w:val="21"/>
                <w:szCs w:val="21"/>
                <w:highlight w:val="none"/>
              </w:rPr>
              <w:sym w:font="Wingdings 2" w:char="F098"/>
            </w:r>
            <w:r>
              <w:rPr>
                <w:rFonts w:hint="eastAsia" w:ascii="华文楷体" w:hAnsi="华文楷体" w:eastAsia="华文楷体" w:cs="华文楷体"/>
                <w:color w:val="auto"/>
                <w:sz w:val="21"/>
                <w:szCs w:val="21"/>
                <w:highlight w:val="none"/>
                <w:lang w:val="en-US" w:eastAsia="zh-CN"/>
              </w:rPr>
              <w:t>企业面积办公2000平,库房占办公区80平。</w:t>
            </w:r>
          </w:p>
          <w:p>
            <w:pPr>
              <w:pStyle w:val="20"/>
              <w:spacing w:line="360" w:lineRule="auto"/>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highlight w:val="none"/>
                <w:lang w:val="en-US" w:eastAsia="zh-CN"/>
              </w:rPr>
              <w:sym w:font="Wingdings 2" w:char="F098"/>
            </w:r>
            <w:r>
              <w:rPr>
                <w:rFonts w:hint="eastAsia" w:ascii="华文楷体" w:hAnsi="华文楷体" w:eastAsia="华文楷体" w:cs="华文楷体"/>
                <w:color w:val="auto"/>
                <w:sz w:val="21"/>
                <w:szCs w:val="21"/>
                <w:highlight w:val="none"/>
                <w:lang w:val="en-US" w:eastAsia="zh-CN"/>
              </w:rPr>
              <w:t>查交付过程记录：</w:t>
            </w:r>
          </w:p>
        </w:tc>
        <w:tc>
          <w:tcPr>
            <w:tcW w:w="732" w:type="dxa"/>
          </w:tcPr>
          <w:p>
            <w:pPr>
              <w:spacing w:line="360" w:lineRule="auto"/>
              <w:rPr>
                <w:rFonts w:hint="eastAsia" w:ascii="华文楷体" w:hAnsi="华文楷体" w:eastAsia="华文楷体" w:cs="华文楷体"/>
                <w:color w:val="FF0000"/>
                <w:sz w:val="21"/>
                <w:szCs w:val="21"/>
                <w:lang w:val="en-US" w:eastAsia="zh-CN"/>
              </w:rPr>
            </w:pPr>
            <w:r>
              <w:rPr>
                <w:rFonts w:hint="eastAsia" w:ascii="华文楷体" w:hAnsi="华文楷体" w:eastAsia="华文楷体" w:cs="华文楷体"/>
                <w:color w:val="FF0000"/>
                <w:sz w:val="21"/>
                <w:szCs w:val="21"/>
                <w:lang w:val="en-US" w:eastAsia="zh-CN"/>
              </w:rPr>
              <w:t>OK</w:t>
            </w:r>
          </w:p>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顾客或外部供方财产</w:t>
            </w:r>
          </w:p>
        </w:tc>
        <w:tc>
          <w:tcPr>
            <w:tcW w:w="965" w:type="dxa"/>
            <w:vAlign w:val="center"/>
          </w:tcPr>
          <w:p>
            <w:pPr>
              <w:spacing w:line="36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Q</w:t>
            </w:r>
            <w:r>
              <w:rPr>
                <w:rFonts w:hint="eastAsia" w:ascii="华文楷体" w:hAnsi="华文楷体" w:eastAsia="华文楷体" w:cs="华文楷体"/>
                <w:b w:val="0"/>
                <w:bCs w:val="0"/>
                <w:color w:val="auto"/>
                <w:sz w:val="21"/>
                <w:szCs w:val="21"/>
              </w:rPr>
              <w:t>8.5.3</w:t>
            </w:r>
          </w:p>
          <w:p>
            <w:pPr>
              <w:snapToGrid w:val="0"/>
              <w:spacing w:line="36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J10.6</w:t>
            </w:r>
          </w:p>
          <w:p>
            <w:pPr>
              <w:pStyle w:val="2"/>
              <w:spacing w:line="360" w:lineRule="auto"/>
              <w:rPr>
                <w:rFonts w:hint="eastAsia" w:ascii="华文楷体" w:hAnsi="华文楷体" w:eastAsia="华文楷体" w:cs="华文楷体"/>
                <w:b w:val="0"/>
                <w:bCs w:val="0"/>
                <w:color w:val="auto"/>
                <w:sz w:val="21"/>
                <w:szCs w:val="21"/>
              </w:rPr>
            </w:pPr>
          </w:p>
        </w:tc>
        <w:tc>
          <w:tcPr>
            <w:tcW w:w="10927" w:type="dxa"/>
            <w:vAlign w:val="center"/>
          </w:tcPr>
          <w:p>
            <w:pPr>
              <w:spacing w:line="360" w:lineRule="auto"/>
              <w:ind w:firstLine="420" w:firstLineChars="200"/>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rPr>
              <w:sym w:font="Wingdings 2" w:char="F098"/>
            </w:r>
            <w:r>
              <w:rPr>
                <w:rFonts w:hint="eastAsia" w:ascii="华文楷体" w:hAnsi="华文楷体" w:eastAsia="华文楷体" w:cs="华文楷体"/>
                <w:color w:val="auto"/>
                <w:sz w:val="21"/>
                <w:szCs w:val="21"/>
                <w:highlight w:val="none"/>
              </w:rPr>
              <w:t>该公司顾客财产主要为顾客提供的技术</w:t>
            </w:r>
            <w:r>
              <w:rPr>
                <w:rFonts w:hint="eastAsia" w:ascii="华文楷体" w:hAnsi="华文楷体" w:eastAsia="华文楷体" w:cs="华文楷体"/>
                <w:color w:val="auto"/>
                <w:sz w:val="21"/>
                <w:szCs w:val="21"/>
                <w:highlight w:val="none"/>
                <w:lang w:val="en-US" w:eastAsia="zh-CN"/>
              </w:rPr>
              <w:t>资料</w:t>
            </w:r>
            <w:r>
              <w:rPr>
                <w:rFonts w:hint="eastAsia" w:ascii="华文楷体" w:hAnsi="华文楷体" w:eastAsia="华文楷体" w:cs="华文楷体"/>
                <w:color w:val="auto"/>
                <w:sz w:val="21"/>
                <w:szCs w:val="21"/>
                <w:highlight w:val="none"/>
              </w:rPr>
              <w:t>及</w:t>
            </w:r>
            <w:r>
              <w:rPr>
                <w:rFonts w:hint="eastAsia" w:ascii="华文楷体" w:hAnsi="华文楷体" w:eastAsia="华文楷体" w:cs="华文楷体"/>
                <w:color w:val="auto"/>
                <w:sz w:val="21"/>
                <w:szCs w:val="21"/>
                <w:highlight w:val="none"/>
                <w:lang w:val="en-US" w:eastAsia="zh-CN"/>
              </w:rPr>
              <w:t>服务基础文件：</w:t>
            </w:r>
          </w:p>
          <w:p>
            <w:pPr>
              <w:spacing w:line="360" w:lineRule="auto"/>
              <w:ind w:firstLine="210" w:firstLineChars="1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由</w:t>
            </w:r>
            <w:r>
              <w:rPr>
                <w:rFonts w:hint="eastAsia" w:ascii="华文楷体" w:hAnsi="华文楷体" w:eastAsia="华文楷体" w:cs="华文楷体"/>
                <w:color w:val="auto"/>
                <w:sz w:val="21"/>
                <w:szCs w:val="21"/>
                <w:highlight w:val="none"/>
                <w:lang w:val="en-US" w:eastAsia="zh-CN"/>
              </w:rPr>
              <w:t>市场营销部负责</w:t>
            </w:r>
            <w:r>
              <w:rPr>
                <w:rFonts w:hint="eastAsia" w:ascii="华文楷体" w:hAnsi="华文楷体" w:eastAsia="华文楷体" w:cs="华文楷体"/>
                <w:color w:val="auto"/>
                <w:sz w:val="21"/>
                <w:szCs w:val="21"/>
                <w:highlight w:val="none"/>
              </w:rPr>
              <w:t>做好技术要求及</w:t>
            </w:r>
            <w:r>
              <w:rPr>
                <w:rFonts w:hint="eastAsia" w:ascii="华文楷体" w:hAnsi="华文楷体" w:eastAsia="华文楷体" w:cs="华文楷体"/>
                <w:color w:val="auto"/>
                <w:sz w:val="21"/>
                <w:szCs w:val="21"/>
                <w:highlight w:val="none"/>
                <w:lang w:val="en-US" w:eastAsia="zh-CN"/>
              </w:rPr>
              <w:t>知识产权技术文件的</w:t>
            </w:r>
            <w:r>
              <w:rPr>
                <w:rFonts w:hint="eastAsia" w:ascii="华文楷体" w:hAnsi="华文楷体" w:eastAsia="华文楷体" w:cs="华文楷体"/>
                <w:color w:val="auto"/>
                <w:sz w:val="21"/>
                <w:szCs w:val="21"/>
                <w:highlight w:val="none"/>
              </w:rPr>
              <w:t>保密工作。</w:t>
            </w:r>
          </w:p>
          <w:p>
            <w:pPr>
              <w:spacing w:line="360" w:lineRule="auto"/>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sym w:font="Wingdings 2" w:char="F098"/>
            </w:r>
            <w:r>
              <w:rPr>
                <w:rFonts w:hint="eastAsia" w:ascii="华文楷体" w:hAnsi="华文楷体" w:eastAsia="华文楷体" w:cs="华文楷体"/>
                <w:color w:val="auto"/>
                <w:sz w:val="21"/>
                <w:szCs w:val="21"/>
                <w:highlight w:val="none"/>
                <w:lang w:val="en-US" w:eastAsia="zh-CN"/>
              </w:rPr>
              <w:t>提供空白</w:t>
            </w:r>
            <w:r>
              <w:rPr>
                <w:rFonts w:hint="eastAsia" w:ascii="华文楷体" w:hAnsi="华文楷体" w:eastAsia="华文楷体" w:cs="华文楷体"/>
                <w:color w:val="auto"/>
                <w:sz w:val="21"/>
                <w:szCs w:val="21"/>
                <w:highlight w:val="none"/>
              </w:rPr>
              <w:t>《</w:t>
            </w:r>
            <w:r>
              <w:rPr>
                <w:rFonts w:hint="eastAsia" w:ascii="华文楷体" w:hAnsi="华文楷体" w:eastAsia="华文楷体" w:cs="华文楷体"/>
                <w:color w:val="auto"/>
                <w:sz w:val="21"/>
                <w:szCs w:val="21"/>
                <w:highlight w:val="none"/>
                <w:lang w:val="en-US" w:eastAsia="zh-CN"/>
              </w:rPr>
              <w:t>顾客</w:t>
            </w:r>
            <w:r>
              <w:rPr>
                <w:rFonts w:hint="eastAsia" w:ascii="华文楷体" w:hAnsi="华文楷体" w:eastAsia="华文楷体" w:cs="华文楷体"/>
                <w:color w:val="auto"/>
                <w:sz w:val="21"/>
                <w:szCs w:val="21"/>
                <w:highlight w:val="none"/>
              </w:rPr>
              <w:t>财产</w:t>
            </w:r>
            <w:r>
              <w:rPr>
                <w:rFonts w:hint="eastAsia" w:ascii="华文楷体" w:hAnsi="华文楷体" w:eastAsia="华文楷体" w:cs="华文楷体"/>
                <w:color w:val="auto"/>
                <w:sz w:val="21"/>
                <w:szCs w:val="21"/>
                <w:highlight w:val="none"/>
                <w:lang w:val="en-US" w:eastAsia="zh-CN"/>
              </w:rPr>
              <w:t>登记表</w:t>
            </w:r>
            <w:r>
              <w:rPr>
                <w:rFonts w:hint="eastAsia" w:ascii="华文楷体" w:hAnsi="华文楷体" w:eastAsia="华文楷体" w:cs="华文楷体"/>
                <w:color w:val="auto"/>
                <w:sz w:val="21"/>
                <w:szCs w:val="21"/>
                <w:highlight w:val="none"/>
              </w:rPr>
              <w:t>》，内容包括：</w:t>
            </w:r>
            <w:r>
              <w:rPr>
                <w:rFonts w:hint="eastAsia" w:ascii="华文楷体" w:hAnsi="华文楷体" w:eastAsia="华文楷体" w:cs="华文楷体"/>
                <w:color w:val="auto"/>
                <w:sz w:val="21"/>
                <w:szCs w:val="21"/>
                <w:highlight w:val="none"/>
                <w:lang w:val="en-US" w:eastAsia="zh-CN"/>
              </w:rPr>
              <w:t>序号、</w:t>
            </w:r>
            <w:r>
              <w:rPr>
                <w:rFonts w:hint="eastAsia" w:ascii="华文楷体" w:hAnsi="华文楷体" w:eastAsia="华文楷体" w:cs="华文楷体"/>
                <w:color w:val="auto"/>
                <w:sz w:val="21"/>
                <w:szCs w:val="21"/>
                <w:highlight w:val="none"/>
              </w:rPr>
              <w:t>名称、</w:t>
            </w:r>
            <w:r>
              <w:rPr>
                <w:rFonts w:hint="eastAsia" w:ascii="华文楷体" w:hAnsi="华文楷体" w:eastAsia="华文楷体" w:cs="华文楷体"/>
                <w:color w:val="auto"/>
                <w:sz w:val="21"/>
                <w:szCs w:val="21"/>
                <w:highlight w:val="none"/>
                <w:lang w:val="en-US" w:eastAsia="zh-CN"/>
              </w:rPr>
              <w:t>顾客、使用部门、签收交付日期、使用完签收时间</w:t>
            </w:r>
            <w:r>
              <w:rPr>
                <w:rFonts w:hint="eastAsia" w:ascii="华文楷体" w:hAnsi="华文楷体" w:eastAsia="华文楷体" w:cs="华文楷体"/>
                <w:color w:val="auto"/>
                <w:sz w:val="21"/>
                <w:szCs w:val="21"/>
                <w:highlight w:val="none"/>
              </w:rPr>
              <w:t>。</w:t>
            </w:r>
          </w:p>
          <w:p>
            <w:pPr>
              <w:bidi w:val="0"/>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highlight w:val="none"/>
                <w:lang w:val="en-US" w:eastAsia="zh-CN"/>
              </w:rPr>
              <w:t>需与企业确定暂无顾客财产</w:t>
            </w:r>
          </w:p>
        </w:tc>
        <w:tc>
          <w:tcPr>
            <w:tcW w:w="732" w:type="dxa"/>
          </w:tcPr>
          <w:p>
            <w:pPr>
              <w:spacing w:line="360" w:lineRule="auto"/>
              <w:rPr>
                <w:rFonts w:hint="eastAsia" w:ascii="华文楷体" w:hAnsi="华文楷体" w:eastAsia="华文楷体" w:cs="华文楷体"/>
                <w:color w:val="FF0000"/>
                <w:sz w:val="21"/>
                <w:szCs w:val="21"/>
                <w:lang w:val="en-US" w:eastAsia="zh-CN"/>
              </w:rPr>
            </w:pPr>
            <w:r>
              <w:rPr>
                <w:rFonts w:hint="eastAsia" w:ascii="华文楷体" w:hAnsi="华文楷体" w:eastAsia="华文楷体" w:cs="华文楷体"/>
                <w:color w:val="FF0000"/>
                <w:sz w:val="21"/>
                <w:szCs w:val="21"/>
                <w:lang w:val="en-US" w:eastAsia="zh-CN"/>
              </w:rPr>
              <w:t>OK</w:t>
            </w:r>
          </w:p>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73" w:type="dxa"/>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不合格品的控制;</w:t>
            </w:r>
          </w:p>
          <w:p>
            <w:pPr>
              <w:pStyle w:val="12"/>
              <w:spacing w:line="360" w:lineRule="auto"/>
              <w:rPr>
                <w:rFonts w:hint="eastAsia" w:ascii="华文楷体" w:hAnsi="华文楷体" w:eastAsia="华文楷体" w:cs="华文楷体"/>
                <w:color w:val="auto"/>
                <w:sz w:val="21"/>
                <w:szCs w:val="21"/>
              </w:rPr>
            </w:pPr>
          </w:p>
          <w:p>
            <w:pPr>
              <w:spacing w:line="360" w:lineRule="auto"/>
              <w:rPr>
                <w:rFonts w:hint="eastAsia" w:ascii="华文楷体" w:hAnsi="华文楷体" w:eastAsia="华文楷体" w:cs="华文楷体"/>
                <w:color w:val="auto"/>
                <w:sz w:val="21"/>
                <w:szCs w:val="21"/>
              </w:rPr>
            </w:pPr>
          </w:p>
        </w:tc>
        <w:tc>
          <w:tcPr>
            <w:tcW w:w="965" w:type="dxa"/>
            <w:vAlign w:val="top"/>
          </w:tcPr>
          <w:p>
            <w:pPr>
              <w:spacing w:line="360" w:lineRule="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Q8.7</w:t>
            </w:r>
          </w:p>
          <w:p>
            <w:pPr>
              <w:spacing w:line="360" w:lineRule="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J8.3</w:t>
            </w:r>
          </w:p>
          <w:p>
            <w:pPr>
              <w:spacing w:line="360" w:lineRule="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J 8.5</w:t>
            </w:r>
          </w:p>
          <w:p>
            <w:pPr>
              <w:spacing w:line="360" w:lineRule="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J 9.4</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b/>
                <w:bCs/>
                <w:color w:val="auto"/>
                <w:sz w:val="21"/>
                <w:szCs w:val="21"/>
              </w:rPr>
              <w:t>J 11.5</w:t>
            </w:r>
          </w:p>
        </w:tc>
        <w:tc>
          <w:tcPr>
            <w:tcW w:w="10927" w:type="dxa"/>
            <w:vAlign w:val="center"/>
          </w:tcPr>
          <w:p>
            <w:pPr>
              <w:snapToGrid w:val="0"/>
              <w:spacing w:line="360" w:lineRule="auto"/>
              <w:ind w:firstLine="420" w:firstLineChars="2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质量问题处理依据《</w:t>
            </w:r>
            <w:r>
              <w:rPr>
                <w:rFonts w:hint="eastAsia" w:ascii="华文楷体" w:hAnsi="华文楷体" w:eastAsia="华文楷体" w:cs="华文楷体"/>
                <w:color w:val="auto"/>
                <w:sz w:val="21"/>
                <w:szCs w:val="21"/>
              </w:rPr>
              <w:t>不符合控制程序</w:t>
            </w:r>
            <w:r>
              <w:rPr>
                <w:rFonts w:hint="eastAsia" w:ascii="华文楷体" w:hAnsi="华文楷体" w:eastAsia="华文楷体" w:cs="华文楷体"/>
                <w:color w:val="auto"/>
                <w:sz w:val="21"/>
                <w:szCs w:val="21"/>
                <w:lang w:val="en-US" w:eastAsia="zh-CN"/>
              </w:rPr>
              <w:t>》</w:t>
            </w:r>
            <w:r>
              <w:rPr>
                <w:rFonts w:hint="eastAsia" w:ascii="华文楷体" w:hAnsi="华文楷体" w:eastAsia="华文楷体" w:cs="华文楷体"/>
                <w:color w:val="auto"/>
                <w:sz w:val="21"/>
                <w:szCs w:val="21"/>
              </w:rPr>
              <w:t>QEOP8-6</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对不合格品和不符合的识别和控制有明确的规定。规定了对不合格处置方法：返工、返修、报废等。</w:t>
            </w:r>
          </w:p>
          <w:p>
            <w:pPr>
              <w:snapToGrid w:val="0"/>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部门负责人介绍：实际施工过程中，工程部会同项目部的技术负责人组成检查组，定期或不定期对公司在建项目进行检查，检查包括施工质量、环境、安全等内容。</w:t>
            </w:r>
          </w:p>
          <w:p>
            <w:pPr>
              <w:snapToGrid w:val="0"/>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项目部配合工程部对重大不合格工程产品的评审和处置，总经理负责对质量事故的奖罚和事故责任追究。</w:t>
            </w:r>
          </w:p>
          <w:p>
            <w:pPr>
              <w:snapToGrid w:val="0"/>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公司对施工过程发生的不合格品，一般轻微不合格现场指出，及时整改。目前为止项目部未发生比较大的质量不合格品，一般的轻微不符合都在现场及时解决了，未发现有需要上报公司解决的不合格。</w:t>
            </w:r>
          </w:p>
        </w:tc>
        <w:tc>
          <w:tcPr>
            <w:tcW w:w="732" w:type="dxa"/>
          </w:tcPr>
          <w:p>
            <w:pPr>
              <w:spacing w:line="360" w:lineRule="auto"/>
              <w:rPr>
                <w:rFonts w:hint="eastAsia" w:ascii="华文楷体" w:hAnsi="华文楷体" w:eastAsia="华文楷体" w:cs="华文楷体"/>
                <w:color w:val="FF0000"/>
                <w:sz w:val="21"/>
                <w:szCs w:val="21"/>
                <w:lang w:val="en-US" w:eastAsia="zh-CN"/>
              </w:rPr>
            </w:pPr>
            <w:r>
              <w:rPr>
                <w:rFonts w:hint="eastAsia" w:ascii="华文楷体" w:hAnsi="华文楷体" w:eastAsia="华文楷体" w:cs="华文楷体"/>
                <w:color w:val="FF0000"/>
                <w:sz w:val="21"/>
                <w:szCs w:val="21"/>
                <w:lang w:val="en-US" w:eastAsia="zh-CN"/>
              </w:rPr>
              <w:t>OK</w:t>
            </w:r>
          </w:p>
          <w:p>
            <w:pPr>
              <w:spacing w:line="360" w:lineRule="auto"/>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173" w:type="dxa"/>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顾客满意度调查</w:t>
            </w:r>
          </w:p>
        </w:tc>
        <w:tc>
          <w:tcPr>
            <w:tcW w:w="965" w:type="dxa"/>
            <w:vAlign w:val="top"/>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J10.7</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Q9.1.2</w:t>
            </w:r>
          </w:p>
          <w:p>
            <w:pPr>
              <w:spacing w:line="360" w:lineRule="auto"/>
              <w:rPr>
                <w:rFonts w:hint="eastAsia" w:ascii="华文楷体" w:hAnsi="华文楷体" w:eastAsia="华文楷体" w:cs="华文楷体"/>
                <w:color w:val="auto"/>
                <w:sz w:val="21"/>
                <w:szCs w:val="21"/>
              </w:rPr>
            </w:pPr>
          </w:p>
        </w:tc>
        <w:tc>
          <w:tcPr>
            <w:tcW w:w="10927" w:type="dxa"/>
            <w:vAlign w:val="top"/>
          </w:tcPr>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现场沟通/查记录</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定期向发包方发送《顾客意见/建议/信息调查表》、发包方的反馈等，汇总顾客满意度。</w:t>
            </w:r>
          </w:p>
          <w:p>
            <w:pPr>
              <w:bidi w:val="0"/>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zh-CN"/>
              </w:rPr>
              <w:sym w:font="Wingdings 2" w:char="F098"/>
            </w:r>
            <w:r>
              <w:rPr>
                <w:rFonts w:hint="eastAsia" w:ascii="华文楷体" w:hAnsi="华文楷体" w:eastAsia="华文楷体" w:cs="华文楷体"/>
                <w:color w:val="auto"/>
                <w:sz w:val="21"/>
                <w:szCs w:val="21"/>
                <w:lang w:val="en-US" w:eastAsia="zh-CN"/>
              </w:rPr>
              <w:t xml:space="preserve">制定并执行《顾客满意监视和测量程序》QEOP8-2  </w:t>
            </w:r>
          </w:p>
          <w:p>
            <w:pPr>
              <w:spacing w:line="360" w:lineRule="auto"/>
              <w:ind w:firstLine="420" w:firstLineChars="200"/>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公司通过电话，</w:t>
            </w:r>
            <w:r>
              <w:rPr>
                <w:rFonts w:hint="eastAsia" w:ascii="华文楷体" w:hAnsi="华文楷体" w:eastAsia="华文楷体" w:cs="华文楷体"/>
                <w:color w:val="auto"/>
                <w:sz w:val="21"/>
                <w:szCs w:val="21"/>
                <w:lang w:val="en-US" w:eastAsia="zh-CN"/>
              </w:rPr>
              <w:t>回</w:t>
            </w:r>
            <w:r>
              <w:rPr>
                <w:rFonts w:hint="eastAsia" w:ascii="华文楷体" w:hAnsi="华文楷体" w:eastAsia="华文楷体" w:cs="华文楷体"/>
                <w:color w:val="auto"/>
                <w:sz w:val="21"/>
                <w:szCs w:val="21"/>
                <w:lang w:val="zh-CN"/>
              </w:rPr>
              <w:t>访等形式，接受顾客反馈，了解顾客满意度信息，</w:t>
            </w:r>
            <w:r>
              <w:rPr>
                <w:rFonts w:hint="eastAsia" w:ascii="华文楷体" w:hAnsi="华文楷体" w:eastAsia="华文楷体" w:cs="华文楷体"/>
                <w:color w:val="auto"/>
                <w:sz w:val="21"/>
                <w:szCs w:val="21"/>
                <w:lang w:val="en-US" w:eastAsia="zh-CN"/>
              </w:rPr>
              <w:t>在产品交付后，</w:t>
            </w:r>
            <w:r>
              <w:rPr>
                <w:rFonts w:hint="eastAsia" w:ascii="华文楷体" w:hAnsi="华文楷体" w:eastAsia="华文楷体" w:cs="华文楷体"/>
                <w:color w:val="auto"/>
                <w:sz w:val="21"/>
                <w:szCs w:val="21"/>
                <w:lang w:val="zh-CN"/>
              </w:rPr>
              <w:t>发放调查表对顾客满意度进行测量。</w:t>
            </w:r>
          </w:p>
          <w:p>
            <w:pPr>
              <w:spacing w:line="360" w:lineRule="auto"/>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sym w:font="Wingdings 2" w:char="F098"/>
            </w:r>
            <w:r>
              <w:rPr>
                <w:rFonts w:hint="eastAsia" w:ascii="华文楷体" w:hAnsi="华文楷体" w:eastAsia="华文楷体" w:cs="华文楷体"/>
                <w:color w:val="auto"/>
                <w:sz w:val="21"/>
                <w:szCs w:val="21"/>
                <w:lang w:val="zh-CN"/>
              </w:rPr>
              <w:t>提供“顾客满意程度调查表”，调查主要内容：</w:t>
            </w:r>
            <w:r>
              <w:rPr>
                <w:rFonts w:hint="eastAsia" w:ascii="华文楷体" w:hAnsi="华文楷体" w:eastAsia="华文楷体" w:cs="华文楷体"/>
                <w:color w:val="auto"/>
                <w:sz w:val="21"/>
                <w:szCs w:val="21"/>
              </w:rPr>
              <w:t>质量、价格、</w:t>
            </w:r>
            <w:r>
              <w:rPr>
                <w:rFonts w:hint="eastAsia" w:ascii="华文楷体" w:hAnsi="华文楷体" w:eastAsia="华文楷体" w:cs="华文楷体"/>
                <w:color w:val="auto"/>
                <w:sz w:val="21"/>
                <w:szCs w:val="21"/>
                <w:lang w:val="en-US" w:eastAsia="zh-CN"/>
              </w:rPr>
              <w:t>交货期、支持服务、售后服务</w:t>
            </w:r>
            <w:r>
              <w:rPr>
                <w:rFonts w:hint="eastAsia" w:ascii="华文楷体" w:hAnsi="华文楷体" w:eastAsia="华文楷体" w:cs="华文楷体"/>
                <w:color w:val="auto"/>
                <w:sz w:val="21"/>
                <w:szCs w:val="21"/>
              </w:rPr>
              <w:t>的满意程度</w:t>
            </w:r>
            <w:r>
              <w:rPr>
                <w:rFonts w:hint="eastAsia" w:ascii="华文楷体" w:hAnsi="华文楷体" w:eastAsia="华文楷体" w:cs="华文楷体"/>
                <w:color w:val="auto"/>
                <w:sz w:val="21"/>
                <w:szCs w:val="21"/>
                <w:lang w:val="zh-CN"/>
              </w:rPr>
              <w:t>。</w:t>
            </w:r>
          </w:p>
          <w:p>
            <w:pPr>
              <w:spacing w:line="360" w:lineRule="auto"/>
              <w:ind w:firstLine="420" w:firstLineChars="200"/>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——抽查</w:t>
            </w:r>
            <w:r>
              <w:rPr>
                <w:rFonts w:hint="eastAsia" w:ascii="华文楷体" w:hAnsi="华文楷体" w:eastAsia="华文楷体" w:cs="华文楷体"/>
                <w:color w:val="auto"/>
                <w:sz w:val="21"/>
                <w:szCs w:val="21"/>
                <w:lang w:val="en-US" w:eastAsia="zh-CN"/>
              </w:rPr>
              <w:t>3</w:t>
            </w:r>
            <w:r>
              <w:rPr>
                <w:rFonts w:hint="eastAsia" w:ascii="华文楷体" w:hAnsi="华文楷体" w:eastAsia="华文楷体" w:cs="华文楷体"/>
                <w:color w:val="auto"/>
                <w:sz w:val="21"/>
                <w:szCs w:val="21"/>
                <w:lang w:val="zh-CN"/>
              </w:rPr>
              <w:t>份客户的满意度调查：</w:t>
            </w:r>
          </w:p>
          <w:p>
            <w:pPr>
              <w:spacing w:line="360" w:lineRule="auto"/>
              <w:ind w:firstLine="420" w:firstLineChars="200"/>
              <w:rPr>
                <w:rFonts w:hint="eastAsia" w:ascii="华文楷体" w:hAnsi="华文楷体" w:eastAsia="华文楷体" w:cs="华文楷体"/>
                <w:color w:val="auto"/>
                <w:sz w:val="21"/>
                <w:szCs w:val="21"/>
                <w:lang w:val="zh-CN" w:eastAsia="zh-CN"/>
              </w:rPr>
            </w:pPr>
            <w:r>
              <w:rPr>
                <w:rFonts w:hint="eastAsia" w:ascii="华文楷体" w:hAnsi="华文楷体" w:eastAsia="华文楷体" w:cs="华文楷体"/>
                <w:color w:val="auto"/>
                <w:sz w:val="21"/>
                <w:szCs w:val="21"/>
                <w:lang w:val="en-US" w:eastAsia="zh-CN"/>
              </w:rPr>
              <w:t xml:space="preserve">顾客名称1：广东省人民医院赣州医院项目工地会议室多媒体音视频系统 </w:t>
            </w:r>
          </w:p>
          <w:p>
            <w:pPr>
              <w:spacing w:line="360" w:lineRule="auto"/>
              <w:ind w:firstLine="420" w:firstLineChars="2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顾客名称2：</w:t>
            </w:r>
            <w:r>
              <w:rPr>
                <w:rFonts w:hint="eastAsia" w:ascii="华文楷体" w:hAnsi="华文楷体" w:eastAsia="华文楷体" w:cs="华文楷体"/>
                <w:color w:val="auto"/>
                <w:kern w:val="2"/>
                <w:sz w:val="21"/>
                <w:szCs w:val="21"/>
                <w:lang w:val="en-US" w:eastAsia="zh-CN" w:bidi="ar-SA"/>
              </w:rPr>
              <w:t>阳新弘盛铜业通信系统集成项目</w:t>
            </w:r>
          </w:p>
          <w:p>
            <w:pPr>
              <w:spacing w:line="360" w:lineRule="auto"/>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 xml:space="preserve">   顾客名称3：</w:t>
            </w:r>
            <w:r>
              <w:rPr>
                <w:rFonts w:hint="eastAsia" w:ascii="华文楷体" w:hAnsi="华文楷体" w:eastAsia="华文楷体" w:cs="华文楷体"/>
                <w:color w:val="auto"/>
                <w:kern w:val="2"/>
                <w:sz w:val="21"/>
                <w:szCs w:val="21"/>
                <w:lang w:val="en-US" w:eastAsia="zh-CN" w:bidi="ar-SA"/>
              </w:rPr>
              <w:t>江西交通厅联网收费系统灾备机房建设项目</w:t>
            </w:r>
          </w:p>
          <w:p>
            <w:pPr>
              <w:spacing w:line="360" w:lineRule="auto"/>
              <w:ind w:firstLine="420" w:firstLineChars="2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 xml:space="preserve">  以上调查时间均为2022年10月10-21日</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sym w:font="Wingdings 2" w:char="F098"/>
            </w:r>
            <w:r>
              <w:rPr>
                <w:rFonts w:hint="eastAsia" w:ascii="华文楷体" w:hAnsi="华文楷体" w:eastAsia="华文楷体" w:cs="华文楷体"/>
                <w:color w:val="auto"/>
                <w:sz w:val="21"/>
                <w:szCs w:val="21"/>
                <w:lang w:val="en-US" w:eastAsia="zh-CN"/>
              </w:rPr>
              <w:t>2022年共对3个顾客进行满意度调查，并进行满意度分析。</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查见《顾客满意度调查分析报告》，分析出结果</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顾客满意度为97.187</w:t>
            </w:r>
            <w:r>
              <w:rPr>
                <w:rFonts w:hint="eastAsia" w:ascii="华文楷体" w:hAnsi="华文楷体" w:eastAsia="华文楷体" w:cs="华文楷体"/>
                <w:color w:val="auto"/>
                <w:sz w:val="21"/>
                <w:szCs w:val="21"/>
                <w:u w:val="none"/>
              </w:rPr>
              <w:t>%</w:t>
            </w:r>
            <w:r>
              <w:rPr>
                <w:rFonts w:hint="eastAsia" w:ascii="华文楷体" w:hAnsi="华文楷体" w:eastAsia="华文楷体" w:cs="华文楷体"/>
                <w:color w:val="auto"/>
                <w:sz w:val="21"/>
                <w:szCs w:val="21"/>
                <w:u w:val="none"/>
                <w:lang w:eastAsia="zh-CN"/>
              </w:rPr>
              <w:t>，</w:t>
            </w:r>
            <w:r>
              <w:rPr>
                <w:rFonts w:hint="eastAsia" w:ascii="华文楷体" w:hAnsi="华文楷体" w:eastAsia="华文楷体" w:cs="华文楷体"/>
                <w:color w:val="auto"/>
                <w:sz w:val="21"/>
                <w:szCs w:val="21"/>
              </w:rPr>
              <w:t>达到了目标要求。符合要求。</w:t>
            </w:r>
          </w:p>
        </w:tc>
        <w:tc>
          <w:tcPr>
            <w:tcW w:w="732" w:type="dxa"/>
          </w:tcPr>
          <w:p>
            <w:pPr>
              <w:spacing w:line="360" w:lineRule="auto"/>
              <w:rPr>
                <w:rFonts w:hint="eastAsia" w:ascii="华文楷体" w:hAnsi="华文楷体" w:eastAsia="华文楷体" w:cs="华文楷体"/>
                <w:color w:val="FF0000"/>
                <w:sz w:val="21"/>
                <w:szCs w:val="21"/>
                <w:lang w:val="en-US" w:eastAsia="zh-CN"/>
              </w:rPr>
            </w:pPr>
            <w:r>
              <w:rPr>
                <w:rFonts w:hint="eastAsia" w:ascii="华文楷体" w:hAnsi="华文楷体" w:eastAsia="华文楷体" w:cs="华文楷体"/>
                <w:color w:val="FF0000"/>
                <w:sz w:val="21"/>
                <w:szCs w:val="21"/>
                <w:lang w:val="en-US" w:eastAsia="zh-CN"/>
              </w:rPr>
              <w:t>OK</w:t>
            </w:r>
          </w:p>
          <w:p>
            <w:pPr>
              <w:spacing w:line="360" w:lineRule="auto"/>
              <w:rPr>
                <w:rFonts w:hint="eastAsia" w:ascii="华文楷体" w:hAnsi="华文楷体" w:eastAsia="华文楷体" w:cs="华文楷体"/>
                <w:color w:val="FF0000"/>
                <w:sz w:val="21"/>
                <w:szCs w:val="21"/>
              </w:rPr>
            </w:pPr>
          </w:p>
        </w:tc>
      </w:tr>
    </w:tbl>
    <w:p>
      <w:pPr>
        <w:pStyle w:val="9"/>
        <w:rPr>
          <w:rFonts w:hint="eastAsia" w:ascii="华文楷体" w:hAnsi="华文楷体" w:eastAsia="华文楷体" w:cs="华文楷体"/>
          <w:sz w:val="21"/>
          <w:szCs w:val="21"/>
        </w:rPr>
      </w:pP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9E92D"/>
    <w:multiLevelType w:val="singleLevel"/>
    <w:tmpl w:val="BA09E92D"/>
    <w:lvl w:ilvl="0" w:tentative="0">
      <w:start w:val="1"/>
      <w:numFmt w:val="decimal"/>
      <w:lvlText w:val="%1."/>
      <w:lvlJc w:val="left"/>
      <w:pPr>
        <w:tabs>
          <w:tab w:val="left" w:pos="312"/>
        </w:tabs>
      </w:pPr>
    </w:lvl>
  </w:abstractNum>
  <w:abstractNum w:abstractNumId="1">
    <w:nsid w:val="C95EA271"/>
    <w:multiLevelType w:val="singleLevel"/>
    <w:tmpl w:val="C95EA271"/>
    <w:lvl w:ilvl="0" w:tentative="0">
      <w:start w:val="1"/>
      <w:numFmt w:val="decimal"/>
      <w:lvlText w:val="%1."/>
      <w:lvlJc w:val="left"/>
      <w:pPr>
        <w:tabs>
          <w:tab w:val="left" w:pos="312"/>
        </w:tabs>
      </w:pPr>
    </w:lvl>
  </w:abstractNum>
  <w:abstractNum w:abstractNumId="2">
    <w:nsid w:val="0DB92DEA"/>
    <w:multiLevelType w:val="multilevel"/>
    <w:tmpl w:val="0DB92DEA"/>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425" w:hanging="425"/>
      </w:pPr>
      <w:rPr>
        <w:rFonts w:hint="default" w:ascii="Calibri" w:hAnsi="Calibri" w:cs="Calibri"/>
        <w:sz w:val="32"/>
        <w:szCs w:val="32"/>
      </w:rPr>
    </w:lvl>
    <w:lvl w:ilvl="2" w:tentative="0">
      <w:start w:val="1"/>
      <w:numFmt w:val="decimal"/>
      <w:pStyle w:val="3"/>
      <w:suff w:val="space"/>
      <w:lvlText w:val="%1.%2.%3"/>
      <w:lvlJc w:val="left"/>
      <w:pPr>
        <w:ind w:left="567" w:hanging="567"/>
      </w:pPr>
      <w:rPr>
        <w:rFonts w:hint="eastAsia"/>
      </w:rPr>
    </w:lvl>
    <w:lvl w:ilvl="3" w:tentative="0">
      <w:start w:val="1"/>
      <w:numFmt w:val="decimal"/>
      <w:suff w:val="space"/>
      <w:lvlText w:val="%1.%2.%3.%4"/>
      <w:lvlJc w:val="left"/>
      <w:pPr>
        <w:ind w:left="1418" w:hanging="567"/>
      </w:pPr>
      <w:rPr>
        <w:rFonts w:hint="eastAsia"/>
        <w:b/>
      </w:rPr>
    </w:lvl>
    <w:lvl w:ilvl="4" w:tentative="0">
      <w:start w:val="1"/>
      <w:numFmt w:val="decimal"/>
      <w:suff w:val="space"/>
      <w:lvlText w:val="%1.%2.%3.%4.%5"/>
      <w:lvlJc w:val="left"/>
      <w:pPr>
        <w:ind w:left="2835" w:hanging="709"/>
      </w:pPr>
      <w:rPr>
        <w:rFonts w:hint="eastAsia"/>
      </w:rPr>
    </w:lvl>
    <w:lvl w:ilvl="5" w:tentative="0">
      <w:start w:val="1"/>
      <w:numFmt w:val="decimal"/>
      <w:suff w:val="space"/>
      <w:lvlText w:val="%1.%2.%3.%4.%5.%6"/>
      <w:lvlJc w:val="left"/>
      <w:pPr>
        <w:ind w:left="2693" w:hanging="992"/>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9B35747"/>
    <w:multiLevelType w:val="multilevel"/>
    <w:tmpl w:val="69B357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wNDU2ZjRmZWE5MTlkODUwOTg4ZWRhNWUwYjBhMTMifQ=="/>
  </w:docVars>
  <w:rsids>
    <w:rsidRoot w:val="00000000"/>
    <w:rsid w:val="007B3DAF"/>
    <w:rsid w:val="00DB72B2"/>
    <w:rsid w:val="00ED266B"/>
    <w:rsid w:val="00F43426"/>
    <w:rsid w:val="00F72ABE"/>
    <w:rsid w:val="00FD0B18"/>
    <w:rsid w:val="010F4C60"/>
    <w:rsid w:val="01E3771F"/>
    <w:rsid w:val="024F1167"/>
    <w:rsid w:val="03971E0B"/>
    <w:rsid w:val="03BF4DF3"/>
    <w:rsid w:val="04476F14"/>
    <w:rsid w:val="0458744E"/>
    <w:rsid w:val="050D203E"/>
    <w:rsid w:val="0515091E"/>
    <w:rsid w:val="056F513E"/>
    <w:rsid w:val="05F12FC1"/>
    <w:rsid w:val="06276BA1"/>
    <w:rsid w:val="071E0BD8"/>
    <w:rsid w:val="07511AB9"/>
    <w:rsid w:val="077168B6"/>
    <w:rsid w:val="07B94814"/>
    <w:rsid w:val="07DD4098"/>
    <w:rsid w:val="08151499"/>
    <w:rsid w:val="08193D3A"/>
    <w:rsid w:val="0872572E"/>
    <w:rsid w:val="08F215E2"/>
    <w:rsid w:val="09B01C49"/>
    <w:rsid w:val="09E31136"/>
    <w:rsid w:val="09EB1CAA"/>
    <w:rsid w:val="0AAD3E63"/>
    <w:rsid w:val="0ABE51AD"/>
    <w:rsid w:val="0B59105B"/>
    <w:rsid w:val="0C1A06B5"/>
    <w:rsid w:val="0C361B65"/>
    <w:rsid w:val="0C3B40FC"/>
    <w:rsid w:val="0D0518EE"/>
    <w:rsid w:val="0E04283D"/>
    <w:rsid w:val="0F033D06"/>
    <w:rsid w:val="0F781F5B"/>
    <w:rsid w:val="0FF07E46"/>
    <w:rsid w:val="10146BF1"/>
    <w:rsid w:val="104F6DAF"/>
    <w:rsid w:val="107D501B"/>
    <w:rsid w:val="10B27CAD"/>
    <w:rsid w:val="11273C0B"/>
    <w:rsid w:val="11915D99"/>
    <w:rsid w:val="11BA30D7"/>
    <w:rsid w:val="11E64458"/>
    <w:rsid w:val="11EC7CB4"/>
    <w:rsid w:val="120C44D2"/>
    <w:rsid w:val="130F1D4C"/>
    <w:rsid w:val="134C3D0E"/>
    <w:rsid w:val="138C3317"/>
    <w:rsid w:val="13ED22A6"/>
    <w:rsid w:val="140B4438"/>
    <w:rsid w:val="14A062F4"/>
    <w:rsid w:val="16D67ED2"/>
    <w:rsid w:val="16E26F0E"/>
    <w:rsid w:val="182164BB"/>
    <w:rsid w:val="18D068A4"/>
    <w:rsid w:val="194A1301"/>
    <w:rsid w:val="195576C8"/>
    <w:rsid w:val="19AA29D2"/>
    <w:rsid w:val="1A4A1F1B"/>
    <w:rsid w:val="1C4D73A6"/>
    <w:rsid w:val="1C984EA9"/>
    <w:rsid w:val="1CA473E9"/>
    <w:rsid w:val="1CF54D0D"/>
    <w:rsid w:val="1D173593"/>
    <w:rsid w:val="1D5510E6"/>
    <w:rsid w:val="1DBC259A"/>
    <w:rsid w:val="1E57661E"/>
    <w:rsid w:val="1F5A25AA"/>
    <w:rsid w:val="20221AB6"/>
    <w:rsid w:val="209C2F82"/>
    <w:rsid w:val="20D87DD3"/>
    <w:rsid w:val="21333CB9"/>
    <w:rsid w:val="21725EAA"/>
    <w:rsid w:val="21BD1856"/>
    <w:rsid w:val="21F775B6"/>
    <w:rsid w:val="21FE778F"/>
    <w:rsid w:val="22E43EC5"/>
    <w:rsid w:val="23C6058D"/>
    <w:rsid w:val="2528193B"/>
    <w:rsid w:val="263E77C7"/>
    <w:rsid w:val="26703415"/>
    <w:rsid w:val="277F67AF"/>
    <w:rsid w:val="28AC6FA1"/>
    <w:rsid w:val="28AD7F2A"/>
    <w:rsid w:val="29991719"/>
    <w:rsid w:val="29DB75AB"/>
    <w:rsid w:val="2A4B79CF"/>
    <w:rsid w:val="2BDE2DFD"/>
    <w:rsid w:val="2C1F26D0"/>
    <w:rsid w:val="2C477944"/>
    <w:rsid w:val="2CB46FDB"/>
    <w:rsid w:val="2DFB27B7"/>
    <w:rsid w:val="2E881190"/>
    <w:rsid w:val="2ED42FAB"/>
    <w:rsid w:val="2F075440"/>
    <w:rsid w:val="2F366741"/>
    <w:rsid w:val="325B5177"/>
    <w:rsid w:val="33803AE5"/>
    <w:rsid w:val="33DA419B"/>
    <w:rsid w:val="34FD6C4E"/>
    <w:rsid w:val="357F7BE6"/>
    <w:rsid w:val="359E5DA6"/>
    <w:rsid w:val="36292E46"/>
    <w:rsid w:val="36C4121F"/>
    <w:rsid w:val="36C67F48"/>
    <w:rsid w:val="37A03B9A"/>
    <w:rsid w:val="38871868"/>
    <w:rsid w:val="38984FEA"/>
    <w:rsid w:val="38D65753"/>
    <w:rsid w:val="39824704"/>
    <w:rsid w:val="3A7733B5"/>
    <w:rsid w:val="3A8F42DA"/>
    <w:rsid w:val="3AF251B7"/>
    <w:rsid w:val="3AFD3559"/>
    <w:rsid w:val="3B8519B2"/>
    <w:rsid w:val="3B874061"/>
    <w:rsid w:val="3C676135"/>
    <w:rsid w:val="3CB60938"/>
    <w:rsid w:val="3D0E3869"/>
    <w:rsid w:val="3D586B1B"/>
    <w:rsid w:val="3D9E7CAD"/>
    <w:rsid w:val="3EB82705"/>
    <w:rsid w:val="3FCF310C"/>
    <w:rsid w:val="40543EF5"/>
    <w:rsid w:val="405F7DF3"/>
    <w:rsid w:val="40CC02CC"/>
    <w:rsid w:val="40D83E9F"/>
    <w:rsid w:val="40E4142D"/>
    <w:rsid w:val="41982DB7"/>
    <w:rsid w:val="420F0402"/>
    <w:rsid w:val="43126C97"/>
    <w:rsid w:val="434D13B2"/>
    <w:rsid w:val="437753D5"/>
    <w:rsid w:val="43B70C81"/>
    <w:rsid w:val="44292AD4"/>
    <w:rsid w:val="4469254F"/>
    <w:rsid w:val="44B27C2A"/>
    <w:rsid w:val="451A3510"/>
    <w:rsid w:val="46085FB5"/>
    <w:rsid w:val="46300AAA"/>
    <w:rsid w:val="469B1CAE"/>
    <w:rsid w:val="46AE5FF3"/>
    <w:rsid w:val="474D75E2"/>
    <w:rsid w:val="48150E11"/>
    <w:rsid w:val="48212EC4"/>
    <w:rsid w:val="4862186A"/>
    <w:rsid w:val="486A4297"/>
    <w:rsid w:val="48B614A6"/>
    <w:rsid w:val="48CB5056"/>
    <w:rsid w:val="49CC7DFC"/>
    <w:rsid w:val="4A0C4B1D"/>
    <w:rsid w:val="4B031B7A"/>
    <w:rsid w:val="4BA4167F"/>
    <w:rsid w:val="4C540BEC"/>
    <w:rsid w:val="4C6427BD"/>
    <w:rsid w:val="4CE66527"/>
    <w:rsid w:val="4D221E11"/>
    <w:rsid w:val="4E3C6E2B"/>
    <w:rsid w:val="4E835676"/>
    <w:rsid w:val="4F0F48AA"/>
    <w:rsid w:val="4FB9214A"/>
    <w:rsid w:val="4FE20E43"/>
    <w:rsid w:val="50243E54"/>
    <w:rsid w:val="50A713CB"/>
    <w:rsid w:val="50FF0550"/>
    <w:rsid w:val="515A41FC"/>
    <w:rsid w:val="519B1D3C"/>
    <w:rsid w:val="524D2A61"/>
    <w:rsid w:val="52802927"/>
    <w:rsid w:val="532F114A"/>
    <w:rsid w:val="53604C26"/>
    <w:rsid w:val="54431A0E"/>
    <w:rsid w:val="54552B6D"/>
    <w:rsid w:val="54D44AC7"/>
    <w:rsid w:val="56112655"/>
    <w:rsid w:val="56A42262"/>
    <w:rsid w:val="58260B9B"/>
    <w:rsid w:val="5855243C"/>
    <w:rsid w:val="58746F33"/>
    <w:rsid w:val="58CF6491"/>
    <w:rsid w:val="58D25A73"/>
    <w:rsid w:val="59D624CA"/>
    <w:rsid w:val="5A4A3433"/>
    <w:rsid w:val="5BBB1A7E"/>
    <w:rsid w:val="5CA0213D"/>
    <w:rsid w:val="5D156FA2"/>
    <w:rsid w:val="5F0F1DD3"/>
    <w:rsid w:val="5F207068"/>
    <w:rsid w:val="5F760B65"/>
    <w:rsid w:val="603C0D48"/>
    <w:rsid w:val="605F13F0"/>
    <w:rsid w:val="60A1719B"/>
    <w:rsid w:val="60E35500"/>
    <w:rsid w:val="612625AA"/>
    <w:rsid w:val="6148542E"/>
    <w:rsid w:val="61817E3C"/>
    <w:rsid w:val="620F6776"/>
    <w:rsid w:val="62367E65"/>
    <w:rsid w:val="6265623A"/>
    <w:rsid w:val="628F111D"/>
    <w:rsid w:val="62E0271D"/>
    <w:rsid w:val="632C14AF"/>
    <w:rsid w:val="63356D38"/>
    <w:rsid w:val="63E65CAD"/>
    <w:rsid w:val="644205E4"/>
    <w:rsid w:val="644D1DFE"/>
    <w:rsid w:val="64C94DDD"/>
    <w:rsid w:val="65DC4836"/>
    <w:rsid w:val="65DF3879"/>
    <w:rsid w:val="661357A0"/>
    <w:rsid w:val="6654428E"/>
    <w:rsid w:val="667A086C"/>
    <w:rsid w:val="67591F27"/>
    <w:rsid w:val="67BF5964"/>
    <w:rsid w:val="67ED0162"/>
    <w:rsid w:val="68675294"/>
    <w:rsid w:val="688A2780"/>
    <w:rsid w:val="689E3E83"/>
    <w:rsid w:val="68ED24C0"/>
    <w:rsid w:val="68FD2C45"/>
    <w:rsid w:val="691F79AD"/>
    <w:rsid w:val="698334C9"/>
    <w:rsid w:val="6B324C90"/>
    <w:rsid w:val="6C075B40"/>
    <w:rsid w:val="6C23532C"/>
    <w:rsid w:val="6CC64A9C"/>
    <w:rsid w:val="6D3D73A6"/>
    <w:rsid w:val="6DFB21AE"/>
    <w:rsid w:val="6F81410E"/>
    <w:rsid w:val="6FCA1424"/>
    <w:rsid w:val="70222ADB"/>
    <w:rsid w:val="70323211"/>
    <w:rsid w:val="716B506C"/>
    <w:rsid w:val="71E940A1"/>
    <w:rsid w:val="723C3298"/>
    <w:rsid w:val="72F8265E"/>
    <w:rsid w:val="73235F29"/>
    <w:rsid w:val="73A823EF"/>
    <w:rsid w:val="73C670F4"/>
    <w:rsid w:val="74775FC0"/>
    <w:rsid w:val="749414A1"/>
    <w:rsid w:val="76084588"/>
    <w:rsid w:val="76B83908"/>
    <w:rsid w:val="76EA4765"/>
    <w:rsid w:val="77197ED0"/>
    <w:rsid w:val="77392219"/>
    <w:rsid w:val="77AB14FD"/>
    <w:rsid w:val="78773C75"/>
    <w:rsid w:val="78AB0C68"/>
    <w:rsid w:val="79046A88"/>
    <w:rsid w:val="79EA0D2A"/>
    <w:rsid w:val="7A33156C"/>
    <w:rsid w:val="7AC27882"/>
    <w:rsid w:val="7AF83AAC"/>
    <w:rsid w:val="7B011597"/>
    <w:rsid w:val="7B0924ED"/>
    <w:rsid w:val="7B2A00C7"/>
    <w:rsid w:val="7BD16A01"/>
    <w:rsid w:val="7CEB71BA"/>
    <w:rsid w:val="7D2708CA"/>
    <w:rsid w:val="7D9C7A9A"/>
    <w:rsid w:val="7DD06F88"/>
    <w:rsid w:val="7ED21CB4"/>
    <w:rsid w:val="7F806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4"/>
    <w:next w:val="4"/>
    <w:qFormat/>
    <w:uiPriority w:val="0"/>
    <w:pPr>
      <w:keepNext/>
      <w:keepLines/>
      <w:numPr>
        <w:ilvl w:val="2"/>
        <w:numId w:val="1"/>
      </w:numPr>
      <w:spacing w:before="260" w:after="260" w:line="416" w:lineRule="auto"/>
      <w:ind w:leftChars="0"/>
      <w:outlineLvl w:val="2"/>
    </w:pPr>
    <w:rPr>
      <w:b/>
      <w:bCs/>
      <w:kern w:val="0"/>
      <w:sz w:val="30"/>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Block Text"/>
    <w:basedOn w:val="1"/>
    <w:unhideWhenUsed/>
    <w:qFormat/>
    <w:uiPriority w:val="99"/>
    <w:pPr>
      <w:spacing w:after="120" w:afterLines="0" w:afterAutospacing="0"/>
      <w:ind w:left="1440" w:leftChars="700" w:rightChars="700"/>
    </w:pPr>
  </w:style>
  <w:style w:type="paragraph" w:styleId="5">
    <w:name w:val="Body Text"/>
    <w:basedOn w:val="1"/>
    <w:qFormat/>
    <w:uiPriority w:val="1"/>
    <w:rPr>
      <w:rFonts w:ascii="宋体" w:hAnsi="宋体" w:eastAsia="宋体" w:cs="宋体"/>
      <w:sz w:val="24"/>
      <w:szCs w:val="24"/>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宋体" w:hAnsi="Courier New" w:eastAsiaTheme="minorEastAsia" w:cstheme="minorBidi"/>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rPr>
      <w:rFonts w:asciiTheme="minorHAnsi" w:hAnsiTheme="minorHAnsi" w:eastAsiaTheme="minorEastAsia" w:cstheme="minorBidi"/>
    </w:rPr>
  </w:style>
  <w:style w:type="paragraph" w:styleId="12">
    <w:name w:val="Body Text First Indent 2"/>
    <w:basedOn w:val="6"/>
    <w:unhideWhenUsed/>
    <w:qFormat/>
    <w:uiPriority w:val="99"/>
    <w:pPr>
      <w:ind w:firstLine="420" w:firstLineChars="200"/>
    </w:pPr>
    <w:rPr>
      <w:szCs w:val="24"/>
    </w:r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15568</Words>
  <Characters>17012</Characters>
  <Lines>1</Lines>
  <Paragraphs>1</Paragraphs>
  <TotalTime>16</TotalTime>
  <ScaleCrop>false</ScaleCrop>
  <LinksUpToDate>false</LinksUpToDate>
  <CharactersWithSpaces>17607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2022-12-20T15:52:49Z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158F4BEA91E04500BEA1EA652030F89C</vt:lpwstr>
  </property>
</Properties>
</file>